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97BD5" w14:textId="23039586" w:rsidR="000711D7" w:rsidRPr="00A23753" w:rsidRDefault="00AC37F7" w:rsidP="00A23753">
      <w:pPr>
        <w:tabs>
          <w:tab w:val="left" w:pos="7500"/>
          <w:tab w:val="left" w:pos="7965"/>
        </w:tabs>
        <w:spacing w:after="900"/>
        <w:jc w:val="center"/>
        <w:rPr>
          <w:rFonts w:asciiTheme="majorHAnsi" w:hAnsiTheme="majorHAnsi" w:cstheme="majorHAnsi"/>
          <w:sz w:val="24"/>
          <w:szCs w:val="24"/>
        </w:rPr>
      </w:pPr>
      <w:r w:rsidRPr="00A23753">
        <w:rPr>
          <w:rFonts w:asciiTheme="majorHAnsi" w:hAnsiTheme="majorHAnsi" w:cstheme="majorHAnsi"/>
          <w:noProof/>
          <w:sz w:val="24"/>
          <w:szCs w:val="24"/>
        </w:rPr>
        <mc:AlternateContent>
          <mc:Choice Requires="wps">
            <w:drawing>
              <wp:anchor distT="0" distB="0" distL="114300" distR="114300" simplePos="0" relativeHeight="251658240" behindDoc="1" locked="1" layoutInCell="1" allowOverlap="1" wp14:anchorId="7C91E10B" wp14:editId="6F2B3C0A">
                <wp:simplePos x="0" y="0"/>
                <wp:positionH relativeFrom="page">
                  <wp:align>left</wp:align>
                </wp:positionH>
                <wp:positionV relativeFrom="margin">
                  <wp:align>top</wp:align>
                </wp:positionV>
                <wp:extent cx="3288665" cy="10368280"/>
                <wp:effectExtent l="0" t="0" r="2540" b="0"/>
                <wp:wrapNone/>
                <wp:docPr id="906382954"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88665" cy="10368280"/>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rect w14:anchorId="16ED824F" id="Rectangle 9" o:spid="_x0000_s1026" alt="&quot;&quot;" style="position:absolute;margin-left:0;margin-top:0;width:258.95pt;height:816.4pt;z-index:-251658240;visibility:visible;mso-wrap-style:square;mso-width-percent:1000;mso-height-percent:0;mso-wrap-distance-left:9pt;mso-wrap-distance-top:0;mso-wrap-distance-right:9pt;mso-wrap-distance-bottom:0;mso-position-horizontal:left;mso-position-horizontal-relative:page;mso-position-vertical:top;mso-position-vertical-relative:margin;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" fillcolor="white [3212]" stroked="f" strokeweight=".5pt">
                <w10:wrap anchorx="page" anchory="margin"/>
                <w10:anchorlock/>
              </v:rect>
            </w:pict>
          </mc:Fallback>
        </mc:AlternateContent>
      </w:r>
      <w:r w:rsidR="00663D0E" w:rsidRPr="00A23753">
        <w:rPr>
          <w:rFonts w:asciiTheme="majorHAnsi" w:hAnsiTheme="majorHAnsi" w:cstheme="majorHAnsi"/>
          <w:noProof/>
          <w:sz w:val="24"/>
          <w:szCs w:val="24"/>
        </w:rPr>
        <mc:AlternateContent>
          <mc:Choice Requires="wps">
            <w:drawing>
              <wp:anchor distT="0" distB="0" distL="114300" distR="114300" simplePos="0" relativeHeight="251658242" behindDoc="1" locked="1" layoutInCell="1" allowOverlap="1" wp14:anchorId="7C38B2B4" wp14:editId="51170EAD">
                <wp:simplePos x="0" y="0"/>
                <wp:positionH relativeFrom="page">
                  <wp:align>left</wp:align>
                </wp:positionH>
                <mc:AlternateContent>
                  <mc:Choice Requires="wp14">
                    <wp:positionV relativeFrom="page">
                      <wp14:pctPosVOffset>89300</wp14:pctPosVOffset>
                    </wp:positionV>
                  </mc:Choice>
                  <mc:Fallback>
                    <wp:positionV relativeFrom="page">
                      <wp:posOffset>9547860</wp:posOffset>
                    </wp:positionV>
                  </mc:Fallback>
                </mc:AlternateContent>
                <wp:extent cx="5346000" cy="720000"/>
                <wp:effectExtent l="0" t="0" r="0" b="4445"/>
                <wp:wrapNone/>
                <wp:docPr id="763407784"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6000" cy="720000"/>
                        </a:xfrm>
                        <a:custGeom>
                          <a:avLst/>
                          <a:gdLst>
                            <a:gd name="connsiteX0" fmla="*/ 5075968 w 5346001"/>
                            <a:gd name="connsiteY0" fmla="*/ 539972 h 540067"/>
                            <a:gd name="connsiteX1" fmla="*/ 0 w 5346001"/>
                            <a:gd name="connsiteY1" fmla="*/ 539972 h 540067"/>
                            <a:gd name="connsiteX2" fmla="*/ 0 w 5346001"/>
                            <a:gd name="connsiteY2" fmla="*/ 0 h 540067"/>
                            <a:gd name="connsiteX3" fmla="*/ 5075968 w 5346001"/>
                            <a:gd name="connsiteY3" fmla="*/ 0 h 540067"/>
                            <a:gd name="connsiteX4" fmla="*/ 5346002 w 5346001"/>
                            <a:gd name="connsiteY4" fmla="*/ 270034 h 540067"/>
                            <a:gd name="connsiteX5" fmla="*/ 5346002 w 5346001"/>
                            <a:gd name="connsiteY5" fmla="*/ 270034 h 540067"/>
                            <a:gd name="connsiteX6" fmla="*/ 5075968 w 5346001"/>
                            <a:gd name="connsiteY6" fmla="*/ 540068 h 540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46001" h="540067">
                              <a:moveTo>
                                <a:pt x="5075968" y="539972"/>
                              </a:moveTo>
                              <a:lnTo>
                                <a:pt x="0" y="539972"/>
                              </a:lnTo>
                              <a:lnTo>
                                <a:pt x="0" y="0"/>
                              </a:lnTo>
                              <a:lnTo>
                                <a:pt x="5075968" y="0"/>
                              </a:lnTo>
                              <a:cubicBezTo>
                                <a:pt x="5225034" y="0"/>
                                <a:pt x="5346002" y="120872"/>
                                <a:pt x="5346002" y="270034"/>
                              </a:cubicBezTo>
                              <a:lnTo>
                                <a:pt x="5346002" y="270034"/>
                              </a:lnTo>
                              <a:cubicBezTo>
                                <a:pt x="5346002" y="419195"/>
                                <a:pt x="5225130" y="540068"/>
                                <a:pt x="5075968" y="540068"/>
                              </a:cubicBezTo>
                            </a:path>
                          </a:pathLst>
                        </a:custGeom>
                        <a:solidFill>
                          <a:schemeClr val="accent2"/>
                        </a:solidFill>
                        <a:ln w="0" cap="flat">
                          <a:noFill/>
                          <a:prstDash val="solid"/>
                          <a:miter/>
                        </a:ln>
                      </wps:spPr>
                      <wps:txbx>
                        <w:txbxContent>
                          <w:tbl>
                            <w:tblPr>
                              <w:tblW w:w="5000" w:type="pct"/>
                              <w:tblCellMar>
                                <w:left w:w="0" w:type="dxa"/>
                                <w:right w:w="0" w:type="dxa"/>
                              </w:tblCellMar>
                              <w:tblLook w:val="0600" w:firstRow="0" w:lastRow="0" w:firstColumn="0" w:lastColumn="0" w:noHBand="1" w:noVBand="1"/>
                            </w:tblPr>
                            <w:tblGrid>
                              <w:gridCol w:w="2778"/>
                              <w:gridCol w:w="4011"/>
                            </w:tblGrid>
                            <w:tr w:rsidR="00416328" w:rsidRPr="00416328" w14:paraId="77504CB5" w14:textId="77777777" w:rsidTr="00416328">
                              <w:tc>
                                <w:tcPr>
                                  <w:tcW w:w="5477" w:type="dxa"/>
                                </w:tcPr>
                                <w:p w14:paraId="43F69624" w14:textId="77777777" w:rsidR="00416328" w:rsidRPr="00416328" w:rsidRDefault="00416328" w:rsidP="00416328">
                                  <w:pPr>
                                    <w:rPr>
                                      <w:i/>
                                      <w:iCs/>
                                      <w:color w:val="FFFFFF" w:themeColor="background1"/>
                                      <w:sz w:val="28"/>
                                      <w:szCs w:val="28"/>
                                    </w:rPr>
                                  </w:pPr>
                                  <w:r w:rsidRPr="00416328">
                                    <w:rPr>
                                      <w:i/>
                                      <w:iCs/>
                                      <w:color w:val="FFFFFF" w:themeColor="background1"/>
                                      <w:sz w:val="28"/>
                                      <w:szCs w:val="28"/>
                                    </w:rPr>
                                    <w:t>Better thinking. Better advice.</w:t>
                                  </w:r>
                                </w:p>
                              </w:tc>
                              <w:tc>
                                <w:tcPr>
                                  <w:tcW w:w="5477" w:type="dxa"/>
                                </w:tcPr>
                                <w:p w14:paraId="65EAAF34" w14:textId="77777777" w:rsidR="00416328" w:rsidRPr="00416328" w:rsidRDefault="00416328" w:rsidP="00416328">
                                  <w:pPr>
                                    <w:jc w:val="right"/>
                                    <w:rPr>
                                      <w:rFonts w:asciiTheme="majorHAnsi" w:hAnsiTheme="majorHAnsi" w:cstheme="majorHAnsi"/>
                                      <w:color w:val="FFFFFF" w:themeColor="background1"/>
                                      <w:sz w:val="28"/>
                                      <w:szCs w:val="28"/>
                                    </w:rPr>
                                  </w:pPr>
                                  <w:r w:rsidRPr="00416328">
                                    <w:rPr>
                                      <w:rFonts w:asciiTheme="majorHAnsi" w:hAnsiTheme="majorHAnsi" w:cstheme="majorHAnsi"/>
                                      <w:color w:val="FFFFFF" w:themeColor="background1"/>
                                      <w:sz w:val="28"/>
                                      <w:szCs w:val="28"/>
                                    </w:rPr>
                                    <w:t>healthconsult.com.au</w:t>
                                  </w:r>
                                </w:p>
                              </w:tc>
                            </w:tr>
                          </w:tbl>
                          <w:p w14:paraId="5E9BAE65" w14:textId="77777777" w:rsidR="00416328" w:rsidRPr="006174BB" w:rsidRDefault="00416328" w:rsidP="006174BB">
                            <w:pPr>
                              <w:spacing w:before="0" w:after="0"/>
                              <w:jc w:val="center"/>
                              <w:rPr>
                                <w:sz w:val="4"/>
                                <w:szCs w:val="4"/>
                              </w:rPr>
                            </w:pPr>
                          </w:p>
                        </w:txbxContent>
                      </wps:txbx>
                      <wps:bodyPr rot="0" spcFirstLastPara="0" vertOverflow="overflow" horzOverflow="overflow" vert="horz" wrap="square" lIns="504000" tIns="45720" rIns="540000" bIns="45720" numCol="1" spcCol="0" rtlCol="0" fromWordArt="0" anchor="ctr" anchorCtr="0" forceAA="0" compatLnSpc="1">
                        <a:prstTxWarp prst="textNoShape">
                          <a:avLst/>
                        </a:prstTxWarp>
                        <a:noAutofit/>
                      </wps:bodyPr>
                    </wps:wsp>
                  </a:graphicData>
                </a:graphic>
                <wp14:sizeRelH relativeFrom="page">
                  <wp14:pctWidth>94300</wp14:pctWidth>
                </wp14:sizeRelH>
                <wp14:sizeRelV relativeFrom="margin">
                  <wp14:pctHeight>0</wp14:pctHeight>
                </wp14:sizeRelV>
              </wp:anchor>
            </w:drawing>
          </mc:Choice>
          <mc:Fallback>
            <w:pict>
              <v:shape w14:anchorId="7C38B2B4" id="Graphic 1" o:spid="_x0000_s1026" alt="&quot;&quot;" style="position:absolute;left:0;text-align:left;margin-left:0;margin-top:0;width:420.95pt;height:56.7pt;z-index:-251658238;visibility:visible;mso-wrap-style:square;mso-width-percent:943;mso-height-percent:0;mso-top-percent:893;mso-wrap-distance-left:9pt;mso-wrap-distance-top:0;mso-wrap-distance-right:9pt;mso-wrap-distance-bottom:0;mso-position-horizontal:left;mso-position-horizontal-relative:page;mso-position-vertical-relative:page;mso-width-percent:943;mso-height-percent:0;mso-top-percent:893;mso-width-relative:page;mso-height-relative:margin;v-text-anchor:middle" coordsize="5346001,5400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" adj="-11796480,,5400" path="m5075968,539972l,539972,,,5075968,v149066,,270034,120872,270034,270034l5346002,270034v,149161,-120872,270034,-270034,270034e" fillcolor="#c60c30 [3205]" stroked="f" strokeweight="0">
                <v:stroke joinstyle="miter"/>
                <v:formulas/>
                <v:path arrowok="t" o:connecttype="custom" o:connectlocs="5075967,719873;0,719873;0,0;5075967,0;5346001,360001;5346001,360001;5075967,720001" o:connectangles="0,0,0,0,0,0,0" textboxrect="0,0,5346001,540067"/>
                <v:textbox inset="14mm,,15mm">
                  <w:txbxContent>
                    <w:tbl>
                      <w:tblPr>
                        <w:tblW w:w="5000" w:type="pct"/>
                        <w:tblCellMar>
                          <w:left w:w="0" w:type="dxa"/>
                          <w:right w:w="0" w:type="dxa"/>
                        </w:tblCellMar>
                        <w:tblLook w:val="0600" w:firstRow="0" w:lastRow="0" w:firstColumn="0" w:lastColumn="0" w:noHBand="1" w:noVBand="1"/>
                      </w:tblPr>
                      <w:tblGrid>
                        <w:gridCol w:w="2778"/>
                        <w:gridCol w:w="4011"/>
                      </w:tblGrid>
                      <w:tr w:rsidR="00416328" w:rsidRPr="00416328" w14:paraId="77504CB5" w14:textId="77777777" w:rsidTr="00416328">
                        <w:tc>
                          <w:tcPr>
                            <w:tcW w:w="5477" w:type="dxa"/>
                          </w:tcPr>
                          <w:p w14:paraId="43F69624" w14:textId="77777777" w:rsidR="00416328" w:rsidRPr="00416328" w:rsidRDefault="00416328" w:rsidP="00416328">
                            <w:pPr>
                              <w:rPr>
                                <w:i/>
                                <w:iCs/>
                                <w:color w:val="FFFFFF" w:themeColor="background1"/>
                                <w:sz w:val="28"/>
                                <w:szCs w:val="28"/>
                              </w:rPr>
                            </w:pPr>
                            <w:r w:rsidRPr="00416328">
                              <w:rPr>
                                <w:i/>
                                <w:iCs/>
                                <w:color w:val="FFFFFF" w:themeColor="background1"/>
                                <w:sz w:val="28"/>
                                <w:szCs w:val="28"/>
                              </w:rPr>
                              <w:t>Better thinking. Better advice.</w:t>
                            </w:r>
                          </w:p>
                        </w:tc>
                        <w:tc>
                          <w:tcPr>
                            <w:tcW w:w="5477" w:type="dxa"/>
                          </w:tcPr>
                          <w:p w14:paraId="65EAAF34" w14:textId="77777777" w:rsidR="00416328" w:rsidRPr="00416328" w:rsidRDefault="00416328" w:rsidP="00416328">
                            <w:pPr>
                              <w:jc w:val="right"/>
                              <w:rPr>
                                <w:rFonts w:asciiTheme="majorHAnsi" w:hAnsiTheme="majorHAnsi" w:cstheme="majorHAnsi"/>
                                <w:color w:val="FFFFFF" w:themeColor="background1"/>
                                <w:sz w:val="28"/>
                                <w:szCs w:val="28"/>
                              </w:rPr>
                            </w:pPr>
                            <w:r w:rsidRPr="00416328">
                              <w:rPr>
                                <w:rFonts w:asciiTheme="majorHAnsi" w:hAnsiTheme="majorHAnsi" w:cstheme="majorHAnsi"/>
                                <w:color w:val="FFFFFF" w:themeColor="background1"/>
                                <w:sz w:val="28"/>
                                <w:szCs w:val="28"/>
                              </w:rPr>
                              <w:t>healthconsult.com.au</w:t>
                            </w:r>
                          </w:p>
                        </w:tc>
                      </w:tr>
                    </w:tbl>
                    <w:p w14:paraId="5E9BAE65" w14:textId="77777777" w:rsidR="00416328" w:rsidRPr="006174BB" w:rsidRDefault="00416328" w:rsidP="006174BB">
                      <w:pPr>
                        <w:spacing w:before="0" w:after="0"/>
                        <w:jc w:val="center"/>
                        <w:rPr>
                          <w:sz w:val="4"/>
                          <w:szCs w:val="4"/>
                        </w:rPr>
                      </w:pPr>
                    </w:p>
                  </w:txbxContent>
                </v:textbox>
                <w10:wrap anchorx="page" anchory="page"/>
                <w10:anchorlock/>
              </v:shape>
            </w:pict>
          </mc:Fallback>
        </mc:AlternateContent>
      </w:r>
      <w:r w:rsidR="00663D0E" w:rsidRPr="00A23753">
        <w:rPr>
          <w:rFonts w:asciiTheme="majorHAnsi" w:hAnsiTheme="majorHAnsi" w:cstheme="majorHAnsi"/>
          <w:noProof/>
          <w:sz w:val="24"/>
          <w:szCs w:val="24"/>
        </w:rPr>
        <w:drawing>
          <wp:anchor distT="0" distB="0" distL="114300" distR="114300" simplePos="0" relativeHeight="251658254" behindDoc="1" locked="1" layoutInCell="1" allowOverlap="1" wp14:anchorId="17B844F9" wp14:editId="317177AA">
            <wp:simplePos x="0" y="0"/>
            <wp:positionH relativeFrom="rightMargin">
              <wp:posOffset>-3034030</wp:posOffset>
            </wp:positionH>
            <wp:positionV relativeFrom="page">
              <wp:posOffset>1833245</wp:posOffset>
            </wp:positionV>
            <wp:extent cx="2771775" cy="712470"/>
            <wp:effectExtent l="0" t="0" r="0" b="0"/>
            <wp:wrapNone/>
            <wp:docPr id="1743787379" name="Graphic 1743787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87379" name="Graphic 1743787379">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71775" cy="712470"/>
                    </a:xfrm>
                    <a:prstGeom prst="rect">
                      <a:avLst/>
                    </a:prstGeom>
                  </pic:spPr>
                </pic:pic>
              </a:graphicData>
            </a:graphic>
            <wp14:sizeRelH relativeFrom="margin">
              <wp14:pctWidth>0</wp14:pctWidth>
            </wp14:sizeRelH>
            <wp14:sizeRelV relativeFrom="margin">
              <wp14:pctHeight>0</wp14:pctHeight>
            </wp14:sizeRelV>
          </wp:anchor>
        </w:drawing>
      </w:r>
      <w:r w:rsidR="00276C8A" w:rsidRPr="00A23753">
        <w:rPr>
          <w:rFonts w:asciiTheme="majorHAnsi" w:hAnsiTheme="majorHAnsi" w:cstheme="majorHAnsi"/>
          <w:noProof/>
          <w:sz w:val="24"/>
          <w:szCs w:val="24"/>
        </w:rPr>
        <mc:AlternateContent>
          <mc:Choice Requires="wps">
            <w:drawing>
              <wp:anchor distT="0" distB="0" distL="114300" distR="114300" simplePos="0" relativeHeight="251658241" behindDoc="1" locked="1" layoutInCell="1" allowOverlap="1" wp14:anchorId="518C1C84" wp14:editId="31B03CBE">
                <wp:simplePos x="0" y="0"/>
                <wp:positionH relativeFrom="page">
                  <wp:align>left</wp:align>
                </wp:positionH>
                <mc:AlternateContent>
                  <mc:Choice Requires="wp14">
                    <wp:positionV relativeFrom="page">
                      <wp14:pctPosVOffset>38000</wp14:pctPosVOffset>
                    </wp:positionV>
                  </mc:Choice>
                  <mc:Fallback>
                    <wp:positionV relativeFrom="page">
                      <wp:posOffset>4062730</wp:posOffset>
                    </wp:positionV>
                  </mc:Fallback>
                </mc:AlternateContent>
                <wp:extent cx="5346000" cy="3546000"/>
                <wp:effectExtent l="0" t="0" r="0" b="6985"/>
                <wp:wrapNone/>
                <wp:docPr id="2142247993"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46000" cy="3546000"/>
                        </a:xfrm>
                        <a:custGeom>
                          <a:avLst/>
                          <a:gdLst>
                            <a:gd name="connsiteX0" fmla="*/ 5074899 w 5344876"/>
                            <a:gd name="connsiteY0" fmla="*/ 3544876 h 3544970"/>
                            <a:gd name="connsiteX1" fmla="*/ 0 w 5344876"/>
                            <a:gd name="connsiteY1" fmla="*/ 3544876 h 3544970"/>
                            <a:gd name="connsiteX2" fmla="*/ 0 w 5344876"/>
                            <a:gd name="connsiteY2" fmla="*/ 0 h 3544970"/>
                            <a:gd name="connsiteX3" fmla="*/ 5074899 w 5344876"/>
                            <a:gd name="connsiteY3" fmla="*/ 0 h 3544970"/>
                            <a:gd name="connsiteX4" fmla="*/ 5344876 w 5344876"/>
                            <a:gd name="connsiteY4" fmla="*/ 269965 h 3544970"/>
                            <a:gd name="connsiteX5" fmla="*/ 5344876 w 5344876"/>
                            <a:gd name="connsiteY5" fmla="*/ 3275006 h 3544970"/>
                            <a:gd name="connsiteX6" fmla="*/ 5074899 w 5344876"/>
                            <a:gd name="connsiteY6" fmla="*/ 3544971 h 35449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44876" h="3544970">
                              <a:moveTo>
                                <a:pt x="5074899" y="3544876"/>
                              </a:moveTo>
                              <a:lnTo>
                                <a:pt x="0" y="3544876"/>
                              </a:lnTo>
                              <a:lnTo>
                                <a:pt x="0" y="0"/>
                              </a:lnTo>
                              <a:lnTo>
                                <a:pt x="5074899" y="0"/>
                              </a:lnTo>
                              <a:cubicBezTo>
                                <a:pt x="5223934" y="0"/>
                                <a:pt x="5344876" y="120842"/>
                                <a:pt x="5344876" y="269965"/>
                              </a:cubicBezTo>
                              <a:lnTo>
                                <a:pt x="5344876" y="3275006"/>
                              </a:lnTo>
                              <a:cubicBezTo>
                                <a:pt x="5344876" y="3424035"/>
                                <a:pt x="5224029" y="3544971"/>
                                <a:pt x="5074899" y="3544971"/>
                              </a:cubicBezTo>
                            </a:path>
                          </a:pathLst>
                        </a:custGeom>
                        <a:solidFill>
                          <a:schemeClr val="accent1"/>
                        </a:solidFill>
                        <a:ln w="0" cap="flat">
                          <a:noFill/>
                          <a:prstDash val="solid"/>
                          <a:miter/>
                        </a:ln>
                      </wps:spPr>
                      <wps:txbx>
                        <w:txbxContent>
                          <w:p w14:paraId="24E6E2C5" w14:textId="2B6AA86E" w:rsidR="00276C8A" w:rsidRPr="00AE7823" w:rsidRDefault="002557C9" w:rsidP="007C718B">
                            <w:pPr>
                              <w:pStyle w:val="ClientName"/>
                            </w:pPr>
                            <w:sdt>
                              <w:sdtPr>
                                <w:alias w:val="Client"/>
                                <w:tag w:val="Abstract"/>
                                <w:id w:val="-402679956"/>
                                <w:placeholder>
                                  <w:docPart w:val="779A292E70174F279099772989F8085D"/>
                                </w:placeholder>
                                <w:dataBinding w:prefixMappings="xmlns:ns0='http://schemas.microsoft.com/office/2006/coverPageProps' " w:xpath="/ns0:CoverPageProperties[1]/ns0:Abstract[1]" w:storeItemID="{55AF091B-3C7A-41E3-B477-F2FDAA23CFDA}"/>
                                <w:text/>
                              </w:sdtPr>
                              <w:sdtEndPr/>
                              <w:sdtContent>
                                <w:r w:rsidR="00E35CAE" w:rsidRPr="00E35CAE">
                                  <w:t>Department of Health and Aged Care</w:t>
                                </w:r>
                              </w:sdtContent>
                            </w:sdt>
                          </w:p>
                          <w:p w14:paraId="48966E77" w14:textId="78845076" w:rsidR="00276C8A" w:rsidRPr="00AE7823" w:rsidRDefault="002557C9" w:rsidP="007C718B">
                            <w:pPr>
                              <w:pStyle w:val="Subtitle"/>
                            </w:pPr>
                            <w:sdt>
                              <w:sdtPr>
                                <w:alias w:val="Project Name"/>
                                <w:tag w:val="Subject"/>
                                <w:id w:val="-831295219"/>
                                <w:placeholder>
                                  <w:docPart w:val="9ED3851A048B42FAAE2F64FEAD293766"/>
                                </w:placeholder>
                                <w:dataBinding w:prefixMappings="xmlns:ns0='http://purl.org/dc/elements/1.1/' xmlns:ns1='http://schemas.openxmlformats.org/package/2006/metadata/core-properties' " w:xpath="/ns1:coreProperties[1]/ns0:subject[1]" w:storeItemID="{6C3C8BC8-F283-45AE-878A-BAB7291924A1}"/>
                                <w:text/>
                              </w:sdtPr>
                              <w:sdtEndPr/>
                              <w:sdtContent>
                                <w:r w:rsidR="00F33893">
                                  <w:t>Review of the Stoma Appliance Scheme</w:t>
                                </w:r>
                              </w:sdtContent>
                            </w:sdt>
                          </w:p>
                          <w:p w14:paraId="4E18AF56" w14:textId="5BBADEDE" w:rsidR="00276C8A" w:rsidRPr="00AE7823" w:rsidRDefault="002557C9" w:rsidP="007C718B">
                            <w:pPr>
                              <w:pStyle w:val="Title"/>
                            </w:pPr>
                            <w:sdt>
                              <w:sdtPr>
                                <w:alias w:val="Title"/>
                                <w:tag w:val=""/>
                                <w:id w:val="491073515"/>
                                <w:placeholder>
                                  <w:docPart w:val="90F3D81530354C449240BC07D7FE3C89"/>
                                </w:placeholder>
                                <w:dataBinding w:prefixMappings="xmlns:ns0='http://purl.org/dc/elements/1.1/' xmlns:ns1='http://schemas.openxmlformats.org/package/2006/metadata/core-properties' " w:xpath="/ns1:coreProperties[1]/ns0:title[1]" w:storeItemID="{6C3C8BC8-F283-45AE-878A-BAB7291924A1}"/>
                                <w:text/>
                              </w:sdtPr>
                              <w:sdtEndPr/>
                              <w:sdtContent>
                                <w:r w:rsidR="006745D1">
                                  <w:t>Final Report</w:t>
                                </w:r>
                              </w:sdtContent>
                            </w:sdt>
                          </w:p>
                          <w:p w14:paraId="240B437F" w14:textId="56C38543" w:rsidR="00276C8A" w:rsidRDefault="002557C9" w:rsidP="007C718B">
                            <w:pPr>
                              <w:pStyle w:val="Date"/>
                            </w:pPr>
                            <w:sdt>
                              <w:sdtPr>
                                <w:id w:val="-1402673273"/>
                                <w:placeholder>
                                  <w:docPart w:val="819BD8B6975C45F0BBEF212D49B2D6D5"/>
                                </w:placeholder>
                                <w:date w:fullDate="2024-03-20T00:00:00Z">
                                  <w:dateFormat w:val="d MMMM yyyy"/>
                                  <w:lid w:val="en-AU"/>
                                  <w:storeMappedDataAs w:val="dateTime"/>
                                  <w:calendar w:val="gregorian"/>
                                </w:date>
                              </w:sdtPr>
                              <w:sdtEndPr/>
                              <w:sdtContent>
                                <w:r w:rsidR="00B8698B">
                                  <w:t>20 March 2024</w:t>
                                </w:r>
                              </w:sdtContent>
                            </w:sdt>
                          </w:p>
                        </w:txbxContent>
                      </wps:txbx>
                      <wps:bodyPr rot="0" spcFirstLastPara="0" vertOverflow="overflow" horzOverflow="overflow" vert="horz" wrap="square" lIns="540000" tIns="396000" rIns="540000" bIns="396000" numCol="1" spcCol="0" rtlCol="0" fromWordArt="0" anchor="t" anchorCtr="0" forceAA="0" compatLnSpc="1">
                        <a:prstTxWarp prst="textNoShape">
                          <a:avLst/>
                        </a:prstTxWarp>
                        <a:noAutofit/>
                      </wps:bodyPr>
                    </wps:wsp>
                  </a:graphicData>
                </a:graphic>
                <wp14:sizeRelH relativeFrom="page">
                  <wp14:pctWidth>94300</wp14:pctWidth>
                </wp14:sizeRelH>
                <wp14:sizeRelV relativeFrom="page">
                  <wp14:pctHeight>44300</wp14:pctHeight>
                </wp14:sizeRelV>
              </wp:anchor>
            </w:drawing>
          </mc:Choice>
          <mc:Fallback>
            <w:pict>
              <v:shape w14:anchorId="518C1C84" id="_x0000_s1027" alt="&quot;&quot;" style="position:absolute;left:0;text-align:left;margin-left:0;margin-top:0;width:420.95pt;height:279.2pt;z-index:-251658239;visibility:visible;mso-wrap-style:square;mso-width-percent:943;mso-height-percent:443;mso-top-percent:380;mso-wrap-distance-left:9pt;mso-wrap-distance-top:0;mso-wrap-distance-right:9pt;mso-wrap-distance-bottom:0;mso-position-horizontal:left;mso-position-horizontal-relative:page;mso-position-vertical-relative:page;mso-width-percent:943;mso-height-percent:443;mso-top-percent:380;mso-width-relative:page;mso-height-relative:page;v-text-anchor:top" coordsize="5344876,35449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" adj="-11796480,,5400" path="m5074899,3544876l,3544876,,,5074899,v149035,,269977,120842,269977,269965l5344876,3275006v,149029,-120847,269965,-269977,269965e" fillcolor="#3b0083 [3204]" stroked="f" strokeweight="0">
                <v:stroke joinstyle="miter"/>
                <v:formulas/>
                <v:path arrowok="t" o:connecttype="custom" o:connectlocs="5075966,3545906;0,3545906;0,0;5075966,0;5346000,270043;5346000,3275958;5075966,3546001" o:connectangles="0,0,0,0,0,0,0" textboxrect="0,0,5344876,3544970"/>
                <v:textbox inset="15mm,11mm,15mm,11mm">
                  <w:txbxContent>
                    <w:p w14:paraId="24E6E2C5" w14:textId="2B6AA86E" w:rsidR="00276C8A" w:rsidRPr="00AE7823" w:rsidRDefault="00544DAD" w:rsidP="007C718B">
                      <w:pPr>
                        <w:pStyle w:val="ClientName"/>
                      </w:pPr>
                      <w:sdt>
                        <w:sdtPr>
                          <w:alias w:val="Client"/>
                          <w:tag w:val="Abstract"/>
                          <w:id w:val="-402679956"/>
                          <w:placeholder>
                            <w:docPart w:val="779A292E70174F279099772989F8085D"/>
                          </w:placeholder>
                          <w:dataBinding w:prefixMappings="xmlns:ns0='http://schemas.microsoft.com/office/2006/coverPageProps' " w:xpath="/ns0:CoverPageProperties[1]/ns0:Abstract[1]" w:storeItemID="{55AF091B-3C7A-41E3-B477-F2FDAA23CFDA}"/>
                          <w:text/>
                        </w:sdtPr>
                        <w:sdtEndPr/>
                        <w:sdtContent>
                          <w:r w:rsidR="00E35CAE" w:rsidRPr="00E35CAE">
                            <w:t>Department of Health and Aged Care</w:t>
                          </w:r>
                        </w:sdtContent>
                      </w:sdt>
                    </w:p>
                    <w:p w14:paraId="48966E77" w14:textId="78845076" w:rsidR="00276C8A" w:rsidRPr="00AE7823" w:rsidRDefault="00544DAD" w:rsidP="007C718B">
                      <w:pPr>
                        <w:pStyle w:val="Subtitle"/>
                      </w:pPr>
                      <w:sdt>
                        <w:sdtPr>
                          <w:alias w:val="Project Name"/>
                          <w:tag w:val="Subject"/>
                          <w:id w:val="-831295219"/>
                          <w:placeholder>
                            <w:docPart w:val="9ED3851A048B42FAAE2F64FEAD293766"/>
                          </w:placeholder>
                          <w:dataBinding w:prefixMappings="xmlns:ns0='http://purl.org/dc/elements/1.1/' xmlns:ns1='http://schemas.openxmlformats.org/package/2006/metadata/core-properties' " w:xpath="/ns1:coreProperties[1]/ns0:subject[1]" w:storeItemID="{6C3C8BC8-F283-45AE-878A-BAB7291924A1}"/>
                          <w:text/>
                        </w:sdtPr>
                        <w:sdtEndPr/>
                        <w:sdtContent>
                          <w:r w:rsidR="00F33893">
                            <w:t>Review of the Stoma Appliance Scheme</w:t>
                          </w:r>
                        </w:sdtContent>
                      </w:sdt>
                    </w:p>
                    <w:p w14:paraId="4E18AF56" w14:textId="5BBADEDE" w:rsidR="00276C8A" w:rsidRPr="00AE7823" w:rsidRDefault="00544DAD" w:rsidP="007C718B">
                      <w:pPr>
                        <w:pStyle w:val="Title"/>
                      </w:pPr>
                      <w:sdt>
                        <w:sdtPr>
                          <w:alias w:val="Title"/>
                          <w:tag w:val=""/>
                          <w:id w:val="491073515"/>
                          <w:placeholder>
                            <w:docPart w:val="90F3D81530354C449240BC07D7FE3C89"/>
                          </w:placeholder>
                          <w:dataBinding w:prefixMappings="xmlns:ns0='http://purl.org/dc/elements/1.1/' xmlns:ns1='http://schemas.openxmlformats.org/package/2006/metadata/core-properties' " w:xpath="/ns1:coreProperties[1]/ns0:title[1]" w:storeItemID="{6C3C8BC8-F283-45AE-878A-BAB7291924A1}"/>
                          <w:text/>
                        </w:sdtPr>
                        <w:sdtEndPr/>
                        <w:sdtContent>
                          <w:r w:rsidR="006745D1">
                            <w:t>Final Report</w:t>
                          </w:r>
                        </w:sdtContent>
                      </w:sdt>
                    </w:p>
                    <w:p w14:paraId="240B437F" w14:textId="56C38543" w:rsidR="00276C8A" w:rsidRDefault="00544DAD" w:rsidP="007C718B">
                      <w:pPr>
                        <w:pStyle w:val="Date"/>
                      </w:pPr>
                      <w:sdt>
                        <w:sdtPr>
                          <w:id w:val="-1402673273"/>
                          <w:placeholder>
                            <w:docPart w:val="819BD8B6975C45F0BBEF212D49B2D6D5"/>
                          </w:placeholder>
                          <w:date w:fullDate="2024-03-20T00:00:00Z">
                            <w:dateFormat w:val="d MMMM yyyy"/>
                            <w:lid w:val="en-AU"/>
                            <w:storeMappedDataAs w:val="dateTime"/>
                            <w:calendar w:val="gregorian"/>
                          </w:date>
                        </w:sdtPr>
                        <w:sdtEndPr/>
                        <w:sdtContent>
                          <w:r w:rsidR="00B8698B">
                            <w:t>20 March 2024</w:t>
                          </w:r>
                        </w:sdtContent>
                      </w:sdt>
                    </w:p>
                  </w:txbxContent>
                </v:textbox>
                <w10:wrap anchorx="page" anchory="page"/>
                <w10:anchorlock/>
              </v:shape>
            </w:pict>
          </mc:Fallback>
        </mc:AlternateContent>
      </w:r>
      <w:r w:rsidR="00A23753" w:rsidRPr="00A23753">
        <w:rPr>
          <w:rFonts w:asciiTheme="majorHAnsi" w:hAnsiTheme="majorHAnsi" w:cstheme="majorHAnsi"/>
          <w:sz w:val="24"/>
          <w:szCs w:val="24"/>
        </w:rPr>
        <w:t>This report presents the views of the authors and does not represent the view of the Department of Health and Aged Care</w:t>
      </w:r>
    </w:p>
    <w:p w14:paraId="0C8F7C71" w14:textId="2B83F2F0" w:rsidR="00A23753" w:rsidRDefault="00A23753" w:rsidP="00A23753">
      <w:pPr>
        <w:tabs>
          <w:tab w:val="left" w:pos="7500"/>
          <w:tab w:val="left" w:pos="8580"/>
        </w:tabs>
        <w:rPr>
          <w:rFonts w:asciiTheme="majorHAnsi" w:hAnsiTheme="majorHAnsi" w:cstheme="majorHAnsi"/>
          <w:noProof/>
          <w:sz w:val="24"/>
          <w:szCs w:val="24"/>
        </w:rPr>
      </w:pPr>
      <w:r>
        <w:rPr>
          <w:rFonts w:asciiTheme="majorHAnsi" w:hAnsiTheme="majorHAnsi" w:cstheme="majorHAnsi"/>
          <w:noProof/>
          <w:sz w:val="24"/>
          <w:szCs w:val="24"/>
        </w:rPr>
        <w:tab/>
      </w:r>
      <w:r>
        <w:rPr>
          <w:rFonts w:asciiTheme="majorHAnsi" w:hAnsiTheme="majorHAnsi" w:cstheme="majorHAnsi"/>
          <w:noProof/>
          <w:sz w:val="24"/>
          <w:szCs w:val="24"/>
        </w:rPr>
        <w:tab/>
      </w:r>
    </w:p>
    <w:p w14:paraId="392089B9" w14:textId="26B51912" w:rsidR="00E35BC7" w:rsidRDefault="00E35BC7" w:rsidP="00A23753">
      <w:pPr>
        <w:tabs>
          <w:tab w:val="left" w:pos="7500"/>
        </w:tabs>
      </w:pPr>
      <w:r w:rsidRPr="00A23753">
        <w:br w:type="page"/>
      </w:r>
      <w:r w:rsidR="00A23753">
        <w:lastRenderedPageBreak/>
        <w:tab/>
      </w:r>
    </w:p>
    <w:sdt>
      <w:sdtPr>
        <w:rPr>
          <w:rFonts w:asciiTheme="minorHAnsi" w:hAnsiTheme="minorHAnsi"/>
          <w:b/>
          <w:color w:val="auto"/>
          <w:sz w:val="22"/>
          <w:szCs w:val="22"/>
        </w:rPr>
        <w:id w:val="315616011"/>
        <w:docPartObj>
          <w:docPartGallery w:val="Table of Contents"/>
          <w:docPartUnique/>
        </w:docPartObj>
      </w:sdtPr>
      <w:sdtEndPr>
        <w:rPr>
          <w:b w:val="0"/>
          <w:bCs/>
          <w:sz w:val="20"/>
          <w:szCs w:val="20"/>
        </w:rPr>
      </w:sdtEndPr>
      <w:sdtContent>
        <w:p w14:paraId="057AF123" w14:textId="77777777" w:rsidR="00685BB4" w:rsidRPr="00297917" w:rsidRDefault="00685BB4" w:rsidP="00A97305">
          <w:pPr>
            <w:pStyle w:val="TOCHeading"/>
            <w:spacing w:after="1320"/>
          </w:pPr>
          <w:r w:rsidRPr="00436062">
            <w:t>Contents</w:t>
          </w:r>
        </w:p>
        <w:p w14:paraId="25697E6C" w14:textId="201C4193" w:rsidR="00347108" w:rsidRDefault="006A02BB">
          <w:pPr>
            <w:pStyle w:val="TOC1"/>
            <w:rPr>
              <w:rFonts w:asciiTheme="minorHAnsi" w:eastAsiaTheme="minorEastAsia" w:hAnsiTheme="minorHAnsi"/>
              <w:color w:val="auto"/>
              <w:kern w:val="2"/>
              <w:szCs w:val="24"/>
              <w:lang w:eastAsia="en-AU"/>
              <w14:ligatures w14:val="standardContextual"/>
            </w:rPr>
          </w:pPr>
          <w:r>
            <w:rPr>
              <w:color w:val="00685B" w:themeColor="accent4"/>
              <w:sz w:val="23"/>
            </w:rPr>
            <w:fldChar w:fldCharType="begin"/>
          </w:r>
          <w:r>
            <w:rPr>
              <w:color w:val="00685B" w:themeColor="accent4"/>
            </w:rPr>
            <w:instrText xml:space="preserve"> TOC \o "1-1</w:instrText>
          </w:r>
          <w:r w:rsidR="006A40D6">
            <w:rPr>
              <w:color w:val="00685B" w:themeColor="accent4"/>
            </w:rPr>
            <w:instrText xml:space="preserve">" </w:instrText>
          </w:r>
          <w:r>
            <w:rPr>
              <w:color w:val="00685B" w:themeColor="accent4"/>
            </w:rPr>
            <w:instrText xml:space="preserve">\h \z \t </w:instrText>
          </w:r>
          <w:r w:rsidR="006A40D6">
            <w:rPr>
              <w:color w:val="00685B" w:themeColor="accent4"/>
            </w:rPr>
            <w:instrText xml:space="preserve">"Appendix H1,2" </w:instrText>
          </w:r>
          <w:r>
            <w:rPr>
              <w:color w:val="00685B" w:themeColor="accent4"/>
              <w:sz w:val="23"/>
            </w:rPr>
            <w:fldChar w:fldCharType="separate"/>
          </w:r>
          <w:hyperlink w:anchor="_Toc161743085" w:history="1">
            <w:r w:rsidR="00347108" w:rsidRPr="002F4D0C">
              <w:rPr>
                <w:rStyle w:val="Hyperlink"/>
              </w:rPr>
              <w:t>Abbreviations</w:t>
            </w:r>
            <w:r w:rsidR="00347108">
              <w:rPr>
                <w:webHidden/>
              </w:rPr>
              <w:tab/>
            </w:r>
            <w:r w:rsidR="00347108">
              <w:rPr>
                <w:webHidden/>
              </w:rPr>
              <w:fldChar w:fldCharType="begin"/>
            </w:r>
            <w:r w:rsidR="00347108">
              <w:rPr>
                <w:webHidden/>
              </w:rPr>
              <w:instrText xml:space="preserve"> PAGEREF _Toc161743085 \h </w:instrText>
            </w:r>
            <w:r w:rsidR="00347108">
              <w:rPr>
                <w:webHidden/>
              </w:rPr>
            </w:r>
            <w:r w:rsidR="00347108">
              <w:rPr>
                <w:webHidden/>
              </w:rPr>
              <w:fldChar w:fldCharType="separate"/>
            </w:r>
            <w:r w:rsidR="00FE1418">
              <w:rPr>
                <w:webHidden/>
              </w:rPr>
              <w:t>vi</w:t>
            </w:r>
            <w:r w:rsidR="00347108">
              <w:rPr>
                <w:webHidden/>
              </w:rPr>
              <w:fldChar w:fldCharType="end"/>
            </w:r>
          </w:hyperlink>
        </w:p>
        <w:p w14:paraId="5B23BBF7" w14:textId="47B1AD15" w:rsidR="00347108" w:rsidRDefault="002557C9">
          <w:pPr>
            <w:pStyle w:val="TOC1"/>
            <w:rPr>
              <w:rFonts w:asciiTheme="minorHAnsi" w:eastAsiaTheme="minorEastAsia" w:hAnsiTheme="minorHAnsi"/>
              <w:color w:val="auto"/>
              <w:kern w:val="2"/>
              <w:szCs w:val="24"/>
              <w:lang w:eastAsia="en-AU"/>
              <w14:ligatures w14:val="standardContextual"/>
            </w:rPr>
          </w:pPr>
          <w:hyperlink w:anchor="_Toc161743086" w:history="1">
            <w:r w:rsidR="00347108" w:rsidRPr="002F4D0C">
              <w:rPr>
                <w:rStyle w:val="Hyperlink"/>
              </w:rPr>
              <w:t>Executive Summary</w:t>
            </w:r>
            <w:r w:rsidR="00347108">
              <w:rPr>
                <w:webHidden/>
              </w:rPr>
              <w:tab/>
            </w:r>
            <w:r w:rsidR="00347108">
              <w:rPr>
                <w:webHidden/>
              </w:rPr>
              <w:fldChar w:fldCharType="begin"/>
            </w:r>
            <w:r w:rsidR="00347108">
              <w:rPr>
                <w:webHidden/>
              </w:rPr>
              <w:instrText xml:space="preserve"> PAGEREF _Toc161743086 \h </w:instrText>
            </w:r>
            <w:r w:rsidR="00347108">
              <w:rPr>
                <w:webHidden/>
              </w:rPr>
            </w:r>
            <w:r w:rsidR="00347108">
              <w:rPr>
                <w:webHidden/>
              </w:rPr>
              <w:fldChar w:fldCharType="separate"/>
            </w:r>
            <w:r w:rsidR="00FE1418">
              <w:rPr>
                <w:webHidden/>
              </w:rPr>
              <w:t>1</w:t>
            </w:r>
            <w:r w:rsidR="00347108">
              <w:rPr>
                <w:webHidden/>
              </w:rPr>
              <w:fldChar w:fldCharType="end"/>
            </w:r>
          </w:hyperlink>
        </w:p>
        <w:p w14:paraId="04EEDE8E" w14:textId="5A27A395" w:rsidR="00347108" w:rsidRDefault="002557C9">
          <w:pPr>
            <w:pStyle w:val="TOC1"/>
            <w:rPr>
              <w:rFonts w:asciiTheme="minorHAnsi" w:eastAsiaTheme="minorEastAsia" w:hAnsiTheme="minorHAnsi"/>
              <w:color w:val="auto"/>
              <w:kern w:val="2"/>
              <w:szCs w:val="24"/>
              <w:lang w:eastAsia="en-AU"/>
              <w14:ligatures w14:val="standardContextual"/>
            </w:rPr>
          </w:pPr>
          <w:hyperlink w:anchor="_Toc161743087" w:history="1">
            <w:r w:rsidR="00347108" w:rsidRPr="002F4D0C">
              <w:rPr>
                <w:rStyle w:val="Hyperlink"/>
              </w:rPr>
              <w:t>Recommendations</w:t>
            </w:r>
            <w:r w:rsidR="00347108">
              <w:rPr>
                <w:webHidden/>
              </w:rPr>
              <w:tab/>
            </w:r>
            <w:r w:rsidR="00347108">
              <w:rPr>
                <w:webHidden/>
              </w:rPr>
              <w:fldChar w:fldCharType="begin"/>
            </w:r>
            <w:r w:rsidR="00347108">
              <w:rPr>
                <w:webHidden/>
              </w:rPr>
              <w:instrText xml:space="preserve"> PAGEREF _Toc161743087 \h </w:instrText>
            </w:r>
            <w:r w:rsidR="00347108">
              <w:rPr>
                <w:webHidden/>
              </w:rPr>
            </w:r>
            <w:r w:rsidR="00347108">
              <w:rPr>
                <w:webHidden/>
              </w:rPr>
              <w:fldChar w:fldCharType="separate"/>
            </w:r>
            <w:r w:rsidR="00FE1418">
              <w:rPr>
                <w:webHidden/>
              </w:rPr>
              <w:t>6</w:t>
            </w:r>
            <w:r w:rsidR="00347108">
              <w:rPr>
                <w:webHidden/>
              </w:rPr>
              <w:fldChar w:fldCharType="end"/>
            </w:r>
          </w:hyperlink>
        </w:p>
        <w:p w14:paraId="5ADCAFAC" w14:textId="5C844894" w:rsidR="00347108" w:rsidRDefault="002557C9">
          <w:pPr>
            <w:pStyle w:val="TOC1"/>
            <w:rPr>
              <w:rFonts w:asciiTheme="minorHAnsi" w:eastAsiaTheme="minorEastAsia" w:hAnsiTheme="minorHAnsi"/>
              <w:color w:val="auto"/>
              <w:kern w:val="2"/>
              <w:szCs w:val="24"/>
              <w:lang w:eastAsia="en-AU"/>
              <w14:ligatures w14:val="standardContextual"/>
            </w:rPr>
          </w:pPr>
          <w:hyperlink w:anchor="_Toc161743088" w:history="1">
            <w:r w:rsidR="00347108" w:rsidRPr="002F4D0C">
              <w:rPr>
                <w:rStyle w:val="Hyperlink"/>
              </w:rPr>
              <w:t>1.</w:t>
            </w:r>
            <w:r w:rsidR="00347108">
              <w:rPr>
                <w:rFonts w:asciiTheme="minorHAnsi" w:eastAsiaTheme="minorEastAsia" w:hAnsiTheme="minorHAnsi"/>
                <w:color w:val="auto"/>
                <w:kern w:val="2"/>
                <w:szCs w:val="24"/>
                <w:lang w:eastAsia="en-AU"/>
                <w14:ligatures w14:val="standardContextual"/>
              </w:rPr>
              <w:tab/>
            </w:r>
            <w:r w:rsidR="00347108" w:rsidRPr="002F4D0C">
              <w:rPr>
                <w:rStyle w:val="Hyperlink"/>
              </w:rPr>
              <w:t>Introduction</w:t>
            </w:r>
            <w:r w:rsidR="00347108">
              <w:rPr>
                <w:webHidden/>
              </w:rPr>
              <w:tab/>
            </w:r>
            <w:r w:rsidR="00347108">
              <w:rPr>
                <w:webHidden/>
              </w:rPr>
              <w:fldChar w:fldCharType="begin"/>
            </w:r>
            <w:r w:rsidR="00347108">
              <w:rPr>
                <w:webHidden/>
              </w:rPr>
              <w:instrText xml:space="preserve"> PAGEREF _Toc161743088 \h </w:instrText>
            </w:r>
            <w:r w:rsidR="00347108">
              <w:rPr>
                <w:webHidden/>
              </w:rPr>
            </w:r>
            <w:r w:rsidR="00347108">
              <w:rPr>
                <w:webHidden/>
              </w:rPr>
              <w:fldChar w:fldCharType="separate"/>
            </w:r>
            <w:r w:rsidR="00FE1418">
              <w:rPr>
                <w:webHidden/>
              </w:rPr>
              <w:t>8</w:t>
            </w:r>
            <w:r w:rsidR="00347108">
              <w:rPr>
                <w:webHidden/>
              </w:rPr>
              <w:fldChar w:fldCharType="end"/>
            </w:r>
          </w:hyperlink>
        </w:p>
        <w:p w14:paraId="5F4C3B44" w14:textId="3172E1E2" w:rsidR="00347108" w:rsidRDefault="002557C9">
          <w:pPr>
            <w:pStyle w:val="TOC1"/>
            <w:rPr>
              <w:rFonts w:asciiTheme="minorHAnsi" w:eastAsiaTheme="minorEastAsia" w:hAnsiTheme="minorHAnsi"/>
              <w:color w:val="auto"/>
              <w:kern w:val="2"/>
              <w:szCs w:val="24"/>
              <w:lang w:eastAsia="en-AU"/>
              <w14:ligatures w14:val="standardContextual"/>
            </w:rPr>
          </w:pPr>
          <w:hyperlink w:anchor="_Toc161743089" w:history="1">
            <w:r w:rsidR="00347108" w:rsidRPr="002F4D0C">
              <w:rPr>
                <w:rStyle w:val="Hyperlink"/>
              </w:rPr>
              <w:t>2.</w:t>
            </w:r>
            <w:r w:rsidR="00347108">
              <w:rPr>
                <w:rFonts w:asciiTheme="minorHAnsi" w:eastAsiaTheme="minorEastAsia" w:hAnsiTheme="minorHAnsi"/>
                <w:color w:val="auto"/>
                <w:kern w:val="2"/>
                <w:szCs w:val="24"/>
                <w:lang w:eastAsia="en-AU"/>
                <w14:ligatures w14:val="standardContextual"/>
              </w:rPr>
              <w:tab/>
            </w:r>
            <w:r w:rsidR="00347108" w:rsidRPr="002F4D0C">
              <w:rPr>
                <w:rStyle w:val="Hyperlink"/>
              </w:rPr>
              <w:t>Scheme Overview</w:t>
            </w:r>
            <w:r w:rsidR="00347108">
              <w:rPr>
                <w:webHidden/>
              </w:rPr>
              <w:tab/>
            </w:r>
            <w:r w:rsidR="00347108">
              <w:rPr>
                <w:webHidden/>
              </w:rPr>
              <w:fldChar w:fldCharType="begin"/>
            </w:r>
            <w:r w:rsidR="00347108">
              <w:rPr>
                <w:webHidden/>
              </w:rPr>
              <w:instrText xml:space="preserve"> PAGEREF _Toc161743089 \h </w:instrText>
            </w:r>
            <w:r w:rsidR="00347108">
              <w:rPr>
                <w:webHidden/>
              </w:rPr>
            </w:r>
            <w:r w:rsidR="00347108">
              <w:rPr>
                <w:webHidden/>
              </w:rPr>
              <w:fldChar w:fldCharType="separate"/>
            </w:r>
            <w:r w:rsidR="00FE1418">
              <w:rPr>
                <w:webHidden/>
              </w:rPr>
              <w:t>10</w:t>
            </w:r>
            <w:r w:rsidR="00347108">
              <w:rPr>
                <w:webHidden/>
              </w:rPr>
              <w:fldChar w:fldCharType="end"/>
            </w:r>
          </w:hyperlink>
        </w:p>
        <w:p w14:paraId="0A8A7B1F" w14:textId="6B97BF3F" w:rsidR="00347108" w:rsidRDefault="002557C9">
          <w:pPr>
            <w:pStyle w:val="TOC1"/>
            <w:rPr>
              <w:rFonts w:asciiTheme="minorHAnsi" w:eastAsiaTheme="minorEastAsia" w:hAnsiTheme="minorHAnsi"/>
              <w:color w:val="auto"/>
              <w:kern w:val="2"/>
              <w:szCs w:val="24"/>
              <w:lang w:eastAsia="en-AU"/>
              <w14:ligatures w14:val="standardContextual"/>
            </w:rPr>
          </w:pPr>
          <w:hyperlink w:anchor="_Toc161743090" w:history="1">
            <w:r w:rsidR="00347108" w:rsidRPr="002F4D0C">
              <w:rPr>
                <w:rStyle w:val="Hyperlink"/>
              </w:rPr>
              <w:t>3.</w:t>
            </w:r>
            <w:r w:rsidR="00347108">
              <w:rPr>
                <w:rFonts w:asciiTheme="minorHAnsi" w:eastAsiaTheme="minorEastAsia" w:hAnsiTheme="minorHAnsi"/>
                <w:color w:val="auto"/>
                <w:kern w:val="2"/>
                <w:szCs w:val="24"/>
                <w:lang w:eastAsia="en-AU"/>
                <w14:ligatures w14:val="standardContextual"/>
              </w:rPr>
              <w:tab/>
            </w:r>
            <w:r w:rsidR="00347108" w:rsidRPr="002F4D0C">
              <w:rPr>
                <w:rStyle w:val="Hyperlink"/>
              </w:rPr>
              <w:t>Clinical Eligibility</w:t>
            </w:r>
            <w:r w:rsidR="00347108">
              <w:rPr>
                <w:webHidden/>
              </w:rPr>
              <w:tab/>
            </w:r>
            <w:r w:rsidR="00347108">
              <w:rPr>
                <w:webHidden/>
              </w:rPr>
              <w:fldChar w:fldCharType="begin"/>
            </w:r>
            <w:r w:rsidR="00347108">
              <w:rPr>
                <w:webHidden/>
              </w:rPr>
              <w:instrText xml:space="preserve"> PAGEREF _Toc161743090 \h </w:instrText>
            </w:r>
            <w:r w:rsidR="00347108">
              <w:rPr>
                <w:webHidden/>
              </w:rPr>
            </w:r>
            <w:r w:rsidR="00347108">
              <w:rPr>
                <w:webHidden/>
              </w:rPr>
              <w:fldChar w:fldCharType="separate"/>
            </w:r>
            <w:r w:rsidR="00FE1418">
              <w:rPr>
                <w:webHidden/>
              </w:rPr>
              <w:t>15</w:t>
            </w:r>
            <w:r w:rsidR="00347108">
              <w:rPr>
                <w:webHidden/>
              </w:rPr>
              <w:fldChar w:fldCharType="end"/>
            </w:r>
          </w:hyperlink>
        </w:p>
        <w:p w14:paraId="7DA1F873" w14:textId="4A05A973" w:rsidR="00347108" w:rsidRDefault="002557C9">
          <w:pPr>
            <w:pStyle w:val="TOC1"/>
            <w:rPr>
              <w:rFonts w:asciiTheme="minorHAnsi" w:eastAsiaTheme="minorEastAsia" w:hAnsiTheme="minorHAnsi"/>
              <w:color w:val="auto"/>
              <w:kern w:val="2"/>
              <w:szCs w:val="24"/>
              <w:lang w:eastAsia="en-AU"/>
              <w14:ligatures w14:val="standardContextual"/>
            </w:rPr>
          </w:pPr>
          <w:hyperlink w:anchor="_Toc161743091" w:history="1">
            <w:r w:rsidR="00347108" w:rsidRPr="002F4D0C">
              <w:rPr>
                <w:rStyle w:val="Hyperlink"/>
              </w:rPr>
              <w:t>4.</w:t>
            </w:r>
            <w:r w:rsidR="00347108">
              <w:rPr>
                <w:rFonts w:asciiTheme="minorHAnsi" w:eastAsiaTheme="minorEastAsia" w:hAnsiTheme="minorHAnsi"/>
                <w:color w:val="auto"/>
                <w:kern w:val="2"/>
                <w:szCs w:val="24"/>
                <w:lang w:eastAsia="en-AU"/>
                <w14:ligatures w14:val="standardContextual"/>
              </w:rPr>
              <w:tab/>
            </w:r>
            <w:r w:rsidR="00347108" w:rsidRPr="002F4D0C">
              <w:rPr>
                <w:rStyle w:val="Hyperlink"/>
              </w:rPr>
              <w:t>Accessibility of the Scheme</w:t>
            </w:r>
            <w:r w:rsidR="00347108">
              <w:rPr>
                <w:webHidden/>
              </w:rPr>
              <w:tab/>
            </w:r>
            <w:r w:rsidR="00347108">
              <w:rPr>
                <w:webHidden/>
              </w:rPr>
              <w:fldChar w:fldCharType="begin"/>
            </w:r>
            <w:r w:rsidR="00347108">
              <w:rPr>
                <w:webHidden/>
              </w:rPr>
              <w:instrText xml:space="preserve"> PAGEREF _Toc161743091 \h </w:instrText>
            </w:r>
            <w:r w:rsidR="00347108">
              <w:rPr>
                <w:webHidden/>
              </w:rPr>
            </w:r>
            <w:r w:rsidR="00347108">
              <w:rPr>
                <w:webHidden/>
              </w:rPr>
              <w:fldChar w:fldCharType="separate"/>
            </w:r>
            <w:r w:rsidR="00FE1418">
              <w:rPr>
                <w:webHidden/>
              </w:rPr>
              <w:t>22</w:t>
            </w:r>
            <w:r w:rsidR="00347108">
              <w:rPr>
                <w:webHidden/>
              </w:rPr>
              <w:fldChar w:fldCharType="end"/>
            </w:r>
          </w:hyperlink>
        </w:p>
        <w:p w14:paraId="49C549B7" w14:textId="5060E5D1" w:rsidR="00347108" w:rsidRDefault="002557C9">
          <w:pPr>
            <w:pStyle w:val="TOC1"/>
            <w:rPr>
              <w:rFonts w:asciiTheme="minorHAnsi" w:eastAsiaTheme="minorEastAsia" w:hAnsiTheme="minorHAnsi"/>
              <w:color w:val="auto"/>
              <w:kern w:val="2"/>
              <w:szCs w:val="24"/>
              <w:lang w:eastAsia="en-AU"/>
              <w14:ligatures w14:val="standardContextual"/>
            </w:rPr>
          </w:pPr>
          <w:hyperlink w:anchor="_Toc161743092" w:history="1">
            <w:r w:rsidR="00347108" w:rsidRPr="002F4D0C">
              <w:rPr>
                <w:rStyle w:val="Hyperlink"/>
              </w:rPr>
              <w:t>5.</w:t>
            </w:r>
            <w:r w:rsidR="00347108">
              <w:rPr>
                <w:rFonts w:asciiTheme="minorHAnsi" w:eastAsiaTheme="minorEastAsia" w:hAnsiTheme="minorHAnsi"/>
                <w:color w:val="auto"/>
                <w:kern w:val="2"/>
                <w:szCs w:val="24"/>
                <w:lang w:eastAsia="en-AU"/>
                <w14:ligatures w14:val="standardContextual"/>
              </w:rPr>
              <w:tab/>
            </w:r>
            <w:r w:rsidR="00347108" w:rsidRPr="002F4D0C">
              <w:rPr>
                <w:rStyle w:val="Hyperlink"/>
              </w:rPr>
              <w:t>The Scheme Schedule</w:t>
            </w:r>
            <w:r w:rsidR="00347108">
              <w:rPr>
                <w:webHidden/>
              </w:rPr>
              <w:tab/>
            </w:r>
            <w:r w:rsidR="00347108">
              <w:rPr>
                <w:webHidden/>
              </w:rPr>
              <w:fldChar w:fldCharType="begin"/>
            </w:r>
            <w:r w:rsidR="00347108">
              <w:rPr>
                <w:webHidden/>
              </w:rPr>
              <w:instrText xml:space="preserve"> PAGEREF _Toc161743092 \h </w:instrText>
            </w:r>
            <w:r w:rsidR="00347108">
              <w:rPr>
                <w:webHidden/>
              </w:rPr>
            </w:r>
            <w:r w:rsidR="00347108">
              <w:rPr>
                <w:webHidden/>
              </w:rPr>
              <w:fldChar w:fldCharType="separate"/>
            </w:r>
            <w:r w:rsidR="00FE1418">
              <w:rPr>
                <w:webHidden/>
              </w:rPr>
              <w:t>25</w:t>
            </w:r>
            <w:r w:rsidR="00347108">
              <w:rPr>
                <w:webHidden/>
              </w:rPr>
              <w:fldChar w:fldCharType="end"/>
            </w:r>
          </w:hyperlink>
        </w:p>
        <w:p w14:paraId="30A9C7B9" w14:textId="0C6E5255" w:rsidR="00347108" w:rsidRDefault="002557C9">
          <w:pPr>
            <w:pStyle w:val="TOC1"/>
            <w:rPr>
              <w:rFonts w:asciiTheme="minorHAnsi" w:eastAsiaTheme="minorEastAsia" w:hAnsiTheme="minorHAnsi"/>
              <w:color w:val="auto"/>
              <w:kern w:val="2"/>
              <w:szCs w:val="24"/>
              <w:lang w:eastAsia="en-AU"/>
              <w14:ligatures w14:val="standardContextual"/>
            </w:rPr>
          </w:pPr>
          <w:hyperlink w:anchor="_Toc161743093" w:history="1">
            <w:r w:rsidR="00347108" w:rsidRPr="002F4D0C">
              <w:rPr>
                <w:rStyle w:val="Hyperlink"/>
              </w:rPr>
              <w:t>6.</w:t>
            </w:r>
            <w:r w:rsidR="00347108">
              <w:rPr>
                <w:rFonts w:asciiTheme="minorHAnsi" w:eastAsiaTheme="minorEastAsia" w:hAnsiTheme="minorHAnsi"/>
                <w:color w:val="auto"/>
                <w:kern w:val="2"/>
                <w:szCs w:val="24"/>
                <w:lang w:eastAsia="en-AU"/>
                <w14:ligatures w14:val="standardContextual"/>
              </w:rPr>
              <w:tab/>
            </w:r>
            <w:r w:rsidR="00347108" w:rsidRPr="002F4D0C">
              <w:rPr>
                <w:rStyle w:val="Hyperlink"/>
              </w:rPr>
              <w:t>Pricing Methodology and Alternatives</w:t>
            </w:r>
            <w:r w:rsidR="00347108">
              <w:rPr>
                <w:webHidden/>
              </w:rPr>
              <w:tab/>
            </w:r>
            <w:r w:rsidR="00347108">
              <w:rPr>
                <w:webHidden/>
              </w:rPr>
              <w:fldChar w:fldCharType="begin"/>
            </w:r>
            <w:r w:rsidR="00347108">
              <w:rPr>
                <w:webHidden/>
              </w:rPr>
              <w:instrText xml:space="preserve"> PAGEREF _Toc161743093 \h </w:instrText>
            </w:r>
            <w:r w:rsidR="00347108">
              <w:rPr>
                <w:webHidden/>
              </w:rPr>
            </w:r>
            <w:r w:rsidR="00347108">
              <w:rPr>
                <w:webHidden/>
              </w:rPr>
              <w:fldChar w:fldCharType="separate"/>
            </w:r>
            <w:r w:rsidR="00FE1418">
              <w:rPr>
                <w:webHidden/>
              </w:rPr>
              <w:t>31</w:t>
            </w:r>
            <w:r w:rsidR="00347108">
              <w:rPr>
                <w:webHidden/>
              </w:rPr>
              <w:fldChar w:fldCharType="end"/>
            </w:r>
          </w:hyperlink>
        </w:p>
        <w:p w14:paraId="7C5FE0AA" w14:textId="1B183E24" w:rsidR="00347108" w:rsidRDefault="002557C9">
          <w:pPr>
            <w:pStyle w:val="TOC1"/>
            <w:rPr>
              <w:rFonts w:asciiTheme="minorHAnsi" w:eastAsiaTheme="minorEastAsia" w:hAnsiTheme="minorHAnsi"/>
              <w:color w:val="auto"/>
              <w:kern w:val="2"/>
              <w:szCs w:val="24"/>
              <w:lang w:eastAsia="en-AU"/>
              <w14:ligatures w14:val="standardContextual"/>
            </w:rPr>
          </w:pPr>
          <w:hyperlink w:anchor="_Toc161743094" w:history="1">
            <w:r w:rsidR="00347108" w:rsidRPr="002F4D0C">
              <w:rPr>
                <w:rStyle w:val="Hyperlink"/>
              </w:rPr>
              <w:t>7.</w:t>
            </w:r>
            <w:r w:rsidR="00347108">
              <w:rPr>
                <w:rFonts w:asciiTheme="minorHAnsi" w:eastAsiaTheme="minorEastAsia" w:hAnsiTheme="minorHAnsi"/>
                <w:color w:val="auto"/>
                <w:kern w:val="2"/>
                <w:szCs w:val="24"/>
                <w:lang w:eastAsia="en-AU"/>
                <w14:ligatures w14:val="standardContextual"/>
              </w:rPr>
              <w:tab/>
            </w:r>
            <w:r w:rsidR="00347108" w:rsidRPr="002F4D0C">
              <w:rPr>
                <w:rStyle w:val="Hyperlink"/>
              </w:rPr>
              <w:t>Budgetary Implications</w:t>
            </w:r>
            <w:r w:rsidR="00347108">
              <w:rPr>
                <w:webHidden/>
              </w:rPr>
              <w:tab/>
            </w:r>
            <w:r w:rsidR="00347108">
              <w:rPr>
                <w:webHidden/>
              </w:rPr>
              <w:fldChar w:fldCharType="begin"/>
            </w:r>
            <w:r w:rsidR="00347108">
              <w:rPr>
                <w:webHidden/>
              </w:rPr>
              <w:instrText xml:space="preserve"> PAGEREF _Toc161743094 \h </w:instrText>
            </w:r>
            <w:r w:rsidR="00347108">
              <w:rPr>
                <w:webHidden/>
              </w:rPr>
            </w:r>
            <w:r w:rsidR="00347108">
              <w:rPr>
                <w:webHidden/>
              </w:rPr>
              <w:fldChar w:fldCharType="separate"/>
            </w:r>
            <w:r w:rsidR="00FE1418">
              <w:rPr>
                <w:webHidden/>
              </w:rPr>
              <w:t>43</w:t>
            </w:r>
            <w:r w:rsidR="00347108">
              <w:rPr>
                <w:webHidden/>
              </w:rPr>
              <w:fldChar w:fldCharType="end"/>
            </w:r>
          </w:hyperlink>
        </w:p>
        <w:p w14:paraId="053ADF82" w14:textId="1091A28D" w:rsidR="00347108" w:rsidRDefault="002557C9">
          <w:pPr>
            <w:pStyle w:val="TOC1"/>
            <w:rPr>
              <w:rFonts w:asciiTheme="minorHAnsi" w:eastAsiaTheme="minorEastAsia" w:hAnsiTheme="minorHAnsi"/>
              <w:color w:val="auto"/>
              <w:kern w:val="2"/>
              <w:szCs w:val="24"/>
              <w:lang w:eastAsia="en-AU"/>
              <w14:ligatures w14:val="standardContextual"/>
            </w:rPr>
          </w:pPr>
          <w:hyperlink w:anchor="_Toc161743095" w:history="1">
            <w:r w:rsidR="00347108" w:rsidRPr="002F4D0C">
              <w:rPr>
                <w:rStyle w:val="Hyperlink"/>
              </w:rPr>
              <w:t>8.</w:t>
            </w:r>
            <w:r w:rsidR="00347108">
              <w:rPr>
                <w:rFonts w:asciiTheme="minorHAnsi" w:eastAsiaTheme="minorEastAsia" w:hAnsiTheme="minorHAnsi"/>
                <w:color w:val="auto"/>
                <w:kern w:val="2"/>
                <w:szCs w:val="24"/>
                <w:lang w:eastAsia="en-AU"/>
                <w14:ligatures w14:val="standardContextual"/>
              </w:rPr>
              <w:tab/>
            </w:r>
            <w:r w:rsidR="00347108" w:rsidRPr="002F4D0C">
              <w:rPr>
                <w:rStyle w:val="Hyperlink"/>
              </w:rPr>
              <w:t>Conclusions and Recommendations</w:t>
            </w:r>
            <w:r w:rsidR="00347108">
              <w:rPr>
                <w:webHidden/>
              </w:rPr>
              <w:tab/>
            </w:r>
            <w:r w:rsidR="00347108">
              <w:rPr>
                <w:webHidden/>
              </w:rPr>
              <w:fldChar w:fldCharType="begin"/>
            </w:r>
            <w:r w:rsidR="00347108">
              <w:rPr>
                <w:webHidden/>
              </w:rPr>
              <w:instrText xml:space="preserve"> PAGEREF _Toc161743095 \h </w:instrText>
            </w:r>
            <w:r w:rsidR="00347108">
              <w:rPr>
                <w:webHidden/>
              </w:rPr>
            </w:r>
            <w:r w:rsidR="00347108">
              <w:rPr>
                <w:webHidden/>
              </w:rPr>
              <w:fldChar w:fldCharType="separate"/>
            </w:r>
            <w:r w:rsidR="00FE1418">
              <w:rPr>
                <w:webHidden/>
              </w:rPr>
              <w:t>51</w:t>
            </w:r>
            <w:r w:rsidR="00347108">
              <w:rPr>
                <w:webHidden/>
              </w:rPr>
              <w:fldChar w:fldCharType="end"/>
            </w:r>
          </w:hyperlink>
        </w:p>
        <w:p w14:paraId="3E9D3A8B" w14:textId="61AAD163" w:rsidR="00347108" w:rsidRDefault="002557C9">
          <w:pPr>
            <w:pStyle w:val="TOC2"/>
            <w:tabs>
              <w:tab w:val="left" w:pos="2268"/>
            </w:tabs>
            <w:rPr>
              <w:rFonts w:asciiTheme="minorHAnsi" w:eastAsiaTheme="minorEastAsia" w:hAnsiTheme="minorHAnsi"/>
              <w:color w:val="auto"/>
              <w:kern w:val="2"/>
              <w:szCs w:val="24"/>
              <w:lang w:eastAsia="en-AU"/>
              <w14:ligatures w14:val="standardContextual"/>
            </w:rPr>
          </w:pPr>
          <w:hyperlink w:anchor="_Toc161743096" w:history="1">
            <w:r w:rsidR="00347108" w:rsidRPr="002F4D0C">
              <w:rPr>
                <w:rStyle w:val="Hyperlink"/>
              </w:rPr>
              <w:t>Appendix A</w:t>
            </w:r>
            <w:r w:rsidR="00347108">
              <w:rPr>
                <w:rFonts w:asciiTheme="minorHAnsi" w:eastAsiaTheme="minorEastAsia" w:hAnsiTheme="minorHAnsi"/>
                <w:color w:val="auto"/>
                <w:kern w:val="2"/>
                <w:szCs w:val="24"/>
                <w:lang w:eastAsia="en-AU"/>
                <w14:ligatures w14:val="standardContextual"/>
              </w:rPr>
              <w:tab/>
            </w:r>
            <w:r w:rsidR="00347108" w:rsidRPr="002F4D0C">
              <w:rPr>
                <w:rStyle w:val="Hyperlink"/>
              </w:rPr>
              <w:t>List of Stakeholders Consulted</w:t>
            </w:r>
            <w:r w:rsidR="00347108">
              <w:rPr>
                <w:webHidden/>
              </w:rPr>
              <w:tab/>
            </w:r>
            <w:r w:rsidR="00347108">
              <w:rPr>
                <w:webHidden/>
              </w:rPr>
              <w:fldChar w:fldCharType="begin"/>
            </w:r>
            <w:r w:rsidR="00347108">
              <w:rPr>
                <w:webHidden/>
              </w:rPr>
              <w:instrText xml:space="preserve"> PAGEREF _Toc161743096 \h </w:instrText>
            </w:r>
            <w:r w:rsidR="00347108">
              <w:rPr>
                <w:webHidden/>
              </w:rPr>
            </w:r>
            <w:r w:rsidR="00347108">
              <w:rPr>
                <w:webHidden/>
              </w:rPr>
              <w:fldChar w:fldCharType="separate"/>
            </w:r>
            <w:r w:rsidR="00FE1418">
              <w:rPr>
                <w:webHidden/>
              </w:rPr>
              <w:t>59</w:t>
            </w:r>
            <w:r w:rsidR="00347108">
              <w:rPr>
                <w:webHidden/>
              </w:rPr>
              <w:fldChar w:fldCharType="end"/>
            </w:r>
          </w:hyperlink>
        </w:p>
        <w:p w14:paraId="30DBC8CE" w14:textId="4C150BB2" w:rsidR="00347108" w:rsidRDefault="002557C9">
          <w:pPr>
            <w:pStyle w:val="TOC2"/>
            <w:tabs>
              <w:tab w:val="left" w:pos="2268"/>
            </w:tabs>
            <w:rPr>
              <w:rFonts w:asciiTheme="minorHAnsi" w:eastAsiaTheme="minorEastAsia" w:hAnsiTheme="minorHAnsi"/>
              <w:color w:val="auto"/>
              <w:kern w:val="2"/>
              <w:szCs w:val="24"/>
              <w:lang w:eastAsia="en-AU"/>
              <w14:ligatures w14:val="standardContextual"/>
            </w:rPr>
          </w:pPr>
          <w:hyperlink w:anchor="_Toc161743097" w:history="1">
            <w:r w:rsidR="00347108" w:rsidRPr="002F4D0C">
              <w:rPr>
                <w:rStyle w:val="Hyperlink"/>
              </w:rPr>
              <w:t>Appendix B</w:t>
            </w:r>
            <w:r w:rsidR="00347108">
              <w:rPr>
                <w:rFonts w:asciiTheme="minorHAnsi" w:eastAsiaTheme="minorEastAsia" w:hAnsiTheme="minorHAnsi"/>
                <w:color w:val="auto"/>
                <w:kern w:val="2"/>
                <w:szCs w:val="24"/>
                <w:lang w:eastAsia="en-AU"/>
                <w14:ligatures w14:val="standardContextual"/>
              </w:rPr>
              <w:tab/>
            </w:r>
            <w:r w:rsidR="00347108" w:rsidRPr="002F4D0C">
              <w:rPr>
                <w:rStyle w:val="Hyperlink"/>
              </w:rPr>
              <w:t>Review Topics and Questions</w:t>
            </w:r>
            <w:r w:rsidR="00347108">
              <w:rPr>
                <w:webHidden/>
              </w:rPr>
              <w:tab/>
            </w:r>
            <w:r w:rsidR="00347108">
              <w:rPr>
                <w:webHidden/>
              </w:rPr>
              <w:fldChar w:fldCharType="begin"/>
            </w:r>
            <w:r w:rsidR="00347108">
              <w:rPr>
                <w:webHidden/>
              </w:rPr>
              <w:instrText xml:space="preserve"> PAGEREF _Toc161743097 \h </w:instrText>
            </w:r>
            <w:r w:rsidR="00347108">
              <w:rPr>
                <w:webHidden/>
              </w:rPr>
            </w:r>
            <w:r w:rsidR="00347108">
              <w:rPr>
                <w:webHidden/>
              </w:rPr>
              <w:fldChar w:fldCharType="separate"/>
            </w:r>
            <w:r w:rsidR="00FE1418">
              <w:rPr>
                <w:webHidden/>
              </w:rPr>
              <w:t>60</w:t>
            </w:r>
            <w:r w:rsidR="00347108">
              <w:rPr>
                <w:webHidden/>
              </w:rPr>
              <w:fldChar w:fldCharType="end"/>
            </w:r>
          </w:hyperlink>
        </w:p>
        <w:p w14:paraId="7AB3464C" w14:textId="5126F5FC" w:rsidR="00347108" w:rsidRDefault="002557C9">
          <w:pPr>
            <w:pStyle w:val="TOC2"/>
            <w:tabs>
              <w:tab w:val="left" w:pos="2268"/>
            </w:tabs>
            <w:rPr>
              <w:rFonts w:asciiTheme="minorHAnsi" w:eastAsiaTheme="minorEastAsia" w:hAnsiTheme="minorHAnsi"/>
              <w:color w:val="auto"/>
              <w:kern w:val="2"/>
              <w:szCs w:val="24"/>
              <w:lang w:eastAsia="en-AU"/>
              <w14:ligatures w14:val="standardContextual"/>
            </w:rPr>
          </w:pPr>
          <w:hyperlink w:anchor="_Toc161743098" w:history="1">
            <w:r w:rsidR="00347108" w:rsidRPr="002F4D0C">
              <w:rPr>
                <w:rStyle w:val="Hyperlink"/>
              </w:rPr>
              <w:t>Appendix C</w:t>
            </w:r>
            <w:r w:rsidR="00347108">
              <w:rPr>
                <w:rFonts w:asciiTheme="minorHAnsi" w:eastAsiaTheme="minorEastAsia" w:hAnsiTheme="minorHAnsi"/>
                <w:color w:val="auto"/>
                <w:kern w:val="2"/>
                <w:szCs w:val="24"/>
                <w:lang w:eastAsia="en-AU"/>
                <w14:ligatures w14:val="standardContextual"/>
              </w:rPr>
              <w:tab/>
            </w:r>
            <w:r w:rsidR="00347108" w:rsidRPr="002F4D0C">
              <w:rPr>
                <w:rStyle w:val="Hyperlink"/>
              </w:rPr>
              <w:t>Schedule Groups and Subgroups</w:t>
            </w:r>
            <w:r w:rsidR="00347108">
              <w:rPr>
                <w:webHidden/>
              </w:rPr>
              <w:tab/>
            </w:r>
            <w:r w:rsidR="00347108">
              <w:rPr>
                <w:webHidden/>
              </w:rPr>
              <w:fldChar w:fldCharType="begin"/>
            </w:r>
            <w:r w:rsidR="00347108">
              <w:rPr>
                <w:webHidden/>
              </w:rPr>
              <w:instrText xml:space="preserve"> PAGEREF _Toc161743098 \h </w:instrText>
            </w:r>
            <w:r w:rsidR="00347108">
              <w:rPr>
                <w:webHidden/>
              </w:rPr>
            </w:r>
            <w:r w:rsidR="00347108">
              <w:rPr>
                <w:webHidden/>
              </w:rPr>
              <w:fldChar w:fldCharType="separate"/>
            </w:r>
            <w:r w:rsidR="00FE1418">
              <w:rPr>
                <w:webHidden/>
              </w:rPr>
              <w:t>62</w:t>
            </w:r>
            <w:r w:rsidR="00347108">
              <w:rPr>
                <w:webHidden/>
              </w:rPr>
              <w:fldChar w:fldCharType="end"/>
            </w:r>
          </w:hyperlink>
        </w:p>
        <w:p w14:paraId="4A9CCC0B" w14:textId="4389618E" w:rsidR="00347108" w:rsidRDefault="002557C9">
          <w:pPr>
            <w:pStyle w:val="TOC2"/>
            <w:tabs>
              <w:tab w:val="left" w:pos="2268"/>
            </w:tabs>
            <w:rPr>
              <w:rFonts w:asciiTheme="minorHAnsi" w:eastAsiaTheme="minorEastAsia" w:hAnsiTheme="minorHAnsi"/>
              <w:color w:val="auto"/>
              <w:kern w:val="2"/>
              <w:szCs w:val="24"/>
              <w:lang w:eastAsia="en-AU"/>
              <w14:ligatures w14:val="standardContextual"/>
            </w:rPr>
          </w:pPr>
          <w:hyperlink w:anchor="_Toc161743099" w:history="1">
            <w:r w:rsidR="00347108" w:rsidRPr="002F4D0C">
              <w:rPr>
                <w:rStyle w:val="Hyperlink"/>
              </w:rPr>
              <w:t>Appendix D</w:t>
            </w:r>
            <w:r w:rsidR="00347108">
              <w:rPr>
                <w:rFonts w:asciiTheme="minorHAnsi" w:eastAsiaTheme="minorEastAsia" w:hAnsiTheme="minorHAnsi"/>
                <w:color w:val="auto"/>
                <w:kern w:val="2"/>
                <w:szCs w:val="24"/>
                <w:lang w:eastAsia="en-AU"/>
                <w14:ligatures w14:val="standardContextual"/>
              </w:rPr>
              <w:tab/>
            </w:r>
            <w:r w:rsidR="00347108" w:rsidRPr="002F4D0C">
              <w:rPr>
                <w:rStyle w:val="Hyperlink"/>
              </w:rPr>
              <w:t>Overview of SPAP</w:t>
            </w:r>
            <w:r w:rsidR="00347108">
              <w:rPr>
                <w:webHidden/>
              </w:rPr>
              <w:tab/>
            </w:r>
            <w:r w:rsidR="00347108">
              <w:rPr>
                <w:webHidden/>
              </w:rPr>
              <w:fldChar w:fldCharType="begin"/>
            </w:r>
            <w:r w:rsidR="00347108">
              <w:rPr>
                <w:webHidden/>
              </w:rPr>
              <w:instrText xml:space="preserve"> PAGEREF _Toc161743099 \h </w:instrText>
            </w:r>
            <w:r w:rsidR="00347108">
              <w:rPr>
                <w:webHidden/>
              </w:rPr>
            </w:r>
            <w:r w:rsidR="00347108">
              <w:rPr>
                <w:webHidden/>
              </w:rPr>
              <w:fldChar w:fldCharType="separate"/>
            </w:r>
            <w:r w:rsidR="00FE1418">
              <w:rPr>
                <w:webHidden/>
              </w:rPr>
              <w:t>64</w:t>
            </w:r>
            <w:r w:rsidR="00347108">
              <w:rPr>
                <w:webHidden/>
              </w:rPr>
              <w:fldChar w:fldCharType="end"/>
            </w:r>
          </w:hyperlink>
        </w:p>
        <w:p w14:paraId="7C4C9457" w14:textId="57316C4E" w:rsidR="00347108" w:rsidRDefault="002557C9">
          <w:pPr>
            <w:pStyle w:val="TOC2"/>
            <w:tabs>
              <w:tab w:val="left" w:pos="2268"/>
            </w:tabs>
            <w:rPr>
              <w:rFonts w:asciiTheme="minorHAnsi" w:eastAsiaTheme="minorEastAsia" w:hAnsiTheme="minorHAnsi"/>
              <w:color w:val="auto"/>
              <w:kern w:val="2"/>
              <w:szCs w:val="24"/>
              <w:lang w:eastAsia="en-AU"/>
              <w14:ligatures w14:val="standardContextual"/>
            </w:rPr>
          </w:pPr>
          <w:hyperlink w:anchor="_Toc161743100" w:history="1">
            <w:r w:rsidR="00347108" w:rsidRPr="002F4D0C">
              <w:rPr>
                <w:rStyle w:val="Hyperlink"/>
              </w:rPr>
              <w:t>Appendix E</w:t>
            </w:r>
            <w:r w:rsidR="00347108">
              <w:rPr>
                <w:rFonts w:asciiTheme="minorHAnsi" w:eastAsiaTheme="minorEastAsia" w:hAnsiTheme="minorHAnsi"/>
                <w:color w:val="auto"/>
                <w:kern w:val="2"/>
                <w:szCs w:val="24"/>
                <w:lang w:eastAsia="en-AU"/>
                <w14:ligatures w14:val="standardContextual"/>
              </w:rPr>
              <w:tab/>
            </w:r>
            <w:r w:rsidR="00347108" w:rsidRPr="002F4D0C">
              <w:rPr>
                <w:rStyle w:val="Hyperlink"/>
              </w:rPr>
              <w:t>Comparator Schemes</w:t>
            </w:r>
            <w:r w:rsidR="00347108">
              <w:rPr>
                <w:webHidden/>
              </w:rPr>
              <w:tab/>
            </w:r>
            <w:r w:rsidR="00347108">
              <w:rPr>
                <w:webHidden/>
              </w:rPr>
              <w:fldChar w:fldCharType="begin"/>
            </w:r>
            <w:r w:rsidR="00347108">
              <w:rPr>
                <w:webHidden/>
              </w:rPr>
              <w:instrText xml:space="preserve"> PAGEREF _Toc161743100 \h </w:instrText>
            </w:r>
            <w:r w:rsidR="00347108">
              <w:rPr>
                <w:webHidden/>
              </w:rPr>
            </w:r>
            <w:r w:rsidR="00347108">
              <w:rPr>
                <w:webHidden/>
              </w:rPr>
              <w:fldChar w:fldCharType="separate"/>
            </w:r>
            <w:r w:rsidR="00FE1418">
              <w:rPr>
                <w:webHidden/>
              </w:rPr>
              <w:t>65</w:t>
            </w:r>
            <w:r w:rsidR="00347108">
              <w:rPr>
                <w:webHidden/>
              </w:rPr>
              <w:fldChar w:fldCharType="end"/>
            </w:r>
          </w:hyperlink>
        </w:p>
        <w:p w14:paraId="20E3BF59" w14:textId="22700B11" w:rsidR="00347108" w:rsidRDefault="002557C9">
          <w:pPr>
            <w:pStyle w:val="TOC2"/>
            <w:tabs>
              <w:tab w:val="left" w:pos="2268"/>
            </w:tabs>
            <w:rPr>
              <w:rFonts w:asciiTheme="minorHAnsi" w:eastAsiaTheme="minorEastAsia" w:hAnsiTheme="minorHAnsi"/>
              <w:color w:val="auto"/>
              <w:kern w:val="2"/>
              <w:szCs w:val="24"/>
              <w:lang w:eastAsia="en-AU"/>
              <w14:ligatures w14:val="standardContextual"/>
            </w:rPr>
          </w:pPr>
          <w:hyperlink w:anchor="_Toc161743101" w:history="1">
            <w:r w:rsidR="00347108" w:rsidRPr="002F4D0C">
              <w:rPr>
                <w:rStyle w:val="Hyperlink"/>
              </w:rPr>
              <w:t>Appendix F</w:t>
            </w:r>
            <w:r w:rsidR="00347108">
              <w:rPr>
                <w:rFonts w:asciiTheme="minorHAnsi" w:eastAsiaTheme="minorEastAsia" w:hAnsiTheme="minorHAnsi"/>
                <w:color w:val="auto"/>
                <w:kern w:val="2"/>
                <w:szCs w:val="24"/>
                <w:lang w:eastAsia="en-AU"/>
                <w14:ligatures w14:val="standardContextual"/>
              </w:rPr>
              <w:tab/>
            </w:r>
            <w:r w:rsidR="00347108" w:rsidRPr="002F4D0C">
              <w:rPr>
                <w:rStyle w:val="Hyperlink"/>
              </w:rPr>
              <w:t>Budgetary Implications of Access Modifications</w:t>
            </w:r>
            <w:r w:rsidR="00347108">
              <w:rPr>
                <w:webHidden/>
              </w:rPr>
              <w:tab/>
            </w:r>
            <w:r w:rsidR="00347108">
              <w:rPr>
                <w:webHidden/>
              </w:rPr>
              <w:fldChar w:fldCharType="begin"/>
            </w:r>
            <w:r w:rsidR="00347108">
              <w:rPr>
                <w:webHidden/>
              </w:rPr>
              <w:instrText xml:space="preserve"> PAGEREF _Toc161743101 \h </w:instrText>
            </w:r>
            <w:r w:rsidR="00347108">
              <w:rPr>
                <w:webHidden/>
              </w:rPr>
            </w:r>
            <w:r w:rsidR="00347108">
              <w:rPr>
                <w:webHidden/>
              </w:rPr>
              <w:fldChar w:fldCharType="separate"/>
            </w:r>
            <w:r w:rsidR="00FE1418">
              <w:rPr>
                <w:webHidden/>
              </w:rPr>
              <w:t>95</w:t>
            </w:r>
            <w:r w:rsidR="00347108">
              <w:rPr>
                <w:webHidden/>
              </w:rPr>
              <w:fldChar w:fldCharType="end"/>
            </w:r>
          </w:hyperlink>
        </w:p>
        <w:p w14:paraId="5C3088FB" w14:textId="2DF2B25F" w:rsidR="00347108" w:rsidRDefault="002557C9">
          <w:pPr>
            <w:pStyle w:val="TOC2"/>
            <w:tabs>
              <w:tab w:val="left" w:pos="2268"/>
            </w:tabs>
            <w:rPr>
              <w:rFonts w:asciiTheme="minorHAnsi" w:eastAsiaTheme="minorEastAsia" w:hAnsiTheme="minorHAnsi"/>
              <w:color w:val="auto"/>
              <w:kern w:val="2"/>
              <w:szCs w:val="24"/>
              <w:lang w:eastAsia="en-AU"/>
              <w14:ligatures w14:val="standardContextual"/>
            </w:rPr>
          </w:pPr>
          <w:hyperlink w:anchor="_Toc161743102" w:history="1">
            <w:r w:rsidR="00347108" w:rsidRPr="002F4D0C">
              <w:rPr>
                <w:rStyle w:val="Hyperlink"/>
              </w:rPr>
              <w:t>Appendix G</w:t>
            </w:r>
            <w:r w:rsidR="00347108">
              <w:rPr>
                <w:rFonts w:asciiTheme="minorHAnsi" w:eastAsiaTheme="minorEastAsia" w:hAnsiTheme="minorHAnsi"/>
                <w:color w:val="auto"/>
                <w:kern w:val="2"/>
                <w:szCs w:val="24"/>
                <w:lang w:eastAsia="en-AU"/>
                <w14:ligatures w14:val="standardContextual"/>
              </w:rPr>
              <w:tab/>
            </w:r>
            <w:r w:rsidR="00347108" w:rsidRPr="002F4D0C">
              <w:rPr>
                <w:rStyle w:val="Hyperlink"/>
              </w:rPr>
              <w:t>Budgetary Implications of Pricing Changes</w:t>
            </w:r>
            <w:r w:rsidR="00347108">
              <w:rPr>
                <w:webHidden/>
              </w:rPr>
              <w:tab/>
            </w:r>
            <w:r w:rsidR="00347108">
              <w:rPr>
                <w:webHidden/>
              </w:rPr>
              <w:fldChar w:fldCharType="begin"/>
            </w:r>
            <w:r w:rsidR="00347108">
              <w:rPr>
                <w:webHidden/>
              </w:rPr>
              <w:instrText xml:space="preserve"> PAGEREF _Toc161743102 \h </w:instrText>
            </w:r>
            <w:r w:rsidR="00347108">
              <w:rPr>
                <w:webHidden/>
              </w:rPr>
            </w:r>
            <w:r w:rsidR="00347108">
              <w:rPr>
                <w:webHidden/>
              </w:rPr>
              <w:fldChar w:fldCharType="separate"/>
            </w:r>
            <w:r w:rsidR="00FE1418">
              <w:rPr>
                <w:webHidden/>
              </w:rPr>
              <w:t>106</w:t>
            </w:r>
            <w:r w:rsidR="00347108">
              <w:rPr>
                <w:webHidden/>
              </w:rPr>
              <w:fldChar w:fldCharType="end"/>
            </w:r>
          </w:hyperlink>
        </w:p>
        <w:p w14:paraId="4D03E23E" w14:textId="051971CE" w:rsidR="00347108" w:rsidRDefault="002557C9">
          <w:pPr>
            <w:pStyle w:val="TOC2"/>
            <w:tabs>
              <w:tab w:val="left" w:pos="2268"/>
            </w:tabs>
            <w:rPr>
              <w:rFonts w:asciiTheme="minorHAnsi" w:eastAsiaTheme="minorEastAsia" w:hAnsiTheme="minorHAnsi"/>
              <w:color w:val="auto"/>
              <w:kern w:val="2"/>
              <w:szCs w:val="24"/>
              <w:lang w:eastAsia="en-AU"/>
              <w14:ligatures w14:val="standardContextual"/>
            </w:rPr>
          </w:pPr>
          <w:hyperlink w:anchor="_Toc161743103" w:history="1">
            <w:r w:rsidR="00347108" w:rsidRPr="002F4D0C">
              <w:rPr>
                <w:rStyle w:val="Hyperlink"/>
              </w:rPr>
              <w:t>Appendix H</w:t>
            </w:r>
            <w:r w:rsidR="00347108">
              <w:rPr>
                <w:rFonts w:asciiTheme="minorHAnsi" w:eastAsiaTheme="minorEastAsia" w:hAnsiTheme="minorHAnsi"/>
                <w:color w:val="auto"/>
                <w:kern w:val="2"/>
                <w:szCs w:val="24"/>
                <w:lang w:eastAsia="en-AU"/>
                <w14:ligatures w14:val="standardContextual"/>
              </w:rPr>
              <w:tab/>
            </w:r>
            <w:r w:rsidR="00347108" w:rsidRPr="002F4D0C">
              <w:rPr>
                <w:rStyle w:val="Hyperlink"/>
              </w:rPr>
              <w:t>Budgetary Implications of Time Components</w:t>
            </w:r>
            <w:r w:rsidR="00347108">
              <w:rPr>
                <w:webHidden/>
              </w:rPr>
              <w:tab/>
            </w:r>
            <w:r w:rsidR="00347108">
              <w:rPr>
                <w:webHidden/>
              </w:rPr>
              <w:fldChar w:fldCharType="begin"/>
            </w:r>
            <w:r w:rsidR="00347108">
              <w:rPr>
                <w:webHidden/>
              </w:rPr>
              <w:instrText xml:space="preserve"> PAGEREF _Toc161743103 \h </w:instrText>
            </w:r>
            <w:r w:rsidR="00347108">
              <w:rPr>
                <w:webHidden/>
              </w:rPr>
            </w:r>
            <w:r w:rsidR="00347108">
              <w:rPr>
                <w:webHidden/>
              </w:rPr>
              <w:fldChar w:fldCharType="separate"/>
            </w:r>
            <w:r w:rsidR="00FE1418">
              <w:rPr>
                <w:webHidden/>
              </w:rPr>
              <w:t>114</w:t>
            </w:r>
            <w:r w:rsidR="00347108">
              <w:rPr>
                <w:webHidden/>
              </w:rPr>
              <w:fldChar w:fldCharType="end"/>
            </w:r>
          </w:hyperlink>
        </w:p>
        <w:p w14:paraId="4BC172CB" w14:textId="290B554B" w:rsidR="00685BB4" w:rsidRPr="00ED79E7" w:rsidRDefault="006A02BB">
          <w:r>
            <w:rPr>
              <w:b/>
              <w:noProof/>
              <w:color w:val="00685B" w:themeColor="accent4"/>
            </w:rPr>
            <w:fldChar w:fldCharType="end"/>
          </w:r>
        </w:p>
      </w:sdtContent>
    </w:sdt>
    <w:p w14:paraId="575DAFA9" w14:textId="77777777" w:rsidR="00F965E1" w:rsidRPr="006A40D6" w:rsidRDefault="00EF7E66" w:rsidP="007111D5">
      <w:pPr>
        <w:pStyle w:val="TOCHeading2"/>
      </w:pPr>
      <w:r w:rsidRPr="006A40D6">
        <w:t>Tables</w:t>
      </w:r>
    </w:p>
    <w:p w14:paraId="315F2D57" w14:textId="7D0CE91B" w:rsidR="00347108" w:rsidRDefault="0044550B">
      <w:pPr>
        <w:pStyle w:val="TableofFigures"/>
        <w:rPr>
          <w:rFonts w:eastAsiaTheme="minorEastAsia"/>
          <w:b w:val="0"/>
          <w:color w:val="auto"/>
          <w:kern w:val="2"/>
          <w:sz w:val="24"/>
          <w:szCs w:val="24"/>
          <w:lang w:eastAsia="en-AU"/>
          <w14:ligatures w14:val="standardContextual"/>
        </w:rPr>
      </w:pPr>
      <w:r w:rsidRPr="00BE5E14">
        <w:rPr>
          <w:b w:val="0"/>
          <w:bCs/>
          <w:szCs w:val="18"/>
        </w:rPr>
        <w:fldChar w:fldCharType="begin"/>
      </w:r>
      <w:r w:rsidRPr="00BE5E14">
        <w:rPr>
          <w:b w:val="0"/>
          <w:bCs/>
        </w:rPr>
        <w:instrText xml:space="preserve"> TOC \h \z \c "Table" </w:instrText>
      </w:r>
      <w:r w:rsidRPr="00BE5E14">
        <w:rPr>
          <w:b w:val="0"/>
          <w:bCs/>
          <w:szCs w:val="18"/>
        </w:rPr>
        <w:fldChar w:fldCharType="separate"/>
      </w:r>
      <w:hyperlink w:anchor="_Toc161743104" w:history="1">
        <w:r w:rsidR="00347108" w:rsidRPr="00390405">
          <w:rPr>
            <w:rStyle w:val="Hyperlink"/>
          </w:rPr>
          <w:t>Table 1: Key recommendations from the Review of the Scheme</w:t>
        </w:r>
        <w:r w:rsidR="00347108">
          <w:rPr>
            <w:webHidden/>
          </w:rPr>
          <w:tab/>
        </w:r>
        <w:r w:rsidR="00347108">
          <w:rPr>
            <w:webHidden/>
          </w:rPr>
          <w:fldChar w:fldCharType="begin"/>
        </w:r>
        <w:r w:rsidR="00347108">
          <w:rPr>
            <w:webHidden/>
          </w:rPr>
          <w:instrText xml:space="preserve"> PAGEREF _Toc161743104 \h </w:instrText>
        </w:r>
        <w:r w:rsidR="00347108">
          <w:rPr>
            <w:webHidden/>
          </w:rPr>
        </w:r>
        <w:r w:rsidR="00347108">
          <w:rPr>
            <w:webHidden/>
          </w:rPr>
          <w:fldChar w:fldCharType="separate"/>
        </w:r>
        <w:r w:rsidR="00FE1418">
          <w:rPr>
            <w:webHidden/>
          </w:rPr>
          <w:t>6</w:t>
        </w:r>
        <w:r w:rsidR="00347108">
          <w:rPr>
            <w:webHidden/>
          </w:rPr>
          <w:fldChar w:fldCharType="end"/>
        </w:r>
      </w:hyperlink>
    </w:p>
    <w:p w14:paraId="2B5B376D" w14:textId="07D51EE8" w:rsidR="00347108" w:rsidRDefault="002557C9">
      <w:pPr>
        <w:pStyle w:val="TableofFigures"/>
        <w:rPr>
          <w:rFonts w:eastAsiaTheme="minorEastAsia"/>
          <w:b w:val="0"/>
          <w:color w:val="auto"/>
          <w:kern w:val="2"/>
          <w:sz w:val="24"/>
          <w:szCs w:val="24"/>
          <w:lang w:eastAsia="en-AU"/>
          <w14:ligatures w14:val="standardContextual"/>
        </w:rPr>
      </w:pPr>
      <w:hyperlink w:anchor="_Toc161743105" w:history="1">
        <w:r w:rsidR="00347108" w:rsidRPr="00390405">
          <w:rPr>
            <w:rStyle w:val="Hyperlink"/>
          </w:rPr>
          <w:t>Table 2: Restrictions definitions for the Scheme Schedule</w:t>
        </w:r>
        <w:r w:rsidR="00347108">
          <w:rPr>
            <w:webHidden/>
          </w:rPr>
          <w:tab/>
        </w:r>
        <w:r w:rsidR="00347108">
          <w:rPr>
            <w:webHidden/>
          </w:rPr>
          <w:fldChar w:fldCharType="begin"/>
        </w:r>
        <w:r w:rsidR="00347108">
          <w:rPr>
            <w:webHidden/>
          </w:rPr>
          <w:instrText xml:space="preserve"> PAGEREF _Toc161743105 \h </w:instrText>
        </w:r>
        <w:r w:rsidR="00347108">
          <w:rPr>
            <w:webHidden/>
          </w:rPr>
        </w:r>
        <w:r w:rsidR="00347108">
          <w:rPr>
            <w:webHidden/>
          </w:rPr>
          <w:fldChar w:fldCharType="separate"/>
        </w:r>
        <w:r w:rsidR="00FE1418">
          <w:rPr>
            <w:webHidden/>
          </w:rPr>
          <w:t>12</w:t>
        </w:r>
        <w:r w:rsidR="00347108">
          <w:rPr>
            <w:webHidden/>
          </w:rPr>
          <w:fldChar w:fldCharType="end"/>
        </w:r>
      </w:hyperlink>
    </w:p>
    <w:p w14:paraId="656A1BC0" w14:textId="6408CA1E" w:rsidR="00347108" w:rsidRDefault="002557C9">
      <w:pPr>
        <w:pStyle w:val="TableofFigures"/>
        <w:rPr>
          <w:rFonts w:eastAsiaTheme="minorEastAsia"/>
          <w:b w:val="0"/>
          <w:color w:val="auto"/>
          <w:kern w:val="2"/>
          <w:sz w:val="24"/>
          <w:szCs w:val="24"/>
          <w:lang w:eastAsia="en-AU"/>
          <w14:ligatures w14:val="standardContextual"/>
        </w:rPr>
      </w:pPr>
      <w:hyperlink w:anchor="_Toc161743106" w:history="1">
        <w:r w:rsidR="00347108" w:rsidRPr="00390405">
          <w:rPr>
            <w:rStyle w:val="Hyperlink"/>
          </w:rPr>
          <w:t>Table 3: Characteristics of stoma users in Australia</w:t>
        </w:r>
        <w:r w:rsidR="00347108">
          <w:rPr>
            <w:webHidden/>
          </w:rPr>
          <w:tab/>
        </w:r>
        <w:r w:rsidR="00347108">
          <w:rPr>
            <w:webHidden/>
          </w:rPr>
          <w:fldChar w:fldCharType="begin"/>
        </w:r>
        <w:r w:rsidR="00347108">
          <w:rPr>
            <w:webHidden/>
          </w:rPr>
          <w:instrText xml:space="preserve"> PAGEREF _Toc161743106 \h </w:instrText>
        </w:r>
        <w:r w:rsidR="00347108">
          <w:rPr>
            <w:webHidden/>
          </w:rPr>
        </w:r>
        <w:r w:rsidR="00347108">
          <w:rPr>
            <w:webHidden/>
          </w:rPr>
          <w:fldChar w:fldCharType="separate"/>
        </w:r>
        <w:r w:rsidR="00FE1418">
          <w:rPr>
            <w:webHidden/>
          </w:rPr>
          <w:t>13</w:t>
        </w:r>
        <w:r w:rsidR="00347108">
          <w:rPr>
            <w:webHidden/>
          </w:rPr>
          <w:fldChar w:fldCharType="end"/>
        </w:r>
      </w:hyperlink>
    </w:p>
    <w:p w14:paraId="32B775B5" w14:textId="41D972F8" w:rsidR="00347108" w:rsidRDefault="002557C9">
      <w:pPr>
        <w:pStyle w:val="TableofFigures"/>
        <w:rPr>
          <w:rFonts w:eastAsiaTheme="minorEastAsia"/>
          <w:b w:val="0"/>
          <w:color w:val="auto"/>
          <w:kern w:val="2"/>
          <w:sz w:val="24"/>
          <w:szCs w:val="24"/>
          <w:lang w:eastAsia="en-AU"/>
          <w14:ligatures w14:val="standardContextual"/>
        </w:rPr>
      </w:pPr>
      <w:hyperlink w:anchor="_Toc161743107" w:history="1">
        <w:r w:rsidR="00347108" w:rsidRPr="00390405">
          <w:rPr>
            <w:rStyle w:val="Hyperlink"/>
          </w:rPr>
          <w:t>Table 4: Gaps in current eligibility criteria of the Scheme</w:t>
        </w:r>
        <w:r w:rsidR="00347108">
          <w:rPr>
            <w:webHidden/>
          </w:rPr>
          <w:tab/>
        </w:r>
        <w:r w:rsidR="00347108">
          <w:rPr>
            <w:webHidden/>
          </w:rPr>
          <w:fldChar w:fldCharType="begin"/>
        </w:r>
        <w:r w:rsidR="00347108">
          <w:rPr>
            <w:webHidden/>
          </w:rPr>
          <w:instrText xml:space="preserve"> PAGEREF _Toc161743107 \h </w:instrText>
        </w:r>
        <w:r w:rsidR="00347108">
          <w:rPr>
            <w:webHidden/>
          </w:rPr>
        </w:r>
        <w:r w:rsidR="00347108">
          <w:rPr>
            <w:webHidden/>
          </w:rPr>
          <w:fldChar w:fldCharType="separate"/>
        </w:r>
        <w:r w:rsidR="00FE1418">
          <w:rPr>
            <w:webHidden/>
          </w:rPr>
          <w:t>17</w:t>
        </w:r>
        <w:r w:rsidR="00347108">
          <w:rPr>
            <w:webHidden/>
          </w:rPr>
          <w:fldChar w:fldCharType="end"/>
        </w:r>
      </w:hyperlink>
    </w:p>
    <w:p w14:paraId="432B7C3E" w14:textId="34D1AE91" w:rsidR="00347108" w:rsidRDefault="002557C9">
      <w:pPr>
        <w:pStyle w:val="TableofFigures"/>
        <w:rPr>
          <w:rFonts w:eastAsiaTheme="minorEastAsia"/>
          <w:b w:val="0"/>
          <w:color w:val="auto"/>
          <w:kern w:val="2"/>
          <w:sz w:val="24"/>
          <w:szCs w:val="24"/>
          <w:lang w:eastAsia="en-AU"/>
          <w14:ligatures w14:val="standardContextual"/>
        </w:rPr>
      </w:pPr>
      <w:hyperlink w:anchor="_Toc161743108" w:history="1">
        <w:r w:rsidR="00347108" w:rsidRPr="00390405">
          <w:rPr>
            <w:rStyle w:val="Hyperlink"/>
          </w:rPr>
          <w:t>Table 5: Stoma types not currently in scope for the Scheme</w:t>
        </w:r>
        <w:r w:rsidR="00347108">
          <w:rPr>
            <w:webHidden/>
          </w:rPr>
          <w:tab/>
        </w:r>
        <w:r w:rsidR="00347108">
          <w:rPr>
            <w:webHidden/>
          </w:rPr>
          <w:fldChar w:fldCharType="begin"/>
        </w:r>
        <w:r w:rsidR="00347108">
          <w:rPr>
            <w:webHidden/>
          </w:rPr>
          <w:instrText xml:space="preserve"> PAGEREF _Toc161743108 \h </w:instrText>
        </w:r>
        <w:r w:rsidR="00347108">
          <w:rPr>
            <w:webHidden/>
          </w:rPr>
        </w:r>
        <w:r w:rsidR="00347108">
          <w:rPr>
            <w:webHidden/>
          </w:rPr>
          <w:fldChar w:fldCharType="separate"/>
        </w:r>
        <w:r w:rsidR="00FE1418">
          <w:rPr>
            <w:webHidden/>
          </w:rPr>
          <w:t>19</w:t>
        </w:r>
        <w:r w:rsidR="00347108">
          <w:rPr>
            <w:webHidden/>
          </w:rPr>
          <w:fldChar w:fldCharType="end"/>
        </w:r>
      </w:hyperlink>
    </w:p>
    <w:p w14:paraId="764A280B" w14:textId="2C6A6D8C" w:rsidR="00347108" w:rsidRDefault="002557C9">
      <w:pPr>
        <w:pStyle w:val="TableofFigures"/>
        <w:rPr>
          <w:rFonts w:eastAsiaTheme="minorEastAsia"/>
          <w:b w:val="0"/>
          <w:color w:val="auto"/>
          <w:kern w:val="2"/>
          <w:sz w:val="24"/>
          <w:szCs w:val="24"/>
          <w:lang w:eastAsia="en-AU"/>
          <w14:ligatures w14:val="standardContextual"/>
        </w:rPr>
      </w:pPr>
      <w:hyperlink w:anchor="_Toc161743109" w:history="1">
        <w:r w:rsidR="00347108" w:rsidRPr="00390405">
          <w:rPr>
            <w:rStyle w:val="Hyperlink"/>
          </w:rPr>
          <w:t>Table 6: Barriers and enablers impacting access to the Scheme for marginalised groups</w:t>
        </w:r>
        <w:r w:rsidR="00347108">
          <w:rPr>
            <w:webHidden/>
          </w:rPr>
          <w:tab/>
        </w:r>
        <w:r w:rsidR="00347108">
          <w:rPr>
            <w:webHidden/>
          </w:rPr>
          <w:fldChar w:fldCharType="begin"/>
        </w:r>
        <w:r w:rsidR="00347108">
          <w:rPr>
            <w:webHidden/>
          </w:rPr>
          <w:instrText xml:space="preserve"> PAGEREF _Toc161743109 \h </w:instrText>
        </w:r>
        <w:r w:rsidR="00347108">
          <w:rPr>
            <w:webHidden/>
          </w:rPr>
        </w:r>
        <w:r w:rsidR="00347108">
          <w:rPr>
            <w:webHidden/>
          </w:rPr>
          <w:fldChar w:fldCharType="separate"/>
        </w:r>
        <w:r w:rsidR="00FE1418">
          <w:rPr>
            <w:webHidden/>
          </w:rPr>
          <w:t>23</w:t>
        </w:r>
        <w:r w:rsidR="00347108">
          <w:rPr>
            <w:webHidden/>
          </w:rPr>
          <w:fldChar w:fldCharType="end"/>
        </w:r>
      </w:hyperlink>
    </w:p>
    <w:p w14:paraId="15EF1FD1" w14:textId="3DCD61E9" w:rsidR="00347108" w:rsidRDefault="002557C9">
      <w:pPr>
        <w:pStyle w:val="TableofFigures"/>
        <w:rPr>
          <w:rFonts w:eastAsiaTheme="minorEastAsia"/>
          <w:b w:val="0"/>
          <w:color w:val="auto"/>
          <w:kern w:val="2"/>
          <w:sz w:val="24"/>
          <w:szCs w:val="24"/>
          <w:lang w:eastAsia="en-AU"/>
          <w14:ligatures w14:val="standardContextual"/>
        </w:rPr>
      </w:pPr>
      <w:hyperlink w:anchor="_Toc161743110" w:history="1">
        <w:r w:rsidR="00347108" w:rsidRPr="00390405">
          <w:rPr>
            <w:rStyle w:val="Hyperlink"/>
          </w:rPr>
          <w:t>Table 7: Non-essential products on the Scheme and justification for potential removal</w:t>
        </w:r>
        <w:r w:rsidR="00347108">
          <w:rPr>
            <w:webHidden/>
          </w:rPr>
          <w:tab/>
        </w:r>
        <w:r w:rsidR="00347108">
          <w:rPr>
            <w:webHidden/>
          </w:rPr>
          <w:fldChar w:fldCharType="begin"/>
        </w:r>
        <w:r w:rsidR="00347108">
          <w:rPr>
            <w:webHidden/>
          </w:rPr>
          <w:instrText xml:space="preserve"> PAGEREF _Toc161743110 \h </w:instrText>
        </w:r>
        <w:r w:rsidR="00347108">
          <w:rPr>
            <w:webHidden/>
          </w:rPr>
        </w:r>
        <w:r w:rsidR="00347108">
          <w:rPr>
            <w:webHidden/>
          </w:rPr>
          <w:fldChar w:fldCharType="separate"/>
        </w:r>
        <w:r w:rsidR="00FE1418">
          <w:rPr>
            <w:webHidden/>
          </w:rPr>
          <w:t>27</w:t>
        </w:r>
        <w:r w:rsidR="00347108">
          <w:rPr>
            <w:webHidden/>
          </w:rPr>
          <w:fldChar w:fldCharType="end"/>
        </w:r>
      </w:hyperlink>
    </w:p>
    <w:p w14:paraId="11A4451C" w14:textId="18D17F53" w:rsidR="00347108" w:rsidRDefault="002557C9">
      <w:pPr>
        <w:pStyle w:val="TableofFigures"/>
        <w:rPr>
          <w:rFonts w:eastAsiaTheme="minorEastAsia"/>
          <w:b w:val="0"/>
          <w:color w:val="auto"/>
          <w:kern w:val="2"/>
          <w:sz w:val="24"/>
          <w:szCs w:val="24"/>
          <w:lang w:eastAsia="en-AU"/>
          <w14:ligatures w14:val="standardContextual"/>
        </w:rPr>
      </w:pPr>
      <w:hyperlink w:anchor="_Toc161743111" w:history="1">
        <w:r w:rsidR="00347108" w:rsidRPr="00390405">
          <w:rPr>
            <w:rStyle w:val="Hyperlink"/>
          </w:rPr>
          <w:t>Table 8: Advantages and disadvantages of current pricing methodology</w:t>
        </w:r>
        <w:r w:rsidR="00347108">
          <w:rPr>
            <w:webHidden/>
          </w:rPr>
          <w:tab/>
        </w:r>
        <w:r w:rsidR="00347108">
          <w:rPr>
            <w:webHidden/>
          </w:rPr>
          <w:fldChar w:fldCharType="begin"/>
        </w:r>
        <w:r w:rsidR="00347108">
          <w:rPr>
            <w:webHidden/>
          </w:rPr>
          <w:instrText xml:space="preserve"> PAGEREF _Toc161743111 \h </w:instrText>
        </w:r>
        <w:r w:rsidR="00347108">
          <w:rPr>
            <w:webHidden/>
          </w:rPr>
        </w:r>
        <w:r w:rsidR="00347108">
          <w:rPr>
            <w:webHidden/>
          </w:rPr>
          <w:fldChar w:fldCharType="separate"/>
        </w:r>
        <w:r w:rsidR="00FE1418">
          <w:rPr>
            <w:webHidden/>
          </w:rPr>
          <w:t>33</w:t>
        </w:r>
        <w:r w:rsidR="00347108">
          <w:rPr>
            <w:webHidden/>
          </w:rPr>
          <w:fldChar w:fldCharType="end"/>
        </w:r>
      </w:hyperlink>
    </w:p>
    <w:p w14:paraId="65FBEEC7" w14:textId="18A6C9EB" w:rsidR="00347108" w:rsidRDefault="002557C9">
      <w:pPr>
        <w:pStyle w:val="TableofFigures"/>
        <w:rPr>
          <w:rFonts w:eastAsiaTheme="minorEastAsia"/>
          <w:b w:val="0"/>
          <w:color w:val="auto"/>
          <w:kern w:val="2"/>
          <w:sz w:val="24"/>
          <w:szCs w:val="24"/>
          <w:lang w:eastAsia="en-AU"/>
          <w14:ligatures w14:val="standardContextual"/>
        </w:rPr>
      </w:pPr>
      <w:hyperlink w:anchor="_Toc161743112" w:history="1">
        <w:r w:rsidR="00347108" w:rsidRPr="00390405">
          <w:rPr>
            <w:rStyle w:val="Hyperlink"/>
          </w:rPr>
          <w:t>Table 9: Advantages and disadvantages of price-setting options</w:t>
        </w:r>
        <w:r w:rsidR="00347108">
          <w:rPr>
            <w:webHidden/>
          </w:rPr>
          <w:tab/>
        </w:r>
        <w:r w:rsidR="00347108">
          <w:rPr>
            <w:webHidden/>
          </w:rPr>
          <w:fldChar w:fldCharType="begin"/>
        </w:r>
        <w:r w:rsidR="00347108">
          <w:rPr>
            <w:webHidden/>
          </w:rPr>
          <w:instrText xml:space="preserve"> PAGEREF _Toc161743112 \h </w:instrText>
        </w:r>
        <w:r w:rsidR="00347108">
          <w:rPr>
            <w:webHidden/>
          </w:rPr>
        </w:r>
        <w:r w:rsidR="00347108">
          <w:rPr>
            <w:webHidden/>
          </w:rPr>
          <w:fldChar w:fldCharType="separate"/>
        </w:r>
        <w:r w:rsidR="00FE1418">
          <w:rPr>
            <w:webHidden/>
          </w:rPr>
          <w:t>36</w:t>
        </w:r>
        <w:r w:rsidR="00347108">
          <w:rPr>
            <w:webHidden/>
          </w:rPr>
          <w:fldChar w:fldCharType="end"/>
        </w:r>
      </w:hyperlink>
    </w:p>
    <w:p w14:paraId="0D043D8F" w14:textId="0F9B47A0" w:rsidR="00347108" w:rsidRDefault="002557C9">
      <w:pPr>
        <w:pStyle w:val="TableofFigures"/>
        <w:rPr>
          <w:rFonts w:eastAsiaTheme="minorEastAsia"/>
          <w:b w:val="0"/>
          <w:color w:val="auto"/>
          <w:kern w:val="2"/>
          <w:sz w:val="24"/>
          <w:szCs w:val="24"/>
          <w:lang w:eastAsia="en-AU"/>
          <w14:ligatures w14:val="standardContextual"/>
        </w:rPr>
      </w:pPr>
      <w:hyperlink w:anchor="_Toc161743113" w:history="1">
        <w:r w:rsidR="00347108" w:rsidRPr="00390405">
          <w:rPr>
            <w:rStyle w:val="Hyperlink"/>
          </w:rPr>
          <w:t>Table 10: Potential price update options and their advantages and disadvantages</w:t>
        </w:r>
        <w:r w:rsidR="00347108">
          <w:rPr>
            <w:webHidden/>
          </w:rPr>
          <w:tab/>
        </w:r>
        <w:r w:rsidR="00347108">
          <w:rPr>
            <w:webHidden/>
          </w:rPr>
          <w:fldChar w:fldCharType="begin"/>
        </w:r>
        <w:r w:rsidR="00347108">
          <w:rPr>
            <w:webHidden/>
          </w:rPr>
          <w:instrText xml:space="preserve"> PAGEREF _Toc161743113 \h </w:instrText>
        </w:r>
        <w:r w:rsidR="00347108">
          <w:rPr>
            <w:webHidden/>
          </w:rPr>
        </w:r>
        <w:r w:rsidR="00347108">
          <w:rPr>
            <w:webHidden/>
          </w:rPr>
          <w:fldChar w:fldCharType="separate"/>
        </w:r>
        <w:r w:rsidR="00FE1418">
          <w:rPr>
            <w:webHidden/>
          </w:rPr>
          <w:t>39</w:t>
        </w:r>
        <w:r w:rsidR="00347108">
          <w:rPr>
            <w:webHidden/>
          </w:rPr>
          <w:fldChar w:fldCharType="end"/>
        </w:r>
      </w:hyperlink>
    </w:p>
    <w:p w14:paraId="76BA54B0" w14:textId="459487F7" w:rsidR="00347108" w:rsidRDefault="002557C9">
      <w:pPr>
        <w:pStyle w:val="TableofFigures"/>
        <w:rPr>
          <w:rFonts w:eastAsiaTheme="minorEastAsia"/>
          <w:b w:val="0"/>
          <w:color w:val="auto"/>
          <w:kern w:val="2"/>
          <w:sz w:val="24"/>
          <w:szCs w:val="24"/>
          <w:lang w:eastAsia="en-AU"/>
          <w14:ligatures w14:val="standardContextual"/>
        </w:rPr>
      </w:pPr>
      <w:hyperlink w:anchor="_Toc161743114" w:history="1">
        <w:r w:rsidR="00347108" w:rsidRPr="00390405">
          <w:rPr>
            <w:rStyle w:val="Hyperlink"/>
          </w:rPr>
          <w:t>Table 11: Costs associated with expanding clinical eligibility</w:t>
        </w:r>
        <w:r w:rsidR="00347108">
          <w:rPr>
            <w:webHidden/>
          </w:rPr>
          <w:tab/>
        </w:r>
        <w:r w:rsidR="00347108">
          <w:rPr>
            <w:webHidden/>
          </w:rPr>
          <w:fldChar w:fldCharType="begin"/>
        </w:r>
        <w:r w:rsidR="00347108">
          <w:rPr>
            <w:webHidden/>
          </w:rPr>
          <w:instrText xml:space="preserve"> PAGEREF _Toc161743114 \h </w:instrText>
        </w:r>
        <w:r w:rsidR="00347108">
          <w:rPr>
            <w:webHidden/>
          </w:rPr>
        </w:r>
        <w:r w:rsidR="00347108">
          <w:rPr>
            <w:webHidden/>
          </w:rPr>
          <w:fldChar w:fldCharType="separate"/>
        </w:r>
        <w:r w:rsidR="00FE1418">
          <w:rPr>
            <w:webHidden/>
          </w:rPr>
          <w:t>45</w:t>
        </w:r>
        <w:r w:rsidR="00347108">
          <w:rPr>
            <w:webHidden/>
          </w:rPr>
          <w:fldChar w:fldCharType="end"/>
        </w:r>
      </w:hyperlink>
    </w:p>
    <w:p w14:paraId="654FD78D" w14:textId="62EFD663" w:rsidR="00347108" w:rsidRDefault="002557C9">
      <w:pPr>
        <w:pStyle w:val="TableofFigures"/>
        <w:rPr>
          <w:rFonts w:eastAsiaTheme="minorEastAsia"/>
          <w:b w:val="0"/>
          <w:color w:val="auto"/>
          <w:kern w:val="2"/>
          <w:sz w:val="24"/>
          <w:szCs w:val="24"/>
          <w:lang w:eastAsia="en-AU"/>
          <w14:ligatures w14:val="standardContextual"/>
        </w:rPr>
      </w:pPr>
      <w:hyperlink w:anchor="_Toc161743115" w:history="1">
        <w:r w:rsidR="00347108" w:rsidRPr="00390405">
          <w:rPr>
            <w:rStyle w:val="Hyperlink"/>
          </w:rPr>
          <w:t>Table 12: Access modifications: summary of expenditure changes and number of ostomates impacted, 2022-23</w:t>
        </w:r>
        <w:r w:rsidR="00347108">
          <w:rPr>
            <w:webHidden/>
          </w:rPr>
          <w:tab/>
        </w:r>
        <w:r w:rsidR="00347108">
          <w:rPr>
            <w:webHidden/>
          </w:rPr>
          <w:fldChar w:fldCharType="begin"/>
        </w:r>
        <w:r w:rsidR="00347108">
          <w:rPr>
            <w:webHidden/>
          </w:rPr>
          <w:instrText xml:space="preserve"> PAGEREF _Toc161743115 \h </w:instrText>
        </w:r>
        <w:r w:rsidR="00347108">
          <w:rPr>
            <w:webHidden/>
          </w:rPr>
        </w:r>
        <w:r w:rsidR="00347108">
          <w:rPr>
            <w:webHidden/>
          </w:rPr>
          <w:fldChar w:fldCharType="separate"/>
        </w:r>
        <w:r w:rsidR="00FE1418">
          <w:rPr>
            <w:webHidden/>
          </w:rPr>
          <w:t>46</w:t>
        </w:r>
        <w:r w:rsidR="00347108">
          <w:rPr>
            <w:webHidden/>
          </w:rPr>
          <w:fldChar w:fldCharType="end"/>
        </w:r>
      </w:hyperlink>
    </w:p>
    <w:p w14:paraId="430D208D" w14:textId="795ECB0E" w:rsidR="00347108" w:rsidRDefault="002557C9">
      <w:pPr>
        <w:pStyle w:val="TableofFigures"/>
        <w:rPr>
          <w:rFonts w:eastAsiaTheme="minorEastAsia"/>
          <w:b w:val="0"/>
          <w:color w:val="auto"/>
          <w:kern w:val="2"/>
          <w:sz w:val="24"/>
          <w:szCs w:val="24"/>
          <w:lang w:eastAsia="en-AU"/>
          <w14:ligatures w14:val="standardContextual"/>
        </w:rPr>
      </w:pPr>
      <w:hyperlink w:anchor="_Toc161743116" w:history="1">
        <w:r w:rsidR="00347108" w:rsidRPr="00390405">
          <w:rPr>
            <w:rStyle w:val="Hyperlink"/>
          </w:rPr>
          <w:t>Table 13: Pricing changes: summary of expenditure changes</w:t>
        </w:r>
        <w:r w:rsidR="00347108">
          <w:rPr>
            <w:webHidden/>
          </w:rPr>
          <w:tab/>
        </w:r>
        <w:r w:rsidR="00347108">
          <w:rPr>
            <w:webHidden/>
          </w:rPr>
          <w:fldChar w:fldCharType="begin"/>
        </w:r>
        <w:r w:rsidR="00347108">
          <w:rPr>
            <w:webHidden/>
          </w:rPr>
          <w:instrText xml:space="preserve"> PAGEREF _Toc161743116 \h </w:instrText>
        </w:r>
        <w:r w:rsidR="00347108">
          <w:rPr>
            <w:webHidden/>
          </w:rPr>
        </w:r>
        <w:r w:rsidR="00347108">
          <w:rPr>
            <w:webHidden/>
          </w:rPr>
          <w:fldChar w:fldCharType="separate"/>
        </w:r>
        <w:r w:rsidR="00FE1418">
          <w:rPr>
            <w:webHidden/>
          </w:rPr>
          <w:t>48</w:t>
        </w:r>
        <w:r w:rsidR="00347108">
          <w:rPr>
            <w:webHidden/>
          </w:rPr>
          <w:fldChar w:fldCharType="end"/>
        </w:r>
      </w:hyperlink>
    </w:p>
    <w:p w14:paraId="69A6A360" w14:textId="6B2E8E43" w:rsidR="00347108" w:rsidRDefault="002557C9">
      <w:pPr>
        <w:pStyle w:val="TableofFigures"/>
        <w:rPr>
          <w:rFonts w:eastAsiaTheme="minorEastAsia"/>
          <w:b w:val="0"/>
          <w:color w:val="auto"/>
          <w:kern w:val="2"/>
          <w:sz w:val="24"/>
          <w:szCs w:val="24"/>
          <w:lang w:eastAsia="en-AU"/>
          <w14:ligatures w14:val="standardContextual"/>
        </w:rPr>
      </w:pPr>
      <w:hyperlink w:anchor="_Toc161743117" w:history="1">
        <w:r w:rsidR="00347108" w:rsidRPr="00390405">
          <w:rPr>
            <w:rStyle w:val="Hyperlink"/>
          </w:rPr>
          <w:t>Table 14: Time components: summary of expenditure changes</w:t>
        </w:r>
        <w:r w:rsidR="00347108">
          <w:rPr>
            <w:webHidden/>
          </w:rPr>
          <w:tab/>
        </w:r>
        <w:r w:rsidR="00347108">
          <w:rPr>
            <w:webHidden/>
          </w:rPr>
          <w:fldChar w:fldCharType="begin"/>
        </w:r>
        <w:r w:rsidR="00347108">
          <w:rPr>
            <w:webHidden/>
          </w:rPr>
          <w:instrText xml:space="preserve"> PAGEREF _Toc161743117 \h </w:instrText>
        </w:r>
        <w:r w:rsidR="00347108">
          <w:rPr>
            <w:webHidden/>
          </w:rPr>
        </w:r>
        <w:r w:rsidR="00347108">
          <w:rPr>
            <w:webHidden/>
          </w:rPr>
          <w:fldChar w:fldCharType="separate"/>
        </w:r>
        <w:r w:rsidR="00FE1418">
          <w:rPr>
            <w:webHidden/>
          </w:rPr>
          <w:t>50</w:t>
        </w:r>
        <w:r w:rsidR="00347108">
          <w:rPr>
            <w:webHidden/>
          </w:rPr>
          <w:fldChar w:fldCharType="end"/>
        </w:r>
      </w:hyperlink>
    </w:p>
    <w:p w14:paraId="38D69821" w14:textId="55E42BBA" w:rsidR="00347108" w:rsidRDefault="002557C9">
      <w:pPr>
        <w:pStyle w:val="TableofFigures"/>
        <w:rPr>
          <w:rFonts w:eastAsiaTheme="minorEastAsia"/>
          <w:b w:val="0"/>
          <w:color w:val="auto"/>
          <w:kern w:val="2"/>
          <w:sz w:val="24"/>
          <w:szCs w:val="24"/>
          <w:lang w:eastAsia="en-AU"/>
          <w14:ligatures w14:val="standardContextual"/>
        </w:rPr>
      </w:pPr>
      <w:hyperlink w:anchor="_Toc161743118" w:history="1">
        <w:r w:rsidR="00347108" w:rsidRPr="00390405">
          <w:rPr>
            <w:rStyle w:val="Hyperlink"/>
          </w:rPr>
          <w:t>Table 15: Budgetary implications of 19 agreed scenarios</w:t>
        </w:r>
        <w:r w:rsidR="00347108">
          <w:rPr>
            <w:webHidden/>
          </w:rPr>
          <w:tab/>
        </w:r>
        <w:r w:rsidR="00347108">
          <w:rPr>
            <w:webHidden/>
          </w:rPr>
          <w:fldChar w:fldCharType="begin"/>
        </w:r>
        <w:r w:rsidR="00347108">
          <w:rPr>
            <w:webHidden/>
          </w:rPr>
          <w:instrText xml:space="preserve"> PAGEREF _Toc161743118 \h </w:instrText>
        </w:r>
        <w:r w:rsidR="00347108">
          <w:rPr>
            <w:webHidden/>
          </w:rPr>
        </w:r>
        <w:r w:rsidR="00347108">
          <w:rPr>
            <w:webHidden/>
          </w:rPr>
          <w:fldChar w:fldCharType="separate"/>
        </w:r>
        <w:r w:rsidR="00FE1418">
          <w:rPr>
            <w:webHidden/>
          </w:rPr>
          <w:t>56</w:t>
        </w:r>
        <w:r w:rsidR="00347108">
          <w:rPr>
            <w:webHidden/>
          </w:rPr>
          <w:fldChar w:fldCharType="end"/>
        </w:r>
      </w:hyperlink>
    </w:p>
    <w:p w14:paraId="1B97064D" w14:textId="00C35D79" w:rsidR="00347108" w:rsidRDefault="002557C9">
      <w:pPr>
        <w:pStyle w:val="TableofFigures"/>
        <w:rPr>
          <w:rFonts w:eastAsiaTheme="minorEastAsia"/>
          <w:b w:val="0"/>
          <w:color w:val="auto"/>
          <w:kern w:val="2"/>
          <w:sz w:val="24"/>
          <w:szCs w:val="24"/>
          <w:lang w:eastAsia="en-AU"/>
          <w14:ligatures w14:val="standardContextual"/>
        </w:rPr>
      </w:pPr>
      <w:hyperlink w:anchor="_Toc161743119" w:history="1">
        <w:r w:rsidR="00347108" w:rsidRPr="00390405">
          <w:rPr>
            <w:rStyle w:val="Hyperlink"/>
          </w:rPr>
          <w:t>Table 16: Key stakeholders consulted throughout the Review</w:t>
        </w:r>
        <w:r w:rsidR="00347108">
          <w:rPr>
            <w:webHidden/>
          </w:rPr>
          <w:tab/>
        </w:r>
        <w:r w:rsidR="00347108">
          <w:rPr>
            <w:webHidden/>
          </w:rPr>
          <w:fldChar w:fldCharType="begin"/>
        </w:r>
        <w:r w:rsidR="00347108">
          <w:rPr>
            <w:webHidden/>
          </w:rPr>
          <w:instrText xml:space="preserve"> PAGEREF _Toc161743119 \h </w:instrText>
        </w:r>
        <w:r w:rsidR="00347108">
          <w:rPr>
            <w:webHidden/>
          </w:rPr>
        </w:r>
        <w:r w:rsidR="00347108">
          <w:rPr>
            <w:webHidden/>
          </w:rPr>
          <w:fldChar w:fldCharType="separate"/>
        </w:r>
        <w:r w:rsidR="00FE1418">
          <w:rPr>
            <w:webHidden/>
          </w:rPr>
          <w:t>59</w:t>
        </w:r>
        <w:r w:rsidR="00347108">
          <w:rPr>
            <w:webHidden/>
          </w:rPr>
          <w:fldChar w:fldCharType="end"/>
        </w:r>
      </w:hyperlink>
    </w:p>
    <w:p w14:paraId="0BD9896C" w14:textId="3DF3BCEA" w:rsidR="00347108" w:rsidRDefault="002557C9">
      <w:pPr>
        <w:pStyle w:val="TableofFigures"/>
        <w:rPr>
          <w:rFonts w:eastAsiaTheme="minorEastAsia"/>
          <w:b w:val="0"/>
          <w:color w:val="auto"/>
          <w:kern w:val="2"/>
          <w:sz w:val="24"/>
          <w:szCs w:val="24"/>
          <w:lang w:eastAsia="en-AU"/>
          <w14:ligatures w14:val="standardContextual"/>
        </w:rPr>
      </w:pPr>
      <w:hyperlink w:anchor="_Toc161743120" w:history="1">
        <w:r w:rsidR="00347108" w:rsidRPr="00390405">
          <w:rPr>
            <w:rStyle w:val="Hyperlink"/>
          </w:rPr>
          <w:t>Table 17: Review Topics and accompanying Research Questions</w:t>
        </w:r>
        <w:r w:rsidR="00347108">
          <w:rPr>
            <w:webHidden/>
          </w:rPr>
          <w:tab/>
        </w:r>
        <w:r w:rsidR="00347108">
          <w:rPr>
            <w:webHidden/>
          </w:rPr>
          <w:fldChar w:fldCharType="begin"/>
        </w:r>
        <w:r w:rsidR="00347108">
          <w:rPr>
            <w:webHidden/>
          </w:rPr>
          <w:instrText xml:space="preserve"> PAGEREF _Toc161743120 \h </w:instrText>
        </w:r>
        <w:r w:rsidR="00347108">
          <w:rPr>
            <w:webHidden/>
          </w:rPr>
        </w:r>
        <w:r w:rsidR="00347108">
          <w:rPr>
            <w:webHidden/>
          </w:rPr>
          <w:fldChar w:fldCharType="separate"/>
        </w:r>
        <w:r w:rsidR="00FE1418">
          <w:rPr>
            <w:webHidden/>
          </w:rPr>
          <w:t>60</w:t>
        </w:r>
        <w:r w:rsidR="00347108">
          <w:rPr>
            <w:webHidden/>
          </w:rPr>
          <w:fldChar w:fldCharType="end"/>
        </w:r>
      </w:hyperlink>
    </w:p>
    <w:p w14:paraId="3379B8B8" w14:textId="7428413B" w:rsidR="00347108" w:rsidRDefault="002557C9">
      <w:pPr>
        <w:pStyle w:val="TableofFigures"/>
        <w:rPr>
          <w:rFonts w:eastAsiaTheme="minorEastAsia"/>
          <w:b w:val="0"/>
          <w:color w:val="auto"/>
          <w:kern w:val="2"/>
          <w:sz w:val="24"/>
          <w:szCs w:val="24"/>
          <w:lang w:eastAsia="en-AU"/>
          <w14:ligatures w14:val="standardContextual"/>
        </w:rPr>
      </w:pPr>
      <w:hyperlink w:anchor="_Toc161743121" w:history="1">
        <w:r w:rsidR="00347108" w:rsidRPr="00390405">
          <w:rPr>
            <w:rStyle w:val="Hyperlink"/>
          </w:rPr>
          <w:t>Table 18: Scheme Schedule Groups and Subgroups</w:t>
        </w:r>
        <w:r w:rsidR="00347108">
          <w:rPr>
            <w:webHidden/>
          </w:rPr>
          <w:tab/>
        </w:r>
        <w:r w:rsidR="00347108">
          <w:rPr>
            <w:webHidden/>
          </w:rPr>
          <w:fldChar w:fldCharType="begin"/>
        </w:r>
        <w:r w:rsidR="00347108">
          <w:rPr>
            <w:webHidden/>
          </w:rPr>
          <w:instrText xml:space="preserve"> PAGEREF _Toc161743121 \h </w:instrText>
        </w:r>
        <w:r w:rsidR="00347108">
          <w:rPr>
            <w:webHidden/>
          </w:rPr>
        </w:r>
        <w:r w:rsidR="00347108">
          <w:rPr>
            <w:webHidden/>
          </w:rPr>
          <w:fldChar w:fldCharType="separate"/>
        </w:r>
        <w:r w:rsidR="00FE1418">
          <w:rPr>
            <w:webHidden/>
          </w:rPr>
          <w:t>62</w:t>
        </w:r>
        <w:r w:rsidR="00347108">
          <w:rPr>
            <w:webHidden/>
          </w:rPr>
          <w:fldChar w:fldCharType="end"/>
        </w:r>
      </w:hyperlink>
    </w:p>
    <w:p w14:paraId="5FB0456E" w14:textId="1A7C8434" w:rsidR="00347108" w:rsidRDefault="002557C9">
      <w:pPr>
        <w:pStyle w:val="TableofFigures"/>
        <w:rPr>
          <w:rFonts w:eastAsiaTheme="minorEastAsia"/>
          <w:b w:val="0"/>
          <w:color w:val="auto"/>
          <w:kern w:val="2"/>
          <w:sz w:val="24"/>
          <w:szCs w:val="24"/>
          <w:lang w:eastAsia="en-AU"/>
          <w14:ligatures w14:val="standardContextual"/>
        </w:rPr>
      </w:pPr>
      <w:hyperlink w:anchor="_Toc161743122" w:history="1">
        <w:r w:rsidR="00347108" w:rsidRPr="00390405">
          <w:rPr>
            <w:rStyle w:val="Hyperlink"/>
          </w:rPr>
          <w:t>Table 19: Summary of jurisdictional schemes compared with the Scheme</w:t>
        </w:r>
        <w:r w:rsidR="00347108">
          <w:rPr>
            <w:webHidden/>
          </w:rPr>
          <w:tab/>
        </w:r>
        <w:r w:rsidR="00347108">
          <w:rPr>
            <w:webHidden/>
          </w:rPr>
          <w:fldChar w:fldCharType="begin"/>
        </w:r>
        <w:r w:rsidR="00347108">
          <w:rPr>
            <w:webHidden/>
          </w:rPr>
          <w:instrText xml:space="preserve"> PAGEREF _Toc161743122 \h </w:instrText>
        </w:r>
        <w:r w:rsidR="00347108">
          <w:rPr>
            <w:webHidden/>
          </w:rPr>
        </w:r>
        <w:r w:rsidR="00347108">
          <w:rPr>
            <w:webHidden/>
          </w:rPr>
          <w:fldChar w:fldCharType="separate"/>
        </w:r>
        <w:r w:rsidR="00FE1418">
          <w:rPr>
            <w:webHidden/>
          </w:rPr>
          <w:t>65</w:t>
        </w:r>
        <w:r w:rsidR="00347108">
          <w:rPr>
            <w:webHidden/>
          </w:rPr>
          <w:fldChar w:fldCharType="end"/>
        </w:r>
      </w:hyperlink>
    </w:p>
    <w:p w14:paraId="08647DF5" w14:textId="334CDCBE" w:rsidR="00347108" w:rsidRDefault="002557C9">
      <w:pPr>
        <w:pStyle w:val="TableofFigures"/>
        <w:rPr>
          <w:rFonts w:eastAsiaTheme="minorEastAsia"/>
          <w:b w:val="0"/>
          <w:color w:val="auto"/>
          <w:kern w:val="2"/>
          <w:sz w:val="24"/>
          <w:szCs w:val="24"/>
          <w:lang w:eastAsia="en-AU"/>
          <w14:ligatures w14:val="standardContextual"/>
        </w:rPr>
      </w:pPr>
      <w:hyperlink w:anchor="_Toc161743123" w:history="1">
        <w:r w:rsidR="00347108" w:rsidRPr="00390405">
          <w:rPr>
            <w:rStyle w:val="Hyperlink"/>
          </w:rPr>
          <w:t>Table 20: Description of jurisdictional comparator Schemes</w:t>
        </w:r>
        <w:r w:rsidR="00347108">
          <w:rPr>
            <w:webHidden/>
          </w:rPr>
          <w:tab/>
        </w:r>
        <w:r w:rsidR="00347108">
          <w:rPr>
            <w:webHidden/>
          </w:rPr>
          <w:fldChar w:fldCharType="begin"/>
        </w:r>
        <w:r w:rsidR="00347108">
          <w:rPr>
            <w:webHidden/>
          </w:rPr>
          <w:instrText xml:space="preserve"> PAGEREF _Toc161743123 \h </w:instrText>
        </w:r>
        <w:r w:rsidR="00347108">
          <w:rPr>
            <w:webHidden/>
          </w:rPr>
        </w:r>
        <w:r w:rsidR="00347108">
          <w:rPr>
            <w:webHidden/>
          </w:rPr>
          <w:fldChar w:fldCharType="separate"/>
        </w:r>
        <w:r w:rsidR="00FE1418">
          <w:rPr>
            <w:webHidden/>
          </w:rPr>
          <w:t>66</w:t>
        </w:r>
        <w:r w:rsidR="00347108">
          <w:rPr>
            <w:webHidden/>
          </w:rPr>
          <w:fldChar w:fldCharType="end"/>
        </w:r>
      </w:hyperlink>
    </w:p>
    <w:p w14:paraId="1240D030" w14:textId="4221F87D" w:rsidR="00347108" w:rsidRDefault="002557C9">
      <w:pPr>
        <w:pStyle w:val="TableofFigures"/>
        <w:rPr>
          <w:rFonts w:eastAsiaTheme="minorEastAsia"/>
          <w:b w:val="0"/>
          <w:color w:val="auto"/>
          <w:kern w:val="2"/>
          <w:sz w:val="24"/>
          <w:szCs w:val="24"/>
          <w:lang w:eastAsia="en-AU"/>
          <w14:ligatures w14:val="standardContextual"/>
        </w:rPr>
      </w:pPr>
      <w:hyperlink w:anchor="_Toc161743124" w:history="1">
        <w:r w:rsidR="00347108" w:rsidRPr="00390405">
          <w:rPr>
            <w:rStyle w:val="Hyperlink"/>
          </w:rPr>
          <w:t>Table 21: Comparator national Australian schemes</w:t>
        </w:r>
        <w:r w:rsidR="00347108">
          <w:rPr>
            <w:webHidden/>
          </w:rPr>
          <w:tab/>
        </w:r>
        <w:r w:rsidR="00347108">
          <w:rPr>
            <w:webHidden/>
          </w:rPr>
          <w:fldChar w:fldCharType="begin"/>
        </w:r>
        <w:r w:rsidR="00347108">
          <w:rPr>
            <w:webHidden/>
          </w:rPr>
          <w:instrText xml:space="preserve"> PAGEREF _Toc161743124 \h </w:instrText>
        </w:r>
        <w:r w:rsidR="00347108">
          <w:rPr>
            <w:webHidden/>
          </w:rPr>
        </w:r>
        <w:r w:rsidR="00347108">
          <w:rPr>
            <w:webHidden/>
          </w:rPr>
          <w:fldChar w:fldCharType="separate"/>
        </w:r>
        <w:r w:rsidR="00FE1418">
          <w:rPr>
            <w:webHidden/>
          </w:rPr>
          <w:t>87</w:t>
        </w:r>
        <w:r w:rsidR="00347108">
          <w:rPr>
            <w:webHidden/>
          </w:rPr>
          <w:fldChar w:fldCharType="end"/>
        </w:r>
      </w:hyperlink>
    </w:p>
    <w:p w14:paraId="4266CDA7" w14:textId="5B7F6D0B" w:rsidR="00EF7E66" w:rsidRPr="007111D5" w:rsidRDefault="0044550B" w:rsidP="007111D5">
      <w:pPr>
        <w:pStyle w:val="TOCHeading2"/>
      </w:pPr>
      <w:r w:rsidRPr="00BE5E14">
        <w:rPr>
          <w:bCs/>
        </w:rPr>
        <w:fldChar w:fldCharType="end"/>
      </w:r>
      <w:r w:rsidR="00EF7E66" w:rsidRPr="008E629E">
        <w:t>Figures</w:t>
      </w:r>
    </w:p>
    <w:p w14:paraId="133BEC92" w14:textId="2C8B77C8" w:rsidR="00347108" w:rsidRDefault="006A40D6">
      <w:pPr>
        <w:pStyle w:val="TableofFigures"/>
        <w:rPr>
          <w:rFonts w:eastAsiaTheme="minorEastAsia"/>
          <w:b w:val="0"/>
          <w:color w:val="auto"/>
          <w:kern w:val="2"/>
          <w:sz w:val="24"/>
          <w:szCs w:val="24"/>
          <w:lang w:eastAsia="en-AU"/>
          <w14:ligatures w14:val="standardContextual"/>
        </w:rPr>
      </w:pPr>
      <w:r w:rsidRPr="00BE5E14">
        <w:rPr>
          <w:b w:val="0"/>
          <w:bCs/>
        </w:rPr>
        <w:fldChar w:fldCharType="begin"/>
      </w:r>
      <w:r w:rsidRPr="00BE5E14">
        <w:rPr>
          <w:b w:val="0"/>
          <w:bCs/>
        </w:rPr>
        <w:instrText xml:space="preserve"> TOC \h \z \c "FIGURE" </w:instrText>
      </w:r>
      <w:r w:rsidRPr="00BE5E14">
        <w:rPr>
          <w:b w:val="0"/>
          <w:bCs/>
        </w:rPr>
        <w:fldChar w:fldCharType="separate"/>
      </w:r>
      <w:hyperlink w:anchor="_Toc161743125" w:history="1">
        <w:r w:rsidR="00347108" w:rsidRPr="0000067C">
          <w:rPr>
            <w:rStyle w:val="Hyperlink"/>
          </w:rPr>
          <w:t>Figure 1: The two components of the Scheme Review</w:t>
        </w:r>
        <w:r w:rsidR="00347108">
          <w:rPr>
            <w:webHidden/>
          </w:rPr>
          <w:tab/>
        </w:r>
        <w:r w:rsidR="00347108">
          <w:rPr>
            <w:webHidden/>
          </w:rPr>
          <w:fldChar w:fldCharType="begin"/>
        </w:r>
        <w:r w:rsidR="00347108">
          <w:rPr>
            <w:webHidden/>
          </w:rPr>
          <w:instrText xml:space="preserve"> PAGEREF _Toc161743125 \h </w:instrText>
        </w:r>
        <w:r w:rsidR="00347108">
          <w:rPr>
            <w:webHidden/>
          </w:rPr>
        </w:r>
        <w:r w:rsidR="00347108">
          <w:rPr>
            <w:webHidden/>
          </w:rPr>
          <w:fldChar w:fldCharType="separate"/>
        </w:r>
        <w:r w:rsidR="00FE1418">
          <w:rPr>
            <w:webHidden/>
          </w:rPr>
          <w:t>8</w:t>
        </w:r>
        <w:r w:rsidR="00347108">
          <w:rPr>
            <w:webHidden/>
          </w:rPr>
          <w:fldChar w:fldCharType="end"/>
        </w:r>
      </w:hyperlink>
    </w:p>
    <w:p w14:paraId="7CEF5036" w14:textId="0947AB96" w:rsidR="00347108" w:rsidRDefault="002557C9">
      <w:pPr>
        <w:pStyle w:val="TableofFigures"/>
        <w:rPr>
          <w:rFonts w:eastAsiaTheme="minorEastAsia"/>
          <w:b w:val="0"/>
          <w:color w:val="auto"/>
          <w:kern w:val="2"/>
          <w:sz w:val="24"/>
          <w:szCs w:val="24"/>
          <w:lang w:eastAsia="en-AU"/>
          <w14:ligatures w14:val="standardContextual"/>
        </w:rPr>
      </w:pPr>
      <w:hyperlink w:anchor="_Toc161743126" w:history="1">
        <w:r w:rsidR="00347108" w:rsidRPr="0000067C">
          <w:rPr>
            <w:rStyle w:val="Hyperlink"/>
          </w:rPr>
          <w:t>Figure 2: Methodology of the Review</w:t>
        </w:r>
        <w:r w:rsidR="00347108">
          <w:rPr>
            <w:webHidden/>
          </w:rPr>
          <w:tab/>
        </w:r>
        <w:r w:rsidR="00347108">
          <w:rPr>
            <w:webHidden/>
          </w:rPr>
          <w:fldChar w:fldCharType="begin"/>
        </w:r>
        <w:r w:rsidR="00347108">
          <w:rPr>
            <w:webHidden/>
          </w:rPr>
          <w:instrText xml:space="preserve"> PAGEREF _Toc161743126 \h </w:instrText>
        </w:r>
        <w:r w:rsidR="00347108">
          <w:rPr>
            <w:webHidden/>
          </w:rPr>
        </w:r>
        <w:r w:rsidR="00347108">
          <w:rPr>
            <w:webHidden/>
          </w:rPr>
          <w:fldChar w:fldCharType="separate"/>
        </w:r>
        <w:r w:rsidR="00FE1418">
          <w:rPr>
            <w:webHidden/>
          </w:rPr>
          <w:t>9</w:t>
        </w:r>
        <w:r w:rsidR="00347108">
          <w:rPr>
            <w:webHidden/>
          </w:rPr>
          <w:fldChar w:fldCharType="end"/>
        </w:r>
      </w:hyperlink>
    </w:p>
    <w:p w14:paraId="03E52A25" w14:textId="78060DEF" w:rsidR="00347108" w:rsidRDefault="002557C9">
      <w:pPr>
        <w:pStyle w:val="TableofFigures"/>
        <w:rPr>
          <w:rFonts w:eastAsiaTheme="minorEastAsia"/>
          <w:b w:val="0"/>
          <w:color w:val="auto"/>
          <w:kern w:val="2"/>
          <w:sz w:val="24"/>
          <w:szCs w:val="24"/>
          <w:lang w:eastAsia="en-AU"/>
          <w14:ligatures w14:val="standardContextual"/>
        </w:rPr>
      </w:pPr>
      <w:hyperlink w:anchor="_Toc161743127" w:history="1">
        <w:r w:rsidR="00347108" w:rsidRPr="0000067C">
          <w:rPr>
            <w:rStyle w:val="Hyperlink"/>
          </w:rPr>
          <w:t>Figure 3: Overview of the Stoma Appliance Scheme</w:t>
        </w:r>
        <w:r w:rsidR="00347108">
          <w:rPr>
            <w:webHidden/>
          </w:rPr>
          <w:tab/>
        </w:r>
        <w:r w:rsidR="00347108">
          <w:rPr>
            <w:webHidden/>
          </w:rPr>
          <w:fldChar w:fldCharType="begin"/>
        </w:r>
        <w:r w:rsidR="00347108">
          <w:rPr>
            <w:webHidden/>
          </w:rPr>
          <w:instrText xml:space="preserve"> PAGEREF _Toc161743127 \h </w:instrText>
        </w:r>
        <w:r w:rsidR="00347108">
          <w:rPr>
            <w:webHidden/>
          </w:rPr>
        </w:r>
        <w:r w:rsidR="00347108">
          <w:rPr>
            <w:webHidden/>
          </w:rPr>
          <w:fldChar w:fldCharType="separate"/>
        </w:r>
        <w:r w:rsidR="00FE1418">
          <w:rPr>
            <w:webHidden/>
          </w:rPr>
          <w:t>10</w:t>
        </w:r>
        <w:r w:rsidR="00347108">
          <w:rPr>
            <w:webHidden/>
          </w:rPr>
          <w:fldChar w:fldCharType="end"/>
        </w:r>
      </w:hyperlink>
    </w:p>
    <w:p w14:paraId="098E911B" w14:textId="21264BEE" w:rsidR="00347108" w:rsidRDefault="002557C9">
      <w:pPr>
        <w:pStyle w:val="TableofFigures"/>
        <w:rPr>
          <w:rFonts w:eastAsiaTheme="minorEastAsia"/>
          <w:b w:val="0"/>
          <w:color w:val="auto"/>
          <w:kern w:val="2"/>
          <w:sz w:val="24"/>
          <w:szCs w:val="24"/>
          <w:lang w:eastAsia="en-AU"/>
          <w14:ligatures w14:val="standardContextual"/>
        </w:rPr>
      </w:pPr>
      <w:hyperlink w:anchor="_Toc161743128" w:history="1">
        <w:r w:rsidR="00347108" w:rsidRPr="0000067C">
          <w:rPr>
            <w:rStyle w:val="Hyperlink"/>
          </w:rPr>
          <w:t>Figure 4: Quantity by month and year</w:t>
        </w:r>
        <w:r w:rsidR="00347108">
          <w:rPr>
            <w:webHidden/>
          </w:rPr>
          <w:tab/>
        </w:r>
        <w:r w:rsidR="00347108">
          <w:rPr>
            <w:webHidden/>
          </w:rPr>
          <w:fldChar w:fldCharType="begin"/>
        </w:r>
        <w:r w:rsidR="00347108">
          <w:rPr>
            <w:webHidden/>
          </w:rPr>
          <w:instrText xml:space="preserve"> PAGEREF _Toc161743128 \h </w:instrText>
        </w:r>
        <w:r w:rsidR="00347108">
          <w:rPr>
            <w:webHidden/>
          </w:rPr>
        </w:r>
        <w:r w:rsidR="00347108">
          <w:rPr>
            <w:webHidden/>
          </w:rPr>
          <w:fldChar w:fldCharType="separate"/>
        </w:r>
        <w:r w:rsidR="00FE1418">
          <w:rPr>
            <w:webHidden/>
          </w:rPr>
          <w:t>15</w:t>
        </w:r>
        <w:r w:rsidR="00347108">
          <w:rPr>
            <w:webHidden/>
          </w:rPr>
          <w:fldChar w:fldCharType="end"/>
        </w:r>
      </w:hyperlink>
    </w:p>
    <w:p w14:paraId="3D616D1C" w14:textId="6FD19D60" w:rsidR="00347108" w:rsidRDefault="002557C9">
      <w:pPr>
        <w:pStyle w:val="TableofFigures"/>
        <w:rPr>
          <w:rFonts w:eastAsiaTheme="minorEastAsia"/>
          <w:b w:val="0"/>
          <w:color w:val="auto"/>
          <w:kern w:val="2"/>
          <w:sz w:val="24"/>
          <w:szCs w:val="24"/>
          <w:lang w:eastAsia="en-AU"/>
          <w14:ligatures w14:val="standardContextual"/>
        </w:rPr>
      </w:pPr>
      <w:hyperlink w:anchor="_Toc161743129" w:history="1">
        <w:r w:rsidR="00347108" w:rsidRPr="0000067C">
          <w:rPr>
            <w:rStyle w:val="Hyperlink"/>
          </w:rPr>
          <w:t>Figure 5: Expenditure by month and year</w:t>
        </w:r>
        <w:r w:rsidR="00347108">
          <w:rPr>
            <w:webHidden/>
          </w:rPr>
          <w:tab/>
        </w:r>
        <w:r w:rsidR="00347108">
          <w:rPr>
            <w:webHidden/>
          </w:rPr>
          <w:fldChar w:fldCharType="begin"/>
        </w:r>
        <w:r w:rsidR="00347108">
          <w:rPr>
            <w:webHidden/>
          </w:rPr>
          <w:instrText xml:space="preserve"> PAGEREF _Toc161743129 \h </w:instrText>
        </w:r>
        <w:r w:rsidR="00347108">
          <w:rPr>
            <w:webHidden/>
          </w:rPr>
        </w:r>
        <w:r w:rsidR="00347108">
          <w:rPr>
            <w:webHidden/>
          </w:rPr>
          <w:fldChar w:fldCharType="separate"/>
        </w:r>
        <w:r w:rsidR="00FE1418">
          <w:rPr>
            <w:webHidden/>
          </w:rPr>
          <w:t>16</w:t>
        </w:r>
        <w:r w:rsidR="00347108">
          <w:rPr>
            <w:webHidden/>
          </w:rPr>
          <w:fldChar w:fldCharType="end"/>
        </w:r>
      </w:hyperlink>
    </w:p>
    <w:p w14:paraId="5DA39CC4" w14:textId="33A5336D" w:rsidR="00347108" w:rsidRDefault="002557C9">
      <w:pPr>
        <w:pStyle w:val="TableofFigures"/>
        <w:rPr>
          <w:rFonts w:eastAsiaTheme="minorEastAsia"/>
          <w:b w:val="0"/>
          <w:color w:val="auto"/>
          <w:kern w:val="2"/>
          <w:sz w:val="24"/>
          <w:szCs w:val="24"/>
          <w:lang w:eastAsia="en-AU"/>
          <w14:ligatures w14:val="standardContextual"/>
        </w:rPr>
      </w:pPr>
      <w:hyperlink w:anchor="_Toc161743130" w:history="1">
        <w:r w:rsidR="00347108" w:rsidRPr="0000067C">
          <w:rPr>
            <w:rStyle w:val="Hyperlink"/>
          </w:rPr>
          <w:t>Figure 6: Ostomate access by MMM</w:t>
        </w:r>
        <w:r w:rsidR="00347108">
          <w:rPr>
            <w:webHidden/>
          </w:rPr>
          <w:tab/>
        </w:r>
        <w:r w:rsidR="00347108">
          <w:rPr>
            <w:webHidden/>
          </w:rPr>
          <w:fldChar w:fldCharType="begin"/>
        </w:r>
        <w:r w:rsidR="00347108">
          <w:rPr>
            <w:webHidden/>
          </w:rPr>
          <w:instrText xml:space="preserve"> PAGEREF _Toc161743130 \h </w:instrText>
        </w:r>
        <w:r w:rsidR="00347108">
          <w:rPr>
            <w:webHidden/>
          </w:rPr>
        </w:r>
        <w:r w:rsidR="00347108">
          <w:rPr>
            <w:webHidden/>
          </w:rPr>
          <w:fldChar w:fldCharType="separate"/>
        </w:r>
        <w:r w:rsidR="00FE1418">
          <w:rPr>
            <w:webHidden/>
          </w:rPr>
          <w:t>24</w:t>
        </w:r>
        <w:r w:rsidR="00347108">
          <w:rPr>
            <w:webHidden/>
          </w:rPr>
          <w:fldChar w:fldCharType="end"/>
        </w:r>
      </w:hyperlink>
    </w:p>
    <w:p w14:paraId="68C203FC" w14:textId="57D771D6" w:rsidR="00347108" w:rsidRDefault="002557C9">
      <w:pPr>
        <w:pStyle w:val="TableofFigures"/>
        <w:rPr>
          <w:rFonts w:eastAsiaTheme="minorEastAsia"/>
          <w:b w:val="0"/>
          <w:color w:val="auto"/>
          <w:kern w:val="2"/>
          <w:sz w:val="24"/>
          <w:szCs w:val="24"/>
          <w:lang w:eastAsia="en-AU"/>
          <w14:ligatures w14:val="standardContextual"/>
        </w:rPr>
      </w:pPr>
      <w:hyperlink w:anchor="_Toc161743131" w:history="1">
        <w:r w:rsidR="00347108" w:rsidRPr="0000067C">
          <w:rPr>
            <w:rStyle w:val="Hyperlink"/>
          </w:rPr>
          <w:t>Figure 7: Proportion of products in Groups 1 to 7 with premium vs benchmark price, 2022-23</w:t>
        </w:r>
        <w:r w:rsidR="00347108">
          <w:rPr>
            <w:webHidden/>
          </w:rPr>
          <w:tab/>
        </w:r>
        <w:r w:rsidR="00347108">
          <w:rPr>
            <w:webHidden/>
          </w:rPr>
          <w:fldChar w:fldCharType="begin"/>
        </w:r>
        <w:r w:rsidR="00347108">
          <w:rPr>
            <w:webHidden/>
          </w:rPr>
          <w:instrText xml:space="preserve"> PAGEREF _Toc161743131 \h </w:instrText>
        </w:r>
        <w:r w:rsidR="00347108">
          <w:rPr>
            <w:webHidden/>
          </w:rPr>
        </w:r>
        <w:r w:rsidR="00347108">
          <w:rPr>
            <w:webHidden/>
          </w:rPr>
          <w:fldChar w:fldCharType="separate"/>
        </w:r>
        <w:r w:rsidR="00FE1418">
          <w:rPr>
            <w:webHidden/>
          </w:rPr>
          <w:t>32</w:t>
        </w:r>
        <w:r w:rsidR="00347108">
          <w:rPr>
            <w:webHidden/>
          </w:rPr>
          <w:fldChar w:fldCharType="end"/>
        </w:r>
      </w:hyperlink>
    </w:p>
    <w:p w14:paraId="761FD341" w14:textId="7BC893D7" w:rsidR="00347108" w:rsidRDefault="002557C9">
      <w:pPr>
        <w:pStyle w:val="TableofFigures"/>
        <w:rPr>
          <w:rFonts w:eastAsiaTheme="minorEastAsia"/>
          <w:b w:val="0"/>
          <w:color w:val="auto"/>
          <w:kern w:val="2"/>
          <w:sz w:val="24"/>
          <w:szCs w:val="24"/>
          <w:lang w:eastAsia="en-AU"/>
          <w14:ligatures w14:val="standardContextual"/>
        </w:rPr>
      </w:pPr>
      <w:hyperlink w:anchor="_Toc161743132" w:history="1">
        <w:r w:rsidR="00347108" w:rsidRPr="0000067C">
          <w:rPr>
            <w:rStyle w:val="Hyperlink"/>
          </w:rPr>
          <w:t>Figure 8: Average price of products in Groups 1 to 7, 2022-23</w:t>
        </w:r>
        <w:r w:rsidR="00347108">
          <w:rPr>
            <w:webHidden/>
          </w:rPr>
          <w:tab/>
        </w:r>
        <w:r w:rsidR="00347108">
          <w:rPr>
            <w:webHidden/>
          </w:rPr>
          <w:fldChar w:fldCharType="begin"/>
        </w:r>
        <w:r w:rsidR="00347108">
          <w:rPr>
            <w:webHidden/>
          </w:rPr>
          <w:instrText xml:space="preserve"> PAGEREF _Toc161743132 \h </w:instrText>
        </w:r>
        <w:r w:rsidR="00347108">
          <w:rPr>
            <w:webHidden/>
          </w:rPr>
        </w:r>
        <w:r w:rsidR="00347108">
          <w:rPr>
            <w:webHidden/>
          </w:rPr>
          <w:fldChar w:fldCharType="separate"/>
        </w:r>
        <w:r w:rsidR="00FE1418">
          <w:rPr>
            <w:webHidden/>
          </w:rPr>
          <w:t>32</w:t>
        </w:r>
        <w:r w:rsidR="00347108">
          <w:rPr>
            <w:webHidden/>
          </w:rPr>
          <w:fldChar w:fldCharType="end"/>
        </w:r>
      </w:hyperlink>
    </w:p>
    <w:p w14:paraId="3DF8565B" w14:textId="213A7E12" w:rsidR="00347108" w:rsidRDefault="002557C9">
      <w:pPr>
        <w:pStyle w:val="TableofFigures"/>
        <w:rPr>
          <w:rFonts w:eastAsiaTheme="minorEastAsia"/>
          <w:b w:val="0"/>
          <w:color w:val="auto"/>
          <w:kern w:val="2"/>
          <w:sz w:val="24"/>
          <w:szCs w:val="24"/>
          <w:lang w:eastAsia="en-AU"/>
          <w14:ligatures w14:val="standardContextual"/>
        </w:rPr>
      </w:pPr>
      <w:hyperlink w:anchor="_Toc161743133" w:history="1">
        <w:r w:rsidR="00347108" w:rsidRPr="0000067C">
          <w:rPr>
            <w:rStyle w:val="Hyperlink"/>
          </w:rPr>
          <w:t>Figure 9: Average price of products in Groups 8 to 11, 2022-23</w:t>
        </w:r>
        <w:r w:rsidR="00347108">
          <w:rPr>
            <w:webHidden/>
          </w:rPr>
          <w:tab/>
        </w:r>
        <w:r w:rsidR="00347108">
          <w:rPr>
            <w:webHidden/>
          </w:rPr>
          <w:fldChar w:fldCharType="begin"/>
        </w:r>
        <w:r w:rsidR="00347108">
          <w:rPr>
            <w:webHidden/>
          </w:rPr>
          <w:instrText xml:space="preserve"> PAGEREF _Toc161743133 \h </w:instrText>
        </w:r>
        <w:r w:rsidR="00347108">
          <w:rPr>
            <w:webHidden/>
          </w:rPr>
        </w:r>
        <w:r w:rsidR="00347108">
          <w:rPr>
            <w:webHidden/>
          </w:rPr>
          <w:fldChar w:fldCharType="separate"/>
        </w:r>
        <w:r w:rsidR="00FE1418">
          <w:rPr>
            <w:webHidden/>
          </w:rPr>
          <w:t>33</w:t>
        </w:r>
        <w:r w:rsidR="00347108">
          <w:rPr>
            <w:webHidden/>
          </w:rPr>
          <w:fldChar w:fldCharType="end"/>
        </w:r>
      </w:hyperlink>
    </w:p>
    <w:p w14:paraId="7B15B0B4" w14:textId="04685CD7" w:rsidR="00347108" w:rsidRDefault="002557C9">
      <w:pPr>
        <w:pStyle w:val="TableofFigures"/>
        <w:rPr>
          <w:rFonts w:eastAsiaTheme="minorEastAsia"/>
          <w:b w:val="0"/>
          <w:color w:val="auto"/>
          <w:kern w:val="2"/>
          <w:sz w:val="24"/>
          <w:szCs w:val="24"/>
          <w:lang w:eastAsia="en-AU"/>
          <w14:ligatures w14:val="standardContextual"/>
        </w:rPr>
      </w:pPr>
      <w:hyperlink w:anchor="_Toc161743134" w:history="1">
        <w:r w:rsidR="00347108" w:rsidRPr="0000067C">
          <w:rPr>
            <w:rStyle w:val="Hyperlink"/>
          </w:rPr>
          <w:t>Figure 10: Annual expenditure and products dispensed on the Scheme</w:t>
        </w:r>
        <w:r w:rsidR="00347108">
          <w:rPr>
            <w:webHidden/>
          </w:rPr>
          <w:tab/>
        </w:r>
        <w:r w:rsidR="00347108">
          <w:rPr>
            <w:webHidden/>
          </w:rPr>
          <w:fldChar w:fldCharType="begin"/>
        </w:r>
        <w:r w:rsidR="00347108">
          <w:rPr>
            <w:webHidden/>
          </w:rPr>
          <w:instrText xml:space="preserve"> PAGEREF _Toc161743134 \h </w:instrText>
        </w:r>
        <w:r w:rsidR="00347108">
          <w:rPr>
            <w:webHidden/>
          </w:rPr>
        </w:r>
        <w:r w:rsidR="00347108">
          <w:rPr>
            <w:webHidden/>
          </w:rPr>
          <w:fldChar w:fldCharType="separate"/>
        </w:r>
        <w:r w:rsidR="00FE1418">
          <w:rPr>
            <w:webHidden/>
          </w:rPr>
          <w:t>43</w:t>
        </w:r>
        <w:r w:rsidR="00347108">
          <w:rPr>
            <w:webHidden/>
          </w:rPr>
          <w:fldChar w:fldCharType="end"/>
        </w:r>
      </w:hyperlink>
    </w:p>
    <w:p w14:paraId="0A28ECD2" w14:textId="4A66A9FC" w:rsidR="00347108" w:rsidRDefault="002557C9">
      <w:pPr>
        <w:pStyle w:val="TableofFigures"/>
        <w:rPr>
          <w:rFonts w:eastAsiaTheme="minorEastAsia"/>
          <w:b w:val="0"/>
          <w:color w:val="auto"/>
          <w:kern w:val="2"/>
          <w:sz w:val="24"/>
          <w:szCs w:val="24"/>
          <w:lang w:eastAsia="en-AU"/>
          <w14:ligatures w14:val="standardContextual"/>
        </w:rPr>
      </w:pPr>
      <w:hyperlink w:anchor="_Toc161743135" w:history="1">
        <w:r w:rsidR="00347108" w:rsidRPr="0000067C">
          <w:rPr>
            <w:rStyle w:val="Hyperlink"/>
          </w:rPr>
          <w:t>Figure 11: Quantity of dispensed products by main group</w:t>
        </w:r>
        <w:r w:rsidR="00347108">
          <w:rPr>
            <w:webHidden/>
          </w:rPr>
          <w:tab/>
        </w:r>
        <w:r w:rsidR="00347108">
          <w:rPr>
            <w:webHidden/>
          </w:rPr>
          <w:fldChar w:fldCharType="begin"/>
        </w:r>
        <w:r w:rsidR="00347108">
          <w:rPr>
            <w:webHidden/>
          </w:rPr>
          <w:instrText xml:space="preserve"> PAGEREF _Toc161743135 \h </w:instrText>
        </w:r>
        <w:r w:rsidR="00347108">
          <w:rPr>
            <w:webHidden/>
          </w:rPr>
        </w:r>
        <w:r w:rsidR="00347108">
          <w:rPr>
            <w:webHidden/>
          </w:rPr>
          <w:fldChar w:fldCharType="separate"/>
        </w:r>
        <w:r w:rsidR="00FE1418">
          <w:rPr>
            <w:webHidden/>
          </w:rPr>
          <w:t>44</w:t>
        </w:r>
        <w:r w:rsidR="00347108">
          <w:rPr>
            <w:webHidden/>
          </w:rPr>
          <w:fldChar w:fldCharType="end"/>
        </w:r>
      </w:hyperlink>
    </w:p>
    <w:p w14:paraId="5F11D87A" w14:textId="49F61B1D" w:rsidR="00347108" w:rsidRDefault="002557C9">
      <w:pPr>
        <w:pStyle w:val="TableofFigures"/>
        <w:rPr>
          <w:rFonts w:eastAsiaTheme="minorEastAsia"/>
          <w:b w:val="0"/>
          <w:color w:val="auto"/>
          <w:kern w:val="2"/>
          <w:sz w:val="24"/>
          <w:szCs w:val="24"/>
          <w:lang w:eastAsia="en-AU"/>
          <w14:ligatures w14:val="standardContextual"/>
        </w:rPr>
      </w:pPr>
      <w:hyperlink w:anchor="_Toc161743136" w:history="1">
        <w:r w:rsidR="00347108" w:rsidRPr="0000067C">
          <w:rPr>
            <w:rStyle w:val="Hyperlink"/>
            <w:iCs/>
            <w:spacing w:val="10"/>
          </w:rPr>
          <w:t>Figure 12: Expenditure on Scheme products by main group</w:t>
        </w:r>
        <w:r w:rsidR="00347108">
          <w:rPr>
            <w:webHidden/>
          </w:rPr>
          <w:tab/>
        </w:r>
        <w:r w:rsidR="00347108">
          <w:rPr>
            <w:webHidden/>
          </w:rPr>
          <w:fldChar w:fldCharType="begin"/>
        </w:r>
        <w:r w:rsidR="00347108">
          <w:rPr>
            <w:webHidden/>
          </w:rPr>
          <w:instrText xml:space="preserve"> PAGEREF _Toc161743136 \h </w:instrText>
        </w:r>
        <w:r w:rsidR="00347108">
          <w:rPr>
            <w:webHidden/>
          </w:rPr>
        </w:r>
        <w:r w:rsidR="00347108">
          <w:rPr>
            <w:webHidden/>
          </w:rPr>
          <w:fldChar w:fldCharType="separate"/>
        </w:r>
        <w:r w:rsidR="00FE1418">
          <w:rPr>
            <w:webHidden/>
          </w:rPr>
          <w:t>44</w:t>
        </w:r>
        <w:r w:rsidR="00347108">
          <w:rPr>
            <w:webHidden/>
          </w:rPr>
          <w:fldChar w:fldCharType="end"/>
        </w:r>
      </w:hyperlink>
    </w:p>
    <w:p w14:paraId="4AAAB642" w14:textId="67CDE796" w:rsidR="00347108" w:rsidRDefault="002557C9">
      <w:pPr>
        <w:pStyle w:val="TableofFigures"/>
        <w:rPr>
          <w:rFonts w:eastAsiaTheme="minorEastAsia"/>
          <w:b w:val="0"/>
          <w:color w:val="auto"/>
          <w:kern w:val="2"/>
          <w:sz w:val="24"/>
          <w:szCs w:val="24"/>
          <w:lang w:eastAsia="en-AU"/>
          <w14:ligatures w14:val="standardContextual"/>
        </w:rPr>
      </w:pPr>
      <w:hyperlink w:anchor="_Toc161743137" w:history="1">
        <w:r w:rsidR="00347108" w:rsidRPr="0000067C">
          <w:rPr>
            <w:rStyle w:val="Hyperlink"/>
          </w:rPr>
          <w:t>Figure 13: Access modifications: expenditure changes vs number of ostomates impacted, 2022-23</w:t>
        </w:r>
        <w:r w:rsidR="00347108">
          <w:rPr>
            <w:webHidden/>
          </w:rPr>
          <w:tab/>
        </w:r>
        <w:r w:rsidR="00347108">
          <w:rPr>
            <w:webHidden/>
          </w:rPr>
          <w:fldChar w:fldCharType="begin"/>
        </w:r>
        <w:r w:rsidR="00347108">
          <w:rPr>
            <w:webHidden/>
          </w:rPr>
          <w:instrText xml:space="preserve"> PAGEREF _Toc161743137 \h </w:instrText>
        </w:r>
        <w:r w:rsidR="00347108">
          <w:rPr>
            <w:webHidden/>
          </w:rPr>
        </w:r>
        <w:r w:rsidR="00347108">
          <w:rPr>
            <w:webHidden/>
          </w:rPr>
          <w:fldChar w:fldCharType="separate"/>
        </w:r>
        <w:r w:rsidR="00FE1418">
          <w:rPr>
            <w:webHidden/>
          </w:rPr>
          <w:t>47</w:t>
        </w:r>
        <w:r w:rsidR="00347108">
          <w:rPr>
            <w:webHidden/>
          </w:rPr>
          <w:fldChar w:fldCharType="end"/>
        </w:r>
      </w:hyperlink>
    </w:p>
    <w:p w14:paraId="121ED813" w14:textId="16BB6D8E" w:rsidR="00347108" w:rsidRDefault="002557C9">
      <w:pPr>
        <w:pStyle w:val="TableofFigures"/>
        <w:rPr>
          <w:rFonts w:eastAsiaTheme="minorEastAsia"/>
          <w:b w:val="0"/>
          <w:color w:val="auto"/>
          <w:kern w:val="2"/>
          <w:sz w:val="24"/>
          <w:szCs w:val="24"/>
          <w:lang w:eastAsia="en-AU"/>
          <w14:ligatures w14:val="standardContextual"/>
        </w:rPr>
      </w:pPr>
      <w:hyperlink w:anchor="_Toc161743138" w:history="1">
        <w:r w:rsidR="00347108" w:rsidRPr="0000067C">
          <w:rPr>
            <w:rStyle w:val="Hyperlink"/>
          </w:rPr>
          <w:t>Figure 14: International comparison of the unit price of five core products under indexation and one-off price increases</w:t>
        </w:r>
        <w:r w:rsidR="00347108">
          <w:rPr>
            <w:webHidden/>
          </w:rPr>
          <w:tab/>
        </w:r>
        <w:r w:rsidR="00347108">
          <w:rPr>
            <w:webHidden/>
          </w:rPr>
          <w:fldChar w:fldCharType="begin"/>
        </w:r>
        <w:r w:rsidR="00347108">
          <w:rPr>
            <w:webHidden/>
          </w:rPr>
          <w:instrText xml:space="preserve"> PAGEREF _Toc161743138 \h </w:instrText>
        </w:r>
        <w:r w:rsidR="00347108">
          <w:rPr>
            <w:webHidden/>
          </w:rPr>
        </w:r>
        <w:r w:rsidR="00347108">
          <w:rPr>
            <w:webHidden/>
          </w:rPr>
          <w:fldChar w:fldCharType="separate"/>
        </w:r>
        <w:r w:rsidR="00FE1418">
          <w:rPr>
            <w:webHidden/>
          </w:rPr>
          <w:t>49</w:t>
        </w:r>
        <w:r w:rsidR="00347108">
          <w:rPr>
            <w:webHidden/>
          </w:rPr>
          <w:fldChar w:fldCharType="end"/>
        </w:r>
      </w:hyperlink>
    </w:p>
    <w:p w14:paraId="4453F910" w14:textId="0F5623F3" w:rsidR="00347108" w:rsidRDefault="002557C9">
      <w:pPr>
        <w:pStyle w:val="TableofFigures"/>
        <w:rPr>
          <w:rFonts w:eastAsiaTheme="minorEastAsia"/>
          <w:b w:val="0"/>
          <w:color w:val="auto"/>
          <w:kern w:val="2"/>
          <w:sz w:val="24"/>
          <w:szCs w:val="24"/>
          <w:lang w:eastAsia="en-AU"/>
          <w14:ligatures w14:val="standardContextual"/>
        </w:rPr>
      </w:pPr>
      <w:hyperlink w:anchor="_Toc161743139" w:history="1">
        <w:r w:rsidR="00347108" w:rsidRPr="0000067C">
          <w:rPr>
            <w:rStyle w:val="Hyperlink"/>
          </w:rPr>
          <w:t>Figure 15: Comparator international stoma schemes summary</w:t>
        </w:r>
        <w:r w:rsidR="00347108">
          <w:rPr>
            <w:webHidden/>
          </w:rPr>
          <w:tab/>
        </w:r>
        <w:r w:rsidR="00347108">
          <w:rPr>
            <w:webHidden/>
          </w:rPr>
          <w:fldChar w:fldCharType="begin"/>
        </w:r>
        <w:r w:rsidR="00347108">
          <w:rPr>
            <w:webHidden/>
          </w:rPr>
          <w:instrText xml:space="preserve"> PAGEREF _Toc161743139 \h </w:instrText>
        </w:r>
        <w:r w:rsidR="00347108">
          <w:rPr>
            <w:webHidden/>
          </w:rPr>
        </w:r>
        <w:r w:rsidR="00347108">
          <w:rPr>
            <w:webHidden/>
          </w:rPr>
          <w:fldChar w:fldCharType="separate"/>
        </w:r>
        <w:r w:rsidR="00FE1418">
          <w:rPr>
            <w:webHidden/>
          </w:rPr>
          <w:t>77</w:t>
        </w:r>
        <w:r w:rsidR="00347108">
          <w:rPr>
            <w:webHidden/>
          </w:rPr>
          <w:fldChar w:fldCharType="end"/>
        </w:r>
      </w:hyperlink>
    </w:p>
    <w:p w14:paraId="6486C270" w14:textId="084BA4D2" w:rsidR="00347108" w:rsidRDefault="002557C9">
      <w:pPr>
        <w:pStyle w:val="TableofFigures"/>
        <w:rPr>
          <w:rFonts w:eastAsiaTheme="minorEastAsia"/>
          <w:b w:val="0"/>
          <w:color w:val="auto"/>
          <w:kern w:val="2"/>
          <w:sz w:val="24"/>
          <w:szCs w:val="24"/>
          <w:lang w:eastAsia="en-AU"/>
          <w14:ligatures w14:val="standardContextual"/>
        </w:rPr>
      </w:pPr>
      <w:hyperlink w:anchor="_Toc161743140" w:history="1">
        <w:r w:rsidR="00347108" w:rsidRPr="0000067C">
          <w:rPr>
            <w:rStyle w:val="Hyperlink"/>
          </w:rPr>
          <w:t>Figure 16: Comparator international stoma schemes</w:t>
        </w:r>
        <w:r w:rsidR="00347108">
          <w:rPr>
            <w:webHidden/>
          </w:rPr>
          <w:tab/>
        </w:r>
        <w:r w:rsidR="00347108">
          <w:rPr>
            <w:webHidden/>
          </w:rPr>
          <w:fldChar w:fldCharType="begin"/>
        </w:r>
        <w:r w:rsidR="00347108">
          <w:rPr>
            <w:webHidden/>
          </w:rPr>
          <w:instrText xml:space="preserve"> PAGEREF _Toc161743140 \h </w:instrText>
        </w:r>
        <w:r w:rsidR="00347108">
          <w:rPr>
            <w:webHidden/>
          </w:rPr>
        </w:r>
        <w:r w:rsidR="00347108">
          <w:rPr>
            <w:webHidden/>
          </w:rPr>
          <w:fldChar w:fldCharType="separate"/>
        </w:r>
        <w:r w:rsidR="00FE1418">
          <w:rPr>
            <w:webHidden/>
          </w:rPr>
          <w:t>78</w:t>
        </w:r>
        <w:r w:rsidR="00347108">
          <w:rPr>
            <w:webHidden/>
          </w:rPr>
          <w:fldChar w:fldCharType="end"/>
        </w:r>
      </w:hyperlink>
    </w:p>
    <w:p w14:paraId="20DE248C" w14:textId="3FA81888" w:rsidR="00347108" w:rsidRDefault="002557C9">
      <w:pPr>
        <w:pStyle w:val="TableofFigures"/>
        <w:rPr>
          <w:rFonts w:eastAsiaTheme="minorEastAsia"/>
          <w:b w:val="0"/>
          <w:color w:val="auto"/>
          <w:kern w:val="2"/>
          <w:sz w:val="24"/>
          <w:szCs w:val="24"/>
          <w:lang w:eastAsia="en-AU"/>
          <w14:ligatures w14:val="standardContextual"/>
        </w:rPr>
      </w:pPr>
      <w:hyperlink w:anchor="_Toc161743141" w:history="1">
        <w:r w:rsidR="00347108" w:rsidRPr="0000067C">
          <w:rPr>
            <w:rStyle w:val="Hyperlink"/>
          </w:rPr>
          <w:t>Figure 17: Features national schemes in comparison with the Scheme</w:t>
        </w:r>
        <w:r w:rsidR="00347108">
          <w:rPr>
            <w:webHidden/>
          </w:rPr>
          <w:tab/>
        </w:r>
        <w:r w:rsidR="00347108">
          <w:rPr>
            <w:webHidden/>
          </w:rPr>
          <w:fldChar w:fldCharType="begin"/>
        </w:r>
        <w:r w:rsidR="00347108">
          <w:rPr>
            <w:webHidden/>
          </w:rPr>
          <w:instrText xml:space="preserve"> PAGEREF _Toc161743141 \h </w:instrText>
        </w:r>
        <w:r w:rsidR="00347108">
          <w:rPr>
            <w:webHidden/>
          </w:rPr>
        </w:r>
        <w:r w:rsidR="00347108">
          <w:rPr>
            <w:webHidden/>
          </w:rPr>
          <w:fldChar w:fldCharType="separate"/>
        </w:r>
        <w:r w:rsidR="00FE1418">
          <w:rPr>
            <w:webHidden/>
          </w:rPr>
          <w:t>86</w:t>
        </w:r>
        <w:r w:rsidR="00347108">
          <w:rPr>
            <w:webHidden/>
          </w:rPr>
          <w:fldChar w:fldCharType="end"/>
        </w:r>
      </w:hyperlink>
    </w:p>
    <w:p w14:paraId="052CCAE1" w14:textId="60C8D321" w:rsidR="00347108" w:rsidRDefault="002557C9">
      <w:pPr>
        <w:pStyle w:val="TableofFigures"/>
        <w:rPr>
          <w:rFonts w:eastAsiaTheme="minorEastAsia"/>
          <w:b w:val="0"/>
          <w:color w:val="auto"/>
          <w:kern w:val="2"/>
          <w:sz w:val="24"/>
          <w:szCs w:val="24"/>
          <w:lang w:eastAsia="en-AU"/>
          <w14:ligatures w14:val="standardContextual"/>
        </w:rPr>
      </w:pPr>
      <w:hyperlink w:anchor="_Toc161743142" w:history="1">
        <w:r w:rsidR="00347108" w:rsidRPr="0000067C">
          <w:rPr>
            <w:rStyle w:val="Hyperlink"/>
          </w:rPr>
          <w:t>Figure 18: Expenditure related to creams and ointments if removed or restricted on the Scheme</w:t>
        </w:r>
        <w:r w:rsidR="00347108">
          <w:rPr>
            <w:webHidden/>
          </w:rPr>
          <w:tab/>
        </w:r>
        <w:r w:rsidR="00347108">
          <w:rPr>
            <w:webHidden/>
          </w:rPr>
          <w:fldChar w:fldCharType="begin"/>
        </w:r>
        <w:r w:rsidR="00347108">
          <w:rPr>
            <w:webHidden/>
          </w:rPr>
          <w:instrText xml:space="preserve"> PAGEREF _Toc161743142 \h </w:instrText>
        </w:r>
        <w:r w:rsidR="00347108">
          <w:rPr>
            <w:webHidden/>
          </w:rPr>
        </w:r>
        <w:r w:rsidR="00347108">
          <w:rPr>
            <w:webHidden/>
          </w:rPr>
          <w:fldChar w:fldCharType="separate"/>
        </w:r>
        <w:r w:rsidR="00FE1418">
          <w:rPr>
            <w:webHidden/>
          </w:rPr>
          <w:t>95</w:t>
        </w:r>
        <w:r w:rsidR="00347108">
          <w:rPr>
            <w:webHidden/>
          </w:rPr>
          <w:fldChar w:fldCharType="end"/>
        </w:r>
      </w:hyperlink>
    </w:p>
    <w:p w14:paraId="226FE02C" w14:textId="42DE04D3" w:rsidR="00347108" w:rsidRDefault="002557C9">
      <w:pPr>
        <w:pStyle w:val="TableofFigures"/>
        <w:rPr>
          <w:rFonts w:eastAsiaTheme="minorEastAsia"/>
          <w:b w:val="0"/>
          <w:color w:val="auto"/>
          <w:kern w:val="2"/>
          <w:sz w:val="24"/>
          <w:szCs w:val="24"/>
          <w:lang w:eastAsia="en-AU"/>
          <w14:ligatures w14:val="standardContextual"/>
        </w:rPr>
      </w:pPr>
      <w:hyperlink w:anchor="_Toc161743143" w:history="1">
        <w:r w:rsidR="00347108" w:rsidRPr="0000067C">
          <w:rPr>
            <w:rStyle w:val="Hyperlink"/>
          </w:rPr>
          <w:t>Figure 19: Expenditure related to catheters if removed from the Scheme</w:t>
        </w:r>
        <w:r w:rsidR="00347108">
          <w:rPr>
            <w:webHidden/>
          </w:rPr>
          <w:tab/>
        </w:r>
        <w:r w:rsidR="00347108">
          <w:rPr>
            <w:webHidden/>
          </w:rPr>
          <w:fldChar w:fldCharType="begin"/>
        </w:r>
        <w:r w:rsidR="00347108">
          <w:rPr>
            <w:webHidden/>
          </w:rPr>
          <w:instrText xml:space="preserve"> PAGEREF _Toc161743143 \h </w:instrText>
        </w:r>
        <w:r w:rsidR="00347108">
          <w:rPr>
            <w:webHidden/>
          </w:rPr>
        </w:r>
        <w:r w:rsidR="00347108">
          <w:rPr>
            <w:webHidden/>
          </w:rPr>
          <w:fldChar w:fldCharType="separate"/>
        </w:r>
        <w:r w:rsidR="00FE1418">
          <w:rPr>
            <w:webHidden/>
          </w:rPr>
          <w:t>96</w:t>
        </w:r>
        <w:r w:rsidR="00347108">
          <w:rPr>
            <w:webHidden/>
          </w:rPr>
          <w:fldChar w:fldCharType="end"/>
        </w:r>
      </w:hyperlink>
    </w:p>
    <w:p w14:paraId="38F7C7EF" w14:textId="7BCF1340" w:rsidR="00347108" w:rsidRDefault="002557C9">
      <w:pPr>
        <w:pStyle w:val="TableofFigures"/>
        <w:rPr>
          <w:rFonts w:eastAsiaTheme="minorEastAsia"/>
          <w:b w:val="0"/>
          <w:color w:val="auto"/>
          <w:kern w:val="2"/>
          <w:sz w:val="24"/>
          <w:szCs w:val="24"/>
          <w:lang w:eastAsia="en-AU"/>
          <w14:ligatures w14:val="standardContextual"/>
        </w:rPr>
      </w:pPr>
      <w:hyperlink w:anchor="_Toc161743144" w:history="1">
        <w:r w:rsidR="00347108" w:rsidRPr="0000067C">
          <w:rPr>
            <w:rStyle w:val="Hyperlink"/>
          </w:rPr>
          <w:t>Figure 20: Catheter users by stoma type, 2022-23</w:t>
        </w:r>
        <w:r w:rsidR="00347108">
          <w:rPr>
            <w:webHidden/>
          </w:rPr>
          <w:tab/>
        </w:r>
        <w:r w:rsidR="00347108">
          <w:rPr>
            <w:webHidden/>
          </w:rPr>
          <w:fldChar w:fldCharType="begin"/>
        </w:r>
        <w:r w:rsidR="00347108">
          <w:rPr>
            <w:webHidden/>
          </w:rPr>
          <w:instrText xml:space="preserve"> PAGEREF _Toc161743144 \h </w:instrText>
        </w:r>
        <w:r w:rsidR="00347108">
          <w:rPr>
            <w:webHidden/>
          </w:rPr>
        </w:r>
        <w:r w:rsidR="00347108">
          <w:rPr>
            <w:webHidden/>
          </w:rPr>
          <w:fldChar w:fldCharType="separate"/>
        </w:r>
        <w:r w:rsidR="00FE1418">
          <w:rPr>
            <w:webHidden/>
          </w:rPr>
          <w:t>97</w:t>
        </w:r>
        <w:r w:rsidR="00347108">
          <w:rPr>
            <w:webHidden/>
          </w:rPr>
          <w:fldChar w:fldCharType="end"/>
        </w:r>
      </w:hyperlink>
    </w:p>
    <w:p w14:paraId="14BDEE66" w14:textId="0DE19658" w:rsidR="00347108" w:rsidRDefault="002557C9">
      <w:pPr>
        <w:pStyle w:val="TableofFigures"/>
        <w:rPr>
          <w:rFonts w:eastAsiaTheme="minorEastAsia"/>
          <w:b w:val="0"/>
          <w:color w:val="auto"/>
          <w:kern w:val="2"/>
          <w:sz w:val="24"/>
          <w:szCs w:val="24"/>
          <w:lang w:eastAsia="en-AU"/>
          <w14:ligatures w14:val="standardContextual"/>
        </w:rPr>
      </w:pPr>
      <w:hyperlink w:anchor="_Toc161743145" w:history="1">
        <w:r w:rsidR="00347108" w:rsidRPr="0000067C">
          <w:rPr>
            <w:rStyle w:val="Hyperlink"/>
          </w:rPr>
          <w:t>Figure 21: Expenditure related to deodorants if removed from the Scheme</w:t>
        </w:r>
        <w:r w:rsidR="00347108">
          <w:rPr>
            <w:webHidden/>
          </w:rPr>
          <w:tab/>
        </w:r>
        <w:r w:rsidR="00347108">
          <w:rPr>
            <w:webHidden/>
          </w:rPr>
          <w:fldChar w:fldCharType="begin"/>
        </w:r>
        <w:r w:rsidR="00347108">
          <w:rPr>
            <w:webHidden/>
          </w:rPr>
          <w:instrText xml:space="preserve"> PAGEREF _Toc161743145 \h </w:instrText>
        </w:r>
        <w:r w:rsidR="00347108">
          <w:rPr>
            <w:webHidden/>
          </w:rPr>
        </w:r>
        <w:r w:rsidR="00347108">
          <w:rPr>
            <w:webHidden/>
          </w:rPr>
          <w:fldChar w:fldCharType="separate"/>
        </w:r>
        <w:r w:rsidR="00FE1418">
          <w:rPr>
            <w:webHidden/>
          </w:rPr>
          <w:t>98</w:t>
        </w:r>
        <w:r w:rsidR="00347108">
          <w:rPr>
            <w:webHidden/>
          </w:rPr>
          <w:fldChar w:fldCharType="end"/>
        </w:r>
      </w:hyperlink>
    </w:p>
    <w:p w14:paraId="556F78F9" w14:textId="25F1D126" w:rsidR="00347108" w:rsidRDefault="002557C9">
      <w:pPr>
        <w:pStyle w:val="TableofFigures"/>
        <w:rPr>
          <w:rFonts w:eastAsiaTheme="minorEastAsia"/>
          <w:b w:val="0"/>
          <w:color w:val="auto"/>
          <w:kern w:val="2"/>
          <w:sz w:val="24"/>
          <w:szCs w:val="24"/>
          <w:lang w:eastAsia="en-AU"/>
          <w14:ligatures w14:val="standardContextual"/>
        </w:rPr>
      </w:pPr>
      <w:hyperlink w:anchor="_Toc161743146" w:history="1">
        <w:r w:rsidR="00347108" w:rsidRPr="0000067C">
          <w:rPr>
            <w:rStyle w:val="Hyperlink"/>
          </w:rPr>
          <w:t>Figure 22: Expenditure related to cleanser wipes if removed from the Scheme</w:t>
        </w:r>
        <w:r w:rsidR="00347108">
          <w:rPr>
            <w:webHidden/>
          </w:rPr>
          <w:tab/>
        </w:r>
        <w:r w:rsidR="00347108">
          <w:rPr>
            <w:webHidden/>
          </w:rPr>
          <w:fldChar w:fldCharType="begin"/>
        </w:r>
        <w:r w:rsidR="00347108">
          <w:rPr>
            <w:webHidden/>
          </w:rPr>
          <w:instrText xml:space="preserve"> PAGEREF _Toc161743146 \h </w:instrText>
        </w:r>
        <w:r w:rsidR="00347108">
          <w:rPr>
            <w:webHidden/>
          </w:rPr>
        </w:r>
        <w:r w:rsidR="00347108">
          <w:rPr>
            <w:webHidden/>
          </w:rPr>
          <w:fldChar w:fldCharType="separate"/>
        </w:r>
        <w:r w:rsidR="00FE1418">
          <w:rPr>
            <w:webHidden/>
          </w:rPr>
          <w:t>99</w:t>
        </w:r>
        <w:r w:rsidR="00347108">
          <w:rPr>
            <w:webHidden/>
          </w:rPr>
          <w:fldChar w:fldCharType="end"/>
        </w:r>
      </w:hyperlink>
    </w:p>
    <w:p w14:paraId="3080D1F5" w14:textId="71BF8E58" w:rsidR="00347108" w:rsidRDefault="002557C9">
      <w:pPr>
        <w:pStyle w:val="TableofFigures"/>
        <w:rPr>
          <w:rFonts w:eastAsiaTheme="minorEastAsia"/>
          <w:b w:val="0"/>
          <w:color w:val="auto"/>
          <w:kern w:val="2"/>
          <w:sz w:val="24"/>
          <w:szCs w:val="24"/>
          <w:lang w:eastAsia="en-AU"/>
          <w14:ligatures w14:val="standardContextual"/>
        </w:rPr>
      </w:pPr>
      <w:hyperlink w:anchor="_Toc161743147" w:history="1">
        <w:r w:rsidR="00347108" w:rsidRPr="0000067C">
          <w:rPr>
            <w:rStyle w:val="Hyperlink"/>
          </w:rPr>
          <w:t>Figure 23: Expenditure related to low-utilisation products if removed from the Scheme</w:t>
        </w:r>
        <w:r w:rsidR="00347108">
          <w:rPr>
            <w:webHidden/>
          </w:rPr>
          <w:tab/>
        </w:r>
        <w:r w:rsidR="00347108">
          <w:rPr>
            <w:webHidden/>
          </w:rPr>
          <w:fldChar w:fldCharType="begin"/>
        </w:r>
        <w:r w:rsidR="00347108">
          <w:rPr>
            <w:webHidden/>
          </w:rPr>
          <w:instrText xml:space="preserve"> PAGEREF _Toc161743147 \h </w:instrText>
        </w:r>
        <w:r w:rsidR="00347108">
          <w:rPr>
            <w:webHidden/>
          </w:rPr>
        </w:r>
        <w:r w:rsidR="00347108">
          <w:rPr>
            <w:webHidden/>
          </w:rPr>
          <w:fldChar w:fldCharType="separate"/>
        </w:r>
        <w:r w:rsidR="00FE1418">
          <w:rPr>
            <w:webHidden/>
          </w:rPr>
          <w:t>100</w:t>
        </w:r>
        <w:r w:rsidR="00347108">
          <w:rPr>
            <w:webHidden/>
          </w:rPr>
          <w:fldChar w:fldCharType="end"/>
        </w:r>
      </w:hyperlink>
    </w:p>
    <w:p w14:paraId="59037440" w14:textId="03667E26" w:rsidR="00347108" w:rsidRDefault="002557C9">
      <w:pPr>
        <w:pStyle w:val="TableofFigures"/>
        <w:rPr>
          <w:rFonts w:eastAsiaTheme="minorEastAsia"/>
          <w:b w:val="0"/>
          <w:color w:val="auto"/>
          <w:kern w:val="2"/>
          <w:sz w:val="24"/>
          <w:szCs w:val="24"/>
          <w:lang w:eastAsia="en-AU"/>
          <w14:ligatures w14:val="standardContextual"/>
        </w:rPr>
      </w:pPr>
      <w:hyperlink w:anchor="_Toc161743148" w:history="1">
        <w:r w:rsidR="00347108" w:rsidRPr="0000067C">
          <w:rPr>
            <w:rStyle w:val="Hyperlink"/>
          </w:rPr>
          <w:t>Figure 24: Expenditure related to closed bag systems if maximum quantity was decreased 50% on the Scheme</w:t>
        </w:r>
        <w:r w:rsidR="00347108">
          <w:rPr>
            <w:webHidden/>
          </w:rPr>
          <w:tab/>
        </w:r>
        <w:r w:rsidR="00347108">
          <w:rPr>
            <w:webHidden/>
          </w:rPr>
          <w:fldChar w:fldCharType="begin"/>
        </w:r>
        <w:r w:rsidR="00347108">
          <w:rPr>
            <w:webHidden/>
          </w:rPr>
          <w:instrText xml:space="preserve"> PAGEREF _Toc161743148 \h </w:instrText>
        </w:r>
        <w:r w:rsidR="00347108">
          <w:rPr>
            <w:webHidden/>
          </w:rPr>
        </w:r>
        <w:r w:rsidR="00347108">
          <w:rPr>
            <w:webHidden/>
          </w:rPr>
          <w:fldChar w:fldCharType="separate"/>
        </w:r>
        <w:r w:rsidR="00FE1418">
          <w:rPr>
            <w:webHidden/>
          </w:rPr>
          <w:t>101</w:t>
        </w:r>
        <w:r w:rsidR="00347108">
          <w:rPr>
            <w:webHidden/>
          </w:rPr>
          <w:fldChar w:fldCharType="end"/>
        </w:r>
      </w:hyperlink>
    </w:p>
    <w:p w14:paraId="748FA9B1" w14:textId="020CF44F" w:rsidR="00347108" w:rsidRDefault="002557C9">
      <w:pPr>
        <w:pStyle w:val="TableofFigures"/>
        <w:rPr>
          <w:rFonts w:eastAsiaTheme="minorEastAsia"/>
          <w:b w:val="0"/>
          <w:color w:val="auto"/>
          <w:kern w:val="2"/>
          <w:sz w:val="24"/>
          <w:szCs w:val="24"/>
          <w:lang w:eastAsia="en-AU"/>
          <w14:ligatures w14:val="standardContextual"/>
        </w:rPr>
      </w:pPr>
      <w:hyperlink w:anchor="_Toc161743149" w:history="1">
        <w:r w:rsidR="00347108" w:rsidRPr="0000067C">
          <w:rPr>
            <w:rStyle w:val="Hyperlink"/>
            <w:rFonts w:asciiTheme="majorHAnsi" w:hAnsiTheme="majorHAnsi"/>
            <w:iCs/>
          </w:rPr>
          <w:t>Figure 25: Expenditure related to plug</w:t>
        </w:r>
        <w:r w:rsidR="00347108" w:rsidRPr="0000067C">
          <w:rPr>
            <w:rStyle w:val="Hyperlink"/>
            <w:iCs/>
            <w:spacing w:val="10"/>
          </w:rPr>
          <w:t xml:space="preserve"> systems if maximum quantity was increased 100% on the Scheme</w:t>
        </w:r>
        <w:r w:rsidR="00347108">
          <w:rPr>
            <w:webHidden/>
          </w:rPr>
          <w:tab/>
        </w:r>
        <w:r w:rsidR="00347108">
          <w:rPr>
            <w:webHidden/>
          </w:rPr>
          <w:fldChar w:fldCharType="begin"/>
        </w:r>
        <w:r w:rsidR="00347108">
          <w:rPr>
            <w:webHidden/>
          </w:rPr>
          <w:instrText xml:space="preserve"> PAGEREF _Toc161743149 \h </w:instrText>
        </w:r>
        <w:r w:rsidR="00347108">
          <w:rPr>
            <w:webHidden/>
          </w:rPr>
        </w:r>
        <w:r w:rsidR="00347108">
          <w:rPr>
            <w:webHidden/>
          </w:rPr>
          <w:fldChar w:fldCharType="separate"/>
        </w:r>
        <w:r w:rsidR="00FE1418">
          <w:rPr>
            <w:webHidden/>
          </w:rPr>
          <w:t>102</w:t>
        </w:r>
        <w:r w:rsidR="00347108">
          <w:rPr>
            <w:webHidden/>
          </w:rPr>
          <w:fldChar w:fldCharType="end"/>
        </w:r>
      </w:hyperlink>
    </w:p>
    <w:p w14:paraId="466DE176" w14:textId="50A69C10" w:rsidR="00347108" w:rsidRDefault="002557C9">
      <w:pPr>
        <w:pStyle w:val="TableofFigures"/>
        <w:rPr>
          <w:rFonts w:eastAsiaTheme="minorEastAsia"/>
          <w:b w:val="0"/>
          <w:color w:val="auto"/>
          <w:kern w:val="2"/>
          <w:sz w:val="24"/>
          <w:szCs w:val="24"/>
          <w:lang w:eastAsia="en-AU"/>
          <w14:ligatures w14:val="standardContextual"/>
        </w:rPr>
      </w:pPr>
      <w:hyperlink w:anchor="_Toc161743150" w:history="1">
        <w:r w:rsidR="00347108" w:rsidRPr="0000067C">
          <w:rPr>
            <w:rStyle w:val="Hyperlink"/>
          </w:rPr>
          <w:t>Figure 26: Expenditure related to increasing maximum quantity of caps on the Scheme</w:t>
        </w:r>
        <w:r w:rsidR="00347108">
          <w:rPr>
            <w:webHidden/>
          </w:rPr>
          <w:tab/>
        </w:r>
        <w:r w:rsidR="00347108">
          <w:rPr>
            <w:webHidden/>
          </w:rPr>
          <w:fldChar w:fldCharType="begin"/>
        </w:r>
        <w:r w:rsidR="00347108">
          <w:rPr>
            <w:webHidden/>
          </w:rPr>
          <w:instrText xml:space="preserve"> PAGEREF _Toc161743150 \h </w:instrText>
        </w:r>
        <w:r w:rsidR="00347108">
          <w:rPr>
            <w:webHidden/>
          </w:rPr>
        </w:r>
        <w:r w:rsidR="00347108">
          <w:rPr>
            <w:webHidden/>
          </w:rPr>
          <w:fldChar w:fldCharType="separate"/>
        </w:r>
        <w:r w:rsidR="00FE1418">
          <w:rPr>
            <w:webHidden/>
          </w:rPr>
          <w:t>103</w:t>
        </w:r>
        <w:r w:rsidR="00347108">
          <w:rPr>
            <w:webHidden/>
          </w:rPr>
          <w:fldChar w:fldCharType="end"/>
        </w:r>
      </w:hyperlink>
    </w:p>
    <w:p w14:paraId="006F56F2" w14:textId="6CD7E263" w:rsidR="00347108" w:rsidRDefault="002557C9">
      <w:pPr>
        <w:pStyle w:val="TableofFigures"/>
        <w:rPr>
          <w:rFonts w:eastAsiaTheme="minorEastAsia"/>
          <w:b w:val="0"/>
          <w:color w:val="auto"/>
          <w:kern w:val="2"/>
          <w:sz w:val="24"/>
          <w:szCs w:val="24"/>
          <w:lang w:eastAsia="en-AU"/>
          <w14:ligatures w14:val="standardContextual"/>
        </w:rPr>
      </w:pPr>
      <w:hyperlink w:anchor="_Toc161743151" w:history="1">
        <w:r w:rsidR="00347108" w:rsidRPr="0000067C">
          <w:rPr>
            <w:rStyle w:val="Hyperlink"/>
          </w:rPr>
          <w:t>Figure 27: Expenditure related to increasing the maximum quantity of seals on the Scheme</w:t>
        </w:r>
        <w:r w:rsidR="00347108">
          <w:rPr>
            <w:webHidden/>
          </w:rPr>
          <w:tab/>
        </w:r>
        <w:r w:rsidR="00347108">
          <w:rPr>
            <w:webHidden/>
          </w:rPr>
          <w:fldChar w:fldCharType="begin"/>
        </w:r>
        <w:r w:rsidR="00347108">
          <w:rPr>
            <w:webHidden/>
          </w:rPr>
          <w:instrText xml:space="preserve"> PAGEREF _Toc161743151 \h </w:instrText>
        </w:r>
        <w:r w:rsidR="00347108">
          <w:rPr>
            <w:webHidden/>
          </w:rPr>
        </w:r>
        <w:r w:rsidR="00347108">
          <w:rPr>
            <w:webHidden/>
          </w:rPr>
          <w:fldChar w:fldCharType="separate"/>
        </w:r>
        <w:r w:rsidR="00FE1418">
          <w:rPr>
            <w:webHidden/>
          </w:rPr>
          <w:t>104</w:t>
        </w:r>
        <w:r w:rsidR="00347108">
          <w:rPr>
            <w:webHidden/>
          </w:rPr>
          <w:fldChar w:fldCharType="end"/>
        </w:r>
      </w:hyperlink>
    </w:p>
    <w:p w14:paraId="4A6724AE" w14:textId="08ED0ECA" w:rsidR="00347108" w:rsidRDefault="002557C9">
      <w:pPr>
        <w:pStyle w:val="TableofFigures"/>
        <w:rPr>
          <w:rFonts w:eastAsiaTheme="minorEastAsia"/>
          <w:b w:val="0"/>
          <w:color w:val="auto"/>
          <w:kern w:val="2"/>
          <w:sz w:val="24"/>
          <w:szCs w:val="24"/>
          <w:lang w:eastAsia="en-AU"/>
          <w14:ligatures w14:val="standardContextual"/>
        </w:rPr>
      </w:pPr>
      <w:hyperlink w:anchor="_Toc161743152" w:history="1">
        <w:r w:rsidR="00347108" w:rsidRPr="0000067C">
          <w:rPr>
            <w:rStyle w:val="Hyperlink"/>
          </w:rPr>
          <w:t>Figure 28: Expenditure related to increasing the maximum quantity of seals on the Scheme</w:t>
        </w:r>
        <w:r w:rsidR="00347108">
          <w:rPr>
            <w:webHidden/>
          </w:rPr>
          <w:tab/>
        </w:r>
        <w:r w:rsidR="00347108">
          <w:rPr>
            <w:webHidden/>
          </w:rPr>
          <w:fldChar w:fldCharType="begin"/>
        </w:r>
        <w:r w:rsidR="00347108">
          <w:rPr>
            <w:webHidden/>
          </w:rPr>
          <w:instrText xml:space="preserve"> PAGEREF _Toc161743152 \h </w:instrText>
        </w:r>
        <w:r w:rsidR="00347108">
          <w:rPr>
            <w:webHidden/>
          </w:rPr>
        </w:r>
        <w:r w:rsidR="00347108">
          <w:rPr>
            <w:webHidden/>
          </w:rPr>
          <w:fldChar w:fldCharType="separate"/>
        </w:r>
        <w:r w:rsidR="00FE1418">
          <w:rPr>
            <w:webHidden/>
          </w:rPr>
          <w:t>105</w:t>
        </w:r>
        <w:r w:rsidR="00347108">
          <w:rPr>
            <w:webHidden/>
          </w:rPr>
          <w:fldChar w:fldCharType="end"/>
        </w:r>
      </w:hyperlink>
    </w:p>
    <w:p w14:paraId="71F70BD7" w14:textId="51BC8358" w:rsidR="00347108" w:rsidRDefault="002557C9">
      <w:pPr>
        <w:pStyle w:val="TableofFigures"/>
        <w:rPr>
          <w:rFonts w:eastAsiaTheme="minorEastAsia"/>
          <w:b w:val="0"/>
          <w:color w:val="auto"/>
          <w:kern w:val="2"/>
          <w:sz w:val="24"/>
          <w:szCs w:val="24"/>
          <w:lang w:eastAsia="en-AU"/>
          <w14:ligatures w14:val="standardContextual"/>
        </w:rPr>
      </w:pPr>
      <w:hyperlink w:anchor="_Toc161743153" w:history="1">
        <w:r w:rsidR="00347108" w:rsidRPr="0000067C">
          <w:rPr>
            <w:rStyle w:val="Hyperlink"/>
          </w:rPr>
          <w:t>Figure 29: Expenditure related to backdating indexation on unit prices on the Scheme</w:t>
        </w:r>
        <w:r w:rsidR="00347108">
          <w:rPr>
            <w:webHidden/>
          </w:rPr>
          <w:tab/>
        </w:r>
        <w:r w:rsidR="00347108">
          <w:rPr>
            <w:webHidden/>
          </w:rPr>
          <w:fldChar w:fldCharType="begin"/>
        </w:r>
        <w:r w:rsidR="00347108">
          <w:rPr>
            <w:webHidden/>
          </w:rPr>
          <w:instrText xml:space="preserve"> PAGEREF _Toc161743153 \h </w:instrText>
        </w:r>
        <w:r w:rsidR="00347108">
          <w:rPr>
            <w:webHidden/>
          </w:rPr>
        </w:r>
        <w:r w:rsidR="00347108">
          <w:rPr>
            <w:webHidden/>
          </w:rPr>
          <w:fldChar w:fldCharType="separate"/>
        </w:r>
        <w:r w:rsidR="00FE1418">
          <w:rPr>
            <w:webHidden/>
          </w:rPr>
          <w:t>107</w:t>
        </w:r>
        <w:r w:rsidR="00347108">
          <w:rPr>
            <w:webHidden/>
          </w:rPr>
          <w:fldChar w:fldCharType="end"/>
        </w:r>
      </w:hyperlink>
    </w:p>
    <w:p w14:paraId="2D8E1A3D" w14:textId="68495004" w:rsidR="00347108" w:rsidRDefault="002557C9">
      <w:pPr>
        <w:pStyle w:val="TableofFigures"/>
        <w:rPr>
          <w:rFonts w:eastAsiaTheme="minorEastAsia"/>
          <w:b w:val="0"/>
          <w:color w:val="auto"/>
          <w:kern w:val="2"/>
          <w:sz w:val="24"/>
          <w:szCs w:val="24"/>
          <w:lang w:eastAsia="en-AU"/>
          <w14:ligatures w14:val="standardContextual"/>
        </w:rPr>
      </w:pPr>
      <w:hyperlink w:anchor="_Toc161743154" w:history="1">
        <w:r w:rsidR="00347108" w:rsidRPr="0000067C">
          <w:rPr>
            <w:rStyle w:val="Hyperlink"/>
          </w:rPr>
          <w:t>Figure 30: Expenditure related to ongoing indexation on unit prices on the Scheme</w:t>
        </w:r>
        <w:r w:rsidR="00347108">
          <w:rPr>
            <w:webHidden/>
          </w:rPr>
          <w:tab/>
        </w:r>
        <w:r w:rsidR="00347108">
          <w:rPr>
            <w:webHidden/>
          </w:rPr>
          <w:fldChar w:fldCharType="begin"/>
        </w:r>
        <w:r w:rsidR="00347108">
          <w:rPr>
            <w:webHidden/>
          </w:rPr>
          <w:instrText xml:space="preserve"> PAGEREF _Toc161743154 \h </w:instrText>
        </w:r>
        <w:r w:rsidR="00347108">
          <w:rPr>
            <w:webHidden/>
          </w:rPr>
        </w:r>
        <w:r w:rsidR="00347108">
          <w:rPr>
            <w:webHidden/>
          </w:rPr>
          <w:fldChar w:fldCharType="separate"/>
        </w:r>
        <w:r w:rsidR="00FE1418">
          <w:rPr>
            <w:webHidden/>
          </w:rPr>
          <w:t>108</w:t>
        </w:r>
        <w:r w:rsidR="00347108">
          <w:rPr>
            <w:webHidden/>
          </w:rPr>
          <w:fldChar w:fldCharType="end"/>
        </w:r>
      </w:hyperlink>
    </w:p>
    <w:p w14:paraId="3F9155A0" w14:textId="215EB264" w:rsidR="00347108" w:rsidRDefault="002557C9">
      <w:pPr>
        <w:pStyle w:val="TableofFigures"/>
        <w:rPr>
          <w:rFonts w:eastAsiaTheme="minorEastAsia"/>
          <w:b w:val="0"/>
          <w:color w:val="auto"/>
          <w:kern w:val="2"/>
          <w:sz w:val="24"/>
          <w:szCs w:val="24"/>
          <w:lang w:eastAsia="en-AU"/>
          <w14:ligatures w14:val="standardContextual"/>
        </w:rPr>
      </w:pPr>
      <w:hyperlink w:anchor="_Toc161743155" w:history="1">
        <w:r w:rsidR="00347108" w:rsidRPr="0000067C">
          <w:rPr>
            <w:rStyle w:val="Hyperlink"/>
          </w:rPr>
          <w:t>Figure 31: Expenditure related to backdated and ongoing indexation on unit prices on the Scheme</w:t>
        </w:r>
        <w:r w:rsidR="00347108">
          <w:rPr>
            <w:webHidden/>
          </w:rPr>
          <w:tab/>
        </w:r>
        <w:r w:rsidR="00347108">
          <w:rPr>
            <w:webHidden/>
          </w:rPr>
          <w:fldChar w:fldCharType="begin"/>
        </w:r>
        <w:r w:rsidR="00347108">
          <w:rPr>
            <w:webHidden/>
          </w:rPr>
          <w:instrText xml:space="preserve"> PAGEREF _Toc161743155 \h </w:instrText>
        </w:r>
        <w:r w:rsidR="00347108">
          <w:rPr>
            <w:webHidden/>
          </w:rPr>
        </w:r>
        <w:r w:rsidR="00347108">
          <w:rPr>
            <w:webHidden/>
          </w:rPr>
          <w:fldChar w:fldCharType="separate"/>
        </w:r>
        <w:r w:rsidR="00FE1418">
          <w:rPr>
            <w:webHidden/>
          </w:rPr>
          <w:t>109</w:t>
        </w:r>
        <w:r w:rsidR="00347108">
          <w:rPr>
            <w:webHidden/>
          </w:rPr>
          <w:fldChar w:fldCharType="end"/>
        </w:r>
      </w:hyperlink>
    </w:p>
    <w:p w14:paraId="458EAF32" w14:textId="7F61B2AE" w:rsidR="00347108" w:rsidRDefault="002557C9">
      <w:pPr>
        <w:pStyle w:val="TableofFigures"/>
        <w:rPr>
          <w:rFonts w:eastAsiaTheme="minorEastAsia"/>
          <w:b w:val="0"/>
          <w:color w:val="auto"/>
          <w:kern w:val="2"/>
          <w:sz w:val="24"/>
          <w:szCs w:val="24"/>
          <w:lang w:eastAsia="en-AU"/>
          <w14:ligatures w14:val="standardContextual"/>
        </w:rPr>
      </w:pPr>
      <w:hyperlink w:anchor="_Toc161743156" w:history="1">
        <w:r w:rsidR="00347108" w:rsidRPr="0000067C">
          <w:rPr>
            <w:rStyle w:val="Hyperlink"/>
          </w:rPr>
          <w:t>Figure 32: Expenditure related to a one-off increase in benchmark prices for core products on the Scheme</w:t>
        </w:r>
        <w:r w:rsidR="00347108">
          <w:rPr>
            <w:webHidden/>
          </w:rPr>
          <w:tab/>
        </w:r>
        <w:r w:rsidR="00347108">
          <w:rPr>
            <w:webHidden/>
          </w:rPr>
          <w:fldChar w:fldCharType="begin"/>
        </w:r>
        <w:r w:rsidR="00347108">
          <w:rPr>
            <w:webHidden/>
          </w:rPr>
          <w:instrText xml:space="preserve"> PAGEREF _Toc161743156 \h </w:instrText>
        </w:r>
        <w:r w:rsidR="00347108">
          <w:rPr>
            <w:webHidden/>
          </w:rPr>
        </w:r>
        <w:r w:rsidR="00347108">
          <w:rPr>
            <w:webHidden/>
          </w:rPr>
          <w:fldChar w:fldCharType="separate"/>
        </w:r>
        <w:r w:rsidR="00FE1418">
          <w:rPr>
            <w:webHidden/>
          </w:rPr>
          <w:t>110</w:t>
        </w:r>
        <w:r w:rsidR="00347108">
          <w:rPr>
            <w:webHidden/>
          </w:rPr>
          <w:fldChar w:fldCharType="end"/>
        </w:r>
      </w:hyperlink>
    </w:p>
    <w:p w14:paraId="0DE3E35D" w14:textId="35EF0C76" w:rsidR="00347108" w:rsidRDefault="002557C9">
      <w:pPr>
        <w:pStyle w:val="TableofFigures"/>
        <w:rPr>
          <w:rFonts w:eastAsiaTheme="minorEastAsia"/>
          <w:b w:val="0"/>
          <w:color w:val="auto"/>
          <w:kern w:val="2"/>
          <w:sz w:val="24"/>
          <w:szCs w:val="24"/>
          <w:lang w:eastAsia="en-AU"/>
          <w14:ligatures w14:val="standardContextual"/>
        </w:rPr>
      </w:pPr>
      <w:hyperlink w:anchor="_Toc161743157" w:history="1">
        <w:r w:rsidR="00347108" w:rsidRPr="0000067C">
          <w:rPr>
            <w:rStyle w:val="Hyperlink"/>
          </w:rPr>
          <w:t>Figure 33: Expenditure related to a one-off increase in premium prices for select products on the Scheme</w:t>
        </w:r>
        <w:r w:rsidR="00347108">
          <w:rPr>
            <w:webHidden/>
          </w:rPr>
          <w:tab/>
        </w:r>
        <w:r w:rsidR="00347108">
          <w:rPr>
            <w:webHidden/>
          </w:rPr>
          <w:fldChar w:fldCharType="begin"/>
        </w:r>
        <w:r w:rsidR="00347108">
          <w:rPr>
            <w:webHidden/>
          </w:rPr>
          <w:instrText xml:space="preserve"> PAGEREF _Toc161743157 \h </w:instrText>
        </w:r>
        <w:r w:rsidR="00347108">
          <w:rPr>
            <w:webHidden/>
          </w:rPr>
        </w:r>
        <w:r w:rsidR="00347108">
          <w:rPr>
            <w:webHidden/>
          </w:rPr>
          <w:fldChar w:fldCharType="separate"/>
        </w:r>
        <w:r w:rsidR="00FE1418">
          <w:rPr>
            <w:webHidden/>
          </w:rPr>
          <w:t>111</w:t>
        </w:r>
        <w:r w:rsidR="00347108">
          <w:rPr>
            <w:webHidden/>
          </w:rPr>
          <w:fldChar w:fldCharType="end"/>
        </w:r>
      </w:hyperlink>
    </w:p>
    <w:p w14:paraId="7A962439" w14:textId="4585EABA" w:rsidR="00347108" w:rsidRDefault="002557C9">
      <w:pPr>
        <w:pStyle w:val="TableofFigures"/>
        <w:rPr>
          <w:rFonts w:eastAsiaTheme="minorEastAsia"/>
          <w:b w:val="0"/>
          <w:color w:val="auto"/>
          <w:kern w:val="2"/>
          <w:sz w:val="24"/>
          <w:szCs w:val="24"/>
          <w:lang w:eastAsia="en-AU"/>
          <w14:ligatures w14:val="standardContextual"/>
        </w:rPr>
      </w:pPr>
      <w:hyperlink w:anchor="_Toc161743158" w:history="1">
        <w:r w:rsidR="00347108" w:rsidRPr="0000067C">
          <w:rPr>
            <w:rStyle w:val="Hyperlink"/>
          </w:rPr>
          <w:t>Figure 34: Expenditure related to a one-off increase in benchmark and premium prices</w:t>
        </w:r>
        <w:r w:rsidR="00347108">
          <w:rPr>
            <w:webHidden/>
          </w:rPr>
          <w:tab/>
        </w:r>
        <w:r w:rsidR="00347108">
          <w:rPr>
            <w:webHidden/>
          </w:rPr>
          <w:fldChar w:fldCharType="begin"/>
        </w:r>
        <w:r w:rsidR="00347108">
          <w:rPr>
            <w:webHidden/>
          </w:rPr>
          <w:instrText xml:space="preserve"> PAGEREF _Toc161743158 \h </w:instrText>
        </w:r>
        <w:r w:rsidR="00347108">
          <w:rPr>
            <w:webHidden/>
          </w:rPr>
        </w:r>
        <w:r w:rsidR="00347108">
          <w:rPr>
            <w:webHidden/>
          </w:rPr>
          <w:fldChar w:fldCharType="separate"/>
        </w:r>
        <w:r w:rsidR="00FE1418">
          <w:rPr>
            <w:webHidden/>
          </w:rPr>
          <w:t>112</w:t>
        </w:r>
        <w:r w:rsidR="00347108">
          <w:rPr>
            <w:webHidden/>
          </w:rPr>
          <w:fldChar w:fldCharType="end"/>
        </w:r>
      </w:hyperlink>
    </w:p>
    <w:p w14:paraId="6CF89CCF" w14:textId="108642D3" w:rsidR="00347108" w:rsidRDefault="002557C9">
      <w:pPr>
        <w:pStyle w:val="TableofFigures"/>
        <w:rPr>
          <w:rFonts w:eastAsiaTheme="minorEastAsia"/>
          <w:b w:val="0"/>
          <w:color w:val="auto"/>
          <w:kern w:val="2"/>
          <w:sz w:val="24"/>
          <w:szCs w:val="24"/>
          <w:lang w:eastAsia="en-AU"/>
          <w14:ligatures w14:val="standardContextual"/>
        </w:rPr>
      </w:pPr>
      <w:hyperlink w:anchor="_Toc161743159" w:history="1">
        <w:r w:rsidR="00347108" w:rsidRPr="0000067C">
          <w:rPr>
            <w:rStyle w:val="Hyperlink"/>
            <w:rFonts w:asciiTheme="majorHAnsi" w:hAnsiTheme="majorHAnsi"/>
            <w:iCs/>
          </w:rPr>
          <w:t>Figure 35: Expenditure related to a one-off increase in benchmark and premium prices followed by annual indexation</w:t>
        </w:r>
        <w:r w:rsidR="00347108">
          <w:rPr>
            <w:webHidden/>
          </w:rPr>
          <w:tab/>
        </w:r>
        <w:r w:rsidR="00347108">
          <w:rPr>
            <w:webHidden/>
          </w:rPr>
          <w:fldChar w:fldCharType="begin"/>
        </w:r>
        <w:r w:rsidR="00347108">
          <w:rPr>
            <w:webHidden/>
          </w:rPr>
          <w:instrText xml:space="preserve"> PAGEREF _Toc161743159 \h </w:instrText>
        </w:r>
        <w:r w:rsidR="00347108">
          <w:rPr>
            <w:webHidden/>
          </w:rPr>
        </w:r>
        <w:r w:rsidR="00347108">
          <w:rPr>
            <w:webHidden/>
          </w:rPr>
          <w:fldChar w:fldCharType="separate"/>
        </w:r>
        <w:r w:rsidR="00FE1418">
          <w:rPr>
            <w:webHidden/>
          </w:rPr>
          <w:t>113</w:t>
        </w:r>
        <w:r w:rsidR="00347108">
          <w:rPr>
            <w:webHidden/>
          </w:rPr>
          <w:fldChar w:fldCharType="end"/>
        </w:r>
      </w:hyperlink>
    </w:p>
    <w:p w14:paraId="18A4A604" w14:textId="66C2E568" w:rsidR="00347108" w:rsidRDefault="002557C9">
      <w:pPr>
        <w:pStyle w:val="TableofFigures"/>
        <w:rPr>
          <w:rFonts w:eastAsiaTheme="minorEastAsia"/>
          <w:b w:val="0"/>
          <w:color w:val="auto"/>
          <w:kern w:val="2"/>
          <w:sz w:val="24"/>
          <w:szCs w:val="24"/>
          <w:lang w:eastAsia="en-AU"/>
          <w14:ligatures w14:val="standardContextual"/>
        </w:rPr>
      </w:pPr>
      <w:hyperlink w:anchor="_Toc161743160" w:history="1">
        <w:r w:rsidR="00347108" w:rsidRPr="0000067C">
          <w:rPr>
            <w:rStyle w:val="Hyperlink"/>
          </w:rPr>
          <w:t>Figure 36: Expenditure related to increases in ostomate numbers on the Scheme</w:t>
        </w:r>
        <w:r w:rsidR="00347108">
          <w:rPr>
            <w:webHidden/>
          </w:rPr>
          <w:tab/>
        </w:r>
        <w:r w:rsidR="00347108">
          <w:rPr>
            <w:webHidden/>
          </w:rPr>
          <w:fldChar w:fldCharType="begin"/>
        </w:r>
        <w:r w:rsidR="00347108">
          <w:rPr>
            <w:webHidden/>
          </w:rPr>
          <w:instrText xml:space="preserve"> PAGEREF _Toc161743160 \h </w:instrText>
        </w:r>
        <w:r w:rsidR="00347108">
          <w:rPr>
            <w:webHidden/>
          </w:rPr>
        </w:r>
        <w:r w:rsidR="00347108">
          <w:rPr>
            <w:webHidden/>
          </w:rPr>
          <w:fldChar w:fldCharType="separate"/>
        </w:r>
        <w:r w:rsidR="00FE1418">
          <w:rPr>
            <w:webHidden/>
          </w:rPr>
          <w:t>114</w:t>
        </w:r>
        <w:r w:rsidR="00347108">
          <w:rPr>
            <w:webHidden/>
          </w:rPr>
          <w:fldChar w:fldCharType="end"/>
        </w:r>
      </w:hyperlink>
    </w:p>
    <w:p w14:paraId="351E3540" w14:textId="7F81A1D2" w:rsidR="008362C8" w:rsidRDefault="006A40D6" w:rsidP="00FB600F">
      <w:pPr>
        <w:pStyle w:val="AltHeading1"/>
      </w:pPr>
      <w:r w:rsidRPr="00BE5E14">
        <w:rPr>
          <w:bCs/>
        </w:rPr>
        <w:lastRenderedPageBreak/>
        <w:fldChar w:fldCharType="end"/>
      </w:r>
      <w:bookmarkStart w:id="0" w:name="_Toc161743085"/>
      <w:r w:rsidR="00FB600F">
        <w:t>Abbreviations</w:t>
      </w:r>
      <w:bookmarkEnd w:id="0"/>
    </w:p>
    <w:p w14:paraId="5F59A9E3" w14:textId="77777777" w:rsidR="00FB600F" w:rsidRDefault="00FB600F" w:rsidP="00FB600F">
      <w:pPr>
        <w:pStyle w:val="BodyText"/>
      </w:pPr>
      <w:r>
        <w:t>ABF</w:t>
      </w:r>
      <w:r>
        <w:tab/>
      </w:r>
      <w:r>
        <w:tab/>
        <w:t>Activity Based Funding</w:t>
      </w:r>
    </w:p>
    <w:p w14:paraId="0DD74CD3" w14:textId="77777777" w:rsidR="00FB600F" w:rsidRDefault="00FB600F" w:rsidP="00FB600F">
      <w:pPr>
        <w:pStyle w:val="BodyText"/>
      </w:pPr>
      <w:r>
        <w:t>ABN</w:t>
      </w:r>
      <w:r>
        <w:tab/>
      </w:r>
      <w:r>
        <w:tab/>
        <w:t>Australian Business Number</w:t>
      </w:r>
    </w:p>
    <w:p w14:paraId="17AAE896" w14:textId="77777777" w:rsidR="00FB600F" w:rsidRDefault="00FB600F" w:rsidP="00FB600F">
      <w:pPr>
        <w:pStyle w:val="BodyText"/>
      </w:pPr>
      <w:r>
        <w:t>ABS</w:t>
      </w:r>
      <w:r>
        <w:tab/>
      </w:r>
      <w:r>
        <w:tab/>
        <w:t>Australian Bureau of Statistics</w:t>
      </w:r>
    </w:p>
    <w:p w14:paraId="12A9833C" w14:textId="77777777" w:rsidR="00FB600F" w:rsidRDefault="00FB600F" w:rsidP="00FB600F">
      <w:pPr>
        <w:pStyle w:val="BodyText"/>
      </w:pPr>
      <w:r>
        <w:t>ACC</w:t>
      </w:r>
      <w:r>
        <w:tab/>
      </w:r>
      <w:r>
        <w:tab/>
        <w:t>Adults with Chronic Conditions</w:t>
      </w:r>
    </w:p>
    <w:p w14:paraId="0C1C45E1" w14:textId="77777777" w:rsidR="00FB600F" w:rsidRDefault="00FB600F" w:rsidP="00FB600F">
      <w:pPr>
        <w:pStyle w:val="BodyText"/>
      </w:pPr>
      <w:r>
        <w:t>ACE</w:t>
      </w:r>
      <w:r>
        <w:tab/>
      </w:r>
      <w:r>
        <w:tab/>
        <w:t>Antegrade Continence Enema</w:t>
      </w:r>
    </w:p>
    <w:p w14:paraId="33B17B3E" w14:textId="77777777" w:rsidR="00FB600F" w:rsidRDefault="00FB600F" w:rsidP="00FB600F">
      <w:pPr>
        <w:pStyle w:val="BodyText"/>
      </w:pPr>
      <w:r>
        <w:t>ACSA</w:t>
      </w:r>
      <w:r>
        <w:tab/>
      </w:r>
      <w:r>
        <w:tab/>
        <w:t>Australian Council of Stoma Associations</w:t>
      </w:r>
    </w:p>
    <w:p w14:paraId="3AD1BD56" w14:textId="77777777" w:rsidR="00FB600F" w:rsidRDefault="00FB600F" w:rsidP="00FB600F">
      <w:pPr>
        <w:pStyle w:val="BodyText"/>
      </w:pPr>
      <w:r>
        <w:t>ACT</w:t>
      </w:r>
      <w:r>
        <w:tab/>
      </w:r>
      <w:r>
        <w:tab/>
        <w:t>Australian Capital Territory</w:t>
      </w:r>
    </w:p>
    <w:p w14:paraId="1B594E7B" w14:textId="77777777" w:rsidR="00FB600F" w:rsidRDefault="00FB600F" w:rsidP="00FB600F">
      <w:pPr>
        <w:pStyle w:val="BodyText"/>
      </w:pPr>
      <w:r>
        <w:t>ACTES</w:t>
      </w:r>
      <w:r>
        <w:tab/>
      </w:r>
      <w:r>
        <w:tab/>
        <w:t>ACT Equipment Scheme</w:t>
      </w:r>
    </w:p>
    <w:p w14:paraId="4C248E0A" w14:textId="77777777" w:rsidR="00FB600F" w:rsidRDefault="00FB600F" w:rsidP="00FB600F">
      <w:pPr>
        <w:pStyle w:val="BodyText"/>
      </w:pPr>
      <w:r>
        <w:t>AHPRA</w:t>
      </w:r>
      <w:r>
        <w:tab/>
      </w:r>
      <w:r>
        <w:tab/>
        <w:t>Australian Health Practitioner Regulation Agency</w:t>
      </w:r>
    </w:p>
    <w:p w14:paraId="3169E8CE" w14:textId="77777777" w:rsidR="00FB600F" w:rsidRDefault="00FB600F" w:rsidP="00FB600F">
      <w:pPr>
        <w:pStyle w:val="BodyText"/>
      </w:pPr>
      <w:r>
        <w:t>ALTER</w:t>
      </w:r>
      <w:r>
        <w:tab/>
      </w:r>
      <w:r>
        <w:tab/>
        <w:t>Assistive Living Technologies Equipment Resources</w:t>
      </w:r>
    </w:p>
    <w:p w14:paraId="4714F224" w14:textId="77777777" w:rsidR="00FB600F" w:rsidRDefault="00FB600F" w:rsidP="00FB600F">
      <w:pPr>
        <w:pStyle w:val="BodyText"/>
      </w:pPr>
      <w:r>
        <w:t>ARM</w:t>
      </w:r>
      <w:r>
        <w:tab/>
      </w:r>
      <w:r>
        <w:tab/>
        <w:t xml:space="preserve">Anorectal </w:t>
      </w:r>
      <w:proofErr w:type="gramStart"/>
      <w:r>
        <w:t>malformation</w:t>
      </w:r>
      <w:proofErr w:type="gramEnd"/>
    </w:p>
    <w:p w14:paraId="099A179D" w14:textId="77777777" w:rsidR="00FB600F" w:rsidRDefault="00FB600F" w:rsidP="00FB600F">
      <w:pPr>
        <w:pStyle w:val="BodyText"/>
      </w:pPr>
      <w:r>
        <w:t>ARTG</w:t>
      </w:r>
      <w:r>
        <w:tab/>
      </w:r>
      <w:r>
        <w:tab/>
        <w:t>Australian Register of Therapeutic Goods</w:t>
      </w:r>
    </w:p>
    <w:p w14:paraId="77888EEA" w14:textId="77777777" w:rsidR="00FB600F" w:rsidRDefault="00FB600F" w:rsidP="00FB600F">
      <w:pPr>
        <w:pStyle w:val="BodyText"/>
      </w:pPr>
      <w:r>
        <w:t>AT</w:t>
      </w:r>
      <w:r>
        <w:tab/>
      </w:r>
      <w:r>
        <w:tab/>
        <w:t>Assistive technology</w:t>
      </w:r>
    </w:p>
    <w:p w14:paraId="4CDF9FA4" w14:textId="77777777" w:rsidR="00FB600F" w:rsidRDefault="00FB600F" w:rsidP="00FB600F">
      <w:pPr>
        <w:pStyle w:val="BodyText"/>
      </w:pPr>
      <w:r>
        <w:t>CA</w:t>
      </w:r>
      <w:r>
        <w:tab/>
      </w:r>
      <w:r>
        <w:tab/>
        <w:t>Continence Aids</w:t>
      </w:r>
    </w:p>
    <w:p w14:paraId="39FC4180" w14:textId="77777777" w:rsidR="00FB600F" w:rsidRDefault="00FB600F" w:rsidP="00FB600F">
      <w:pPr>
        <w:pStyle w:val="BodyText"/>
      </w:pPr>
      <w:r>
        <w:t>CAC</w:t>
      </w:r>
      <w:r>
        <w:tab/>
      </w:r>
      <w:r>
        <w:tab/>
        <w:t>Clinical Advisory Committee</w:t>
      </w:r>
    </w:p>
    <w:p w14:paraId="1D69AD0F" w14:textId="77777777" w:rsidR="00FB600F" w:rsidRDefault="00FB600F" w:rsidP="00FB600F">
      <w:pPr>
        <w:pStyle w:val="BodyText"/>
      </w:pPr>
      <w:r>
        <w:t>CAEP</w:t>
      </w:r>
      <w:r>
        <w:tab/>
      </w:r>
      <w:r>
        <w:tab/>
        <w:t>Community Aids and Equipment Program</w:t>
      </w:r>
    </w:p>
    <w:p w14:paraId="7A20DEF4" w14:textId="77777777" w:rsidR="00FB600F" w:rsidRDefault="00FB600F" w:rsidP="00FB600F">
      <w:pPr>
        <w:pStyle w:val="BodyText"/>
      </w:pPr>
      <w:r>
        <w:t>CAHO</w:t>
      </w:r>
      <w:r>
        <w:tab/>
      </w:r>
      <w:r>
        <w:tab/>
        <w:t>Chief Allied Health Officer</w:t>
      </w:r>
    </w:p>
    <w:p w14:paraId="5A1633EB" w14:textId="77777777" w:rsidR="00FB600F" w:rsidRDefault="00FB600F" w:rsidP="00FB600F">
      <w:pPr>
        <w:pStyle w:val="BodyText"/>
      </w:pPr>
      <w:r>
        <w:t>CALD</w:t>
      </w:r>
      <w:r>
        <w:tab/>
      </w:r>
      <w:r>
        <w:tab/>
        <w:t>Culturally and linguistically diverse</w:t>
      </w:r>
    </w:p>
    <w:p w14:paraId="20D2B330" w14:textId="77777777" w:rsidR="00FB600F" w:rsidRDefault="00FB600F" w:rsidP="00FB600F">
      <w:pPr>
        <w:pStyle w:val="BodyText"/>
      </w:pPr>
      <w:r>
        <w:t>CAPS</w:t>
      </w:r>
      <w:r>
        <w:tab/>
      </w:r>
      <w:r>
        <w:tab/>
        <w:t>Continence Aids Payment Scheme</w:t>
      </w:r>
    </w:p>
    <w:p w14:paraId="4E30F2BB" w14:textId="77777777" w:rsidR="00FB600F" w:rsidRDefault="00FB600F" w:rsidP="00FB600F">
      <w:pPr>
        <w:pStyle w:val="BodyText"/>
      </w:pPr>
      <w:r>
        <w:t>CPI</w:t>
      </w:r>
      <w:r>
        <w:tab/>
      </w:r>
      <w:r>
        <w:tab/>
        <w:t>Consumer Price Index</w:t>
      </w:r>
    </w:p>
    <w:p w14:paraId="46DCD5E9" w14:textId="77777777" w:rsidR="00FB600F" w:rsidRDefault="00FB600F" w:rsidP="00FB600F">
      <w:pPr>
        <w:pStyle w:val="BodyText"/>
      </w:pPr>
      <w:r>
        <w:t>DHS</w:t>
      </w:r>
      <w:r>
        <w:tab/>
      </w:r>
      <w:r>
        <w:tab/>
        <w:t>Department of Human Services</w:t>
      </w:r>
    </w:p>
    <w:p w14:paraId="21072DA7" w14:textId="04DCD972" w:rsidR="00FB600F" w:rsidRDefault="00FB600F" w:rsidP="00FB600F">
      <w:pPr>
        <w:pStyle w:val="BodyText"/>
      </w:pPr>
      <w:r>
        <w:t>DMEPOS</w:t>
      </w:r>
      <w:r>
        <w:tab/>
        <w:t>Durable Medical Equipment, Prosthetics, Orthotics, and Supplied</w:t>
      </w:r>
    </w:p>
    <w:p w14:paraId="2B6F29A0" w14:textId="77777777" w:rsidR="00FB600F" w:rsidRDefault="00FB600F" w:rsidP="00FB600F">
      <w:pPr>
        <w:pStyle w:val="BodyText"/>
      </w:pPr>
      <w:proofErr w:type="spellStart"/>
      <w:r>
        <w:t>DoHAC</w:t>
      </w:r>
      <w:proofErr w:type="spellEnd"/>
      <w:r>
        <w:tab/>
      </w:r>
      <w:r>
        <w:tab/>
        <w:t>Department of Health and Aged Care</w:t>
      </w:r>
    </w:p>
    <w:p w14:paraId="629C9D50" w14:textId="77777777" w:rsidR="00FB600F" w:rsidRDefault="00FB600F" w:rsidP="00FB600F">
      <w:pPr>
        <w:pStyle w:val="BodyText"/>
      </w:pPr>
      <w:r>
        <w:t>DVA</w:t>
      </w:r>
      <w:r>
        <w:tab/>
      </w:r>
      <w:r>
        <w:tab/>
        <w:t>Department of Veterans' Affairs</w:t>
      </w:r>
    </w:p>
    <w:p w14:paraId="2D4BFD20" w14:textId="77777777" w:rsidR="00FB600F" w:rsidRDefault="00FB600F" w:rsidP="00FB600F">
      <w:pPr>
        <w:pStyle w:val="BodyText"/>
      </w:pPr>
      <w:r>
        <w:t>EB</w:t>
      </w:r>
      <w:r>
        <w:tab/>
      </w:r>
      <w:r>
        <w:tab/>
        <w:t>Epidermolysis bullosa</w:t>
      </w:r>
    </w:p>
    <w:p w14:paraId="573A8027" w14:textId="77777777" w:rsidR="00FB600F" w:rsidRDefault="00FB600F" w:rsidP="00FB600F">
      <w:pPr>
        <w:pStyle w:val="BodyText"/>
      </w:pPr>
      <w:r>
        <w:t>HCP</w:t>
      </w:r>
      <w:r>
        <w:tab/>
      </w:r>
      <w:r>
        <w:tab/>
        <w:t>Home Care Package</w:t>
      </w:r>
    </w:p>
    <w:p w14:paraId="7A53359A" w14:textId="77777777" w:rsidR="00FB600F" w:rsidRDefault="00FB600F" w:rsidP="00FB600F">
      <w:pPr>
        <w:pStyle w:val="BodyText"/>
      </w:pPr>
      <w:r>
        <w:t>HME</w:t>
      </w:r>
      <w:r>
        <w:tab/>
      </w:r>
      <w:r>
        <w:tab/>
        <w:t>Heat and Moisture Exchange</w:t>
      </w:r>
    </w:p>
    <w:p w14:paraId="653C4230" w14:textId="77777777" w:rsidR="00FB600F" w:rsidRDefault="00FB600F" w:rsidP="00FB600F">
      <w:pPr>
        <w:pStyle w:val="BodyText"/>
      </w:pPr>
      <w:r>
        <w:t>HPOS</w:t>
      </w:r>
      <w:r>
        <w:tab/>
      </w:r>
      <w:r>
        <w:tab/>
        <w:t>Health Professional Online Services</w:t>
      </w:r>
    </w:p>
    <w:p w14:paraId="53C42558" w14:textId="77777777" w:rsidR="00FB600F" w:rsidRDefault="00FB600F" w:rsidP="00FB600F">
      <w:pPr>
        <w:pStyle w:val="BodyText"/>
      </w:pPr>
      <w:r>
        <w:lastRenderedPageBreak/>
        <w:t>HTA</w:t>
      </w:r>
      <w:r>
        <w:tab/>
      </w:r>
      <w:r>
        <w:tab/>
        <w:t>Health Technology Assessment</w:t>
      </w:r>
    </w:p>
    <w:p w14:paraId="26D98F1D" w14:textId="77777777" w:rsidR="00FB600F" w:rsidRDefault="00FB600F" w:rsidP="00FB600F">
      <w:pPr>
        <w:pStyle w:val="BodyText"/>
      </w:pPr>
      <w:r>
        <w:t>IA</w:t>
      </w:r>
      <w:r>
        <w:tab/>
      </w:r>
      <w:r>
        <w:tab/>
        <w:t>Imperforate anus</w:t>
      </w:r>
    </w:p>
    <w:p w14:paraId="035425D4" w14:textId="278E9AD2" w:rsidR="00FB600F" w:rsidRDefault="00FB600F" w:rsidP="00FB600F">
      <w:pPr>
        <w:pStyle w:val="BodyText"/>
      </w:pPr>
      <w:r>
        <w:t>IHACPA</w:t>
      </w:r>
      <w:r>
        <w:tab/>
        <w:t>Independent Health and Aged Care Pricing Authority</w:t>
      </w:r>
    </w:p>
    <w:p w14:paraId="4E3BE4C5" w14:textId="77777777" w:rsidR="00FB600F" w:rsidRDefault="00FB600F" w:rsidP="00FB600F">
      <w:pPr>
        <w:pStyle w:val="BodyText"/>
      </w:pPr>
      <w:r>
        <w:t>LAC</w:t>
      </w:r>
      <w:r>
        <w:tab/>
      </w:r>
      <w:r>
        <w:tab/>
        <w:t>Local Area Coordinator</w:t>
      </w:r>
    </w:p>
    <w:p w14:paraId="6AC44098" w14:textId="77777777" w:rsidR="00FB600F" w:rsidRDefault="00FB600F" w:rsidP="00FB600F">
      <w:pPr>
        <w:pStyle w:val="BodyText"/>
      </w:pPr>
      <w:r>
        <w:t>LARS</w:t>
      </w:r>
      <w:r>
        <w:tab/>
      </w:r>
      <w:r>
        <w:tab/>
        <w:t>Low anterior resection syndrome</w:t>
      </w:r>
    </w:p>
    <w:p w14:paraId="05EEEEB3" w14:textId="77777777" w:rsidR="00FB600F" w:rsidRDefault="00FB600F" w:rsidP="00FB600F">
      <w:pPr>
        <w:pStyle w:val="BodyText"/>
      </w:pPr>
      <w:r>
        <w:t>MACE</w:t>
      </w:r>
      <w:r>
        <w:tab/>
      </w:r>
      <w:r>
        <w:tab/>
        <w:t>Malone Antegrade Continence Enema</w:t>
      </w:r>
    </w:p>
    <w:p w14:paraId="3A47F6A9" w14:textId="77777777" w:rsidR="00FB600F" w:rsidRDefault="00FB600F" w:rsidP="00FB600F">
      <w:pPr>
        <w:pStyle w:val="BodyText"/>
      </w:pPr>
      <w:r>
        <w:t>MAIB</w:t>
      </w:r>
      <w:r>
        <w:tab/>
      </w:r>
      <w:r>
        <w:tab/>
        <w:t>Motor Accidents Insurance Board</w:t>
      </w:r>
    </w:p>
    <w:p w14:paraId="75CE7C9F" w14:textId="77777777" w:rsidR="00FB600F" w:rsidRDefault="00FB600F" w:rsidP="00FB600F">
      <w:pPr>
        <w:pStyle w:val="BodyText"/>
      </w:pPr>
      <w:r>
        <w:t>MASS</w:t>
      </w:r>
      <w:r>
        <w:tab/>
      </w:r>
      <w:r>
        <w:tab/>
        <w:t>Medical Aids Subsidy Scheme</w:t>
      </w:r>
    </w:p>
    <w:p w14:paraId="0D8FC7B1" w14:textId="77777777" w:rsidR="00FB600F" w:rsidRDefault="00FB600F" w:rsidP="00FB600F">
      <w:pPr>
        <w:pStyle w:val="BodyText"/>
      </w:pPr>
      <w:r>
        <w:t>MBS</w:t>
      </w:r>
      <w:r>
        <w:tab/>
      </w:r>
      <w:r>
        <w:tab/>
        <w:t>Medicare Benefits Schedule</w:t>
      </w:r>
    </w:p>
    <w:p w14:paraId="5FEC8261" w14:textId="77777777" w:rsidR="00FB600F" w:rsidRDefault="00FB600F" w:rsidP="00FB600F">
      <w:pPr>
        <w:pStyle w:val="BodyText"/>
      </w:pPr>
      <w:r>
        <w:t>MMM</w:t>
      </w:r>
      <w:r>
        <w:tab/>
      </w:r>
      <w:r>
        <w:tab/>
        <w:t>Modified Monash Model</w:t>
      </w:r>
    </w:p>
    <w:p w14:paraId="0F529C1B" w14:textId="77777777" w:rsidR="00FB600F" w:rsidRDefault="00FB600F" w:rsidP="00FB600F">
      <w:pPr>
        <w:pStyle w:val="BodyText"/>
      </w:pPr>
      <w:r>
        <w:t>MS</w:t>
      </w:r>
      <w:r>
        <w:tab/>
      </w:r>
      <w:r>
        <w:tab/>
        <w:t>Multiple sclerosis</w:t>
      </w:r>
    </w:p>
    <w:p w14:paraId="6F3B7B9E" w14:textId="77777777" w:rsidR="00FB600F" w:rsidRDefault="00FB600F" w:rsidP="00FB600F">
      <w:pPr>
        <w:pStyle w:val="BodyText"/>
      </w:pPr>
      <w:r>
        <w:t>NDIA</w:t>
      </w:r>
      <w:r>
        <w:tab/>
      </w:r>
      <w:r>
        <w:tab/>
        <w:t>National Disability Insurance Agency</w:t>
      </w:r>
    </w:p>
    <w:p w14:paraId="580244FF" w14:textId="77777777" w:rsidR="00FB600F" w:rsidRDefault="00FB600F" w:rsidP="00FB600F">
      <w:pPr>
        <w:pStyle w:val="BodyText"/>
      </w:pPr>
      <w:r>
        <w:t>NDIS</w:t>
      </w:r>
      <w:r>
        <w:tab/>
      </w:r>
      <w:r>
        <w:tab/>
        <w:t>National Disability Insurance Scheme</w:t>
      </w:r>
    </w:p>
    <w:p w14:paraId="6A1DDA5A" w14:textId="77777777" w:rsidR="00FB600F" w:rsidRDefault="00FB600F" w:rsidP="00FB600F">
      <w:pPr>
        <w:pStyle w:val="BodyText"/>
      </w:pPr>
      <w:r>
        <w:t>NDSS</w:t>
      </w:r>
      <w:r>
        <w:tab/>
      </w:r>
      <w:r>
        <w:tab/>
        <w:t>National Diabetes Services Scheme</w:t>
      </w:r>
    </w:p>
    <w:p w14:paraId="164EA83B" w14:textId="77777777" w:rsidR="00FB600F" w:rsidRDefault="00FB600F" w:rsidP="00FB600F">
      <w:pPr>
        <w:pStyle w:val="BodyText"/>
      </w:pPr>
      <w:r>
        <w:t>NEBDS</w:t>
      </w:r>
      <w:r>
        <w:tab/>
      </w:r>
      <w:r>
        <w:tab/>
        <w:t>National Epidermolysis Bullosa Dressing Scheme</w:t>
      </w:r>
    </w:p>
    <w:p w14:paraId="6298AABC" w14:textId="77777777" w:rsidR="00FB600F" w:rsidRDefault="00FB600F" w:rsidP="00FB600F">
      <w:pPr>
        <w:pStyle w:val="BodyText"/>
      </w:pPr>
      <w:r>
        <w:t>NHS</w:t>
      </w:r>
      <w:r>
        <w:tab/>
      </w:r>
      <w:r>
        <w:tab/>
        <w:t>National Health Service</w:t>
      </w:r>
    </w:p>
    <w:p w14:paraId="15DADD32" w14:textId="77777777" w:rsidR="00FB600F" w:rsidRDefault="00FB600F" w:rsidP="00FB600F">
      <w:pPr>
        <w:pStyle w:val="BodyText"/>
      </w:pPr>
      <w:r>
        <w:t>NSW</w:t>
      </w:r>
      <w:r>
        <w:tab/>
      </w:r>
      <w:r>
        <w:tab/>
        <w:t>New South Wales</w:t>
      </w:r>
    </w:p>
    <w:p w14:paraId="0864740D" w14:textId="77777777" w:rsidR="00FB600F" w:rsidRDefault="00FB600F" w:rsidP="00FB600F">
      <w:pPr>
        <w:pStyle w:val="BodyText"/>
      </w:pPr>
      <w:r>
        <w:t>NT</w:t>
      </w:r>
      <w:r>
        <w:tab/>
      </w:r>
      <w:r>
        <w:tab/>
        <w:t>Northern Territory</w:t>
      </w:r>
    </w:p>
    <w:p w14:paraId="10C4C2A2" w14:textId="77777777" w:rsidR="00FB600F" w:rsidRDefault="00FB600F" w:rsidP="00FB600F">
      <w:pPr>
        <w:pStyle w:val="BodyText"/>
      </w:pPr>
      <w:r>
        <w:t>PBS</w:t>
      </w:r>
      <w:r>
        <w:tab/>
      </w:r>
      <w:r>
        <w:tab/>
        <w:t>Pharmaceutical Benefits Scheme</w:t>
      </w:r>
    </w:p>
    <w:p w14:paraId="676B8542" w14:textId="77777777" w:rsidR="00FB600F" w:rsidRDefault="00FB600F" w:rsidP="00FB600F">
      <w:pPr>
        <w:pStyle w:val="BodyText"/>
      </w:pPr>
      <w:r>
        <w:t>PSD</w:t>
      </w:r>
      <w:r>
        <w:tab/>
      </w:r>
      <w:r>
        <w:tab/>
        <w:t>Public Summary Documents</w:t>
      </w:r>
    </w:p>
    <w:p w14:paraId="22E42EF6" w14:textId="77777777" w:rsidR="00FB600F" w:rsidRDefault="00FB600F" w:rsidP="00FB600F">
      <w:pPr>
        <w:pStyle w:val="BodyText"/>
      </w:pPr>
      <w:r>
        <w:t>QHSSL</w:t>
      </w:r>
      <w:r>
        <w:tab/>
      </w:r>
      <w:r>
        <w:tab/>
        <w:t>Queensland Heat Moisture Exchange Subsidy Scheme for Laryngectomy</w:t>
      </w:r>
    </w:p>
    <w:p w14:paraId="26EA621E" w14:textId="77777777" w:rsidR="00FB600F" w:rsidRDefault="00FB600F" w:rsidP="00FB600F">
      <w:pPr>
        <w:pStyle w:val="BodyText"/>
      </w:pPr>
      <w:r>
        <w:t>SIA</w:t>
      </w:r>
      <w:r>
        <w:tab/>
      </w:r>
      <w:r>
        <w:tab/>
        <w:t>Stoma Industry Association</w:t>
      </w:r>
    </w:p>
    <w:p w14:paraId="08C2EF12" w14:textId="77777777" w:rsidR="00FB600F" w:rsidRDefault="00FB600F" w:rsidP="00FB600F">
      <w:pPr>
        <w:pStyle w:val="BodyText"/>
      </w:pPr>
      <w:r>
        <w:t>SPA</w:t>
      </w:r>
      <w:r>
        <w:tab/>
      </w:r>
      <w:r>
        <w:tab/>
        <w:t>Speech Pathology Australia</w:t>
      </w:r>
    </w:p>
    <w:p w14:paraId="395A34AB" w14:textId="77777777" w:rsidR="00FB600F" w:rsidRDefault="00FB600F" w:rsidP="00FB600F">
      <w:pPr>
        <w:pStyle w:val="BodyText"/>
      </w:pPr>
      <w:r>
        <w:t>SPAP</w:t>
      </w:r>
      <w:r>
        <w:tab/>
      </w:r>
      <w:r>
        <w:tab/>
        <w:t>Stoma Product Assessment Panel</w:t>
      </w:r>
    </w:p>
    <w:p w14:paraId="54A367A0" w14:textId="77777777" w:rsidR="00FB600F" w:rsidRDefault="00FB600F" w:rsidP="00FB600F">
      <w:pPr>
        <w:pStyle w:val="BodyText"/>
      </w:pPr>
      <w:r>
        <w:t>SPR</w:t>
      </w:r>
      <w:r>
        <w:tab/>
      </w:r>
      <w:r>
        <w:tab/>
        <w:t>Statutory price reductions</w:t>
      </w:r>
    </w:p>
    <w:p w14:paraId="1BCB475C" w14:textId="77777777" w:rsidR="00FB600F" w:rsidRDefault="00FB600F" w:rsidP="00FB600F">
      <w:pPr>
        <w:pStyle w:val="BodyText"/>
      </w:pPr>
      <w:r>
        <w:t>STN</w:t>
      </w:r>
      <w:r>
        <w:tab/>
      </w:r>
      <w:r>
        <w:tab/>
        <w:t>Stomal Therapy Nurses</w:t>
      </w:r>
    </w:p>
    <w:p w14:paraId="607D4CEB" w14:textId="77777777" w:rsidR="00FB600F" w:rsidRDefault="00FB600F" w:rsidP="00FB600F">
      <w:pPr>
        <w:pStyle w:val="BodyText"/>
      </w:pPr>
      <w:r>
        <w:t>TEP</w:t>
      </w:r>
      <w:r>
        <w:tab/>
      </w:r>
      <w:r>
        <w:tab/>
        <w:t>Territory Equipment Program</w:t>
      </w:r>
    </w:p>
    <w:p w14:paraId="41FCAB90" w14:textId="77777777" w:rsidR="00FB600F" w:rsidRDefault="00FB600F" w:rsidP="00FB600F">
      <w:pPr>
        <w:pStyle w:val="BodyText"/>
      </w:pPr>
      <w:r>
        <w:t>UK</w:t>
      </w:r>
      <w:r>
        <w:tab/>
      </w:r>
      <w:r>
        <w:tab/>
        <w:t>United Kingdom</w:t>
      </w:r>
    </w:p>
    <w:p w14:paraId="154E8523" w14:textId="77777777" w:rsidR="00FB600F" w:rsidRDefault="00FB600F" w:rsidP="00FB600F">
      <w:pPr>
        <w:pStyle w:val="BodyText"/>
      </w:pPr>
      <w:r>
        <w:t>VAEP</w:t>
      </w:r>
      <w:r>
        <w:tab/>
      </w:r>
      <w:r>
        <w:tab/>
        <w:t>Victorian Aids and Equipment Program</w:t>
      </w:r>
    </w:p>
    <w:p w14:paraId="005650AF" w14:textId="77777777" w:rsidR="00FB600F" w:rsidRDefault="00FB600F" w:rsidP="00FB600F">
      <w:pPr>
        <w:pStyle w:val="BodyText"/>
      </w:pPr>
      <w:r>
        <w:t>WA</w:t>
      </w:r>
      <w:r>
        <w:tab/>
      </w:r>
      <w:r>
        <w:tab/>
        <w:t>Western Australia</w:t>
      </w:r>
    </w:p>
    <w:p w14:paraId="1E22817A" w14:textId="77777777" w:rsidR="00FB600F" w:rsidRDefault="00FB600F" w:rsidP="00317D31">
      <w:pPr>
        <w:pStyle w:val="BodyText"/>
      </w:pPr>
    </w:p>
    <w:p w14:paraId="0BEA4188" w14:textId="609ECCCB" w:rsidR="00FB600F" w:rsidRDefault="00FB600F" w:rsidP="00317D31">
      <w:pPr>
        <w:pStyle w:val="BodyText"/>
        <w:sectPr w:rsidR="00FB600F" w:rsidSect="00361225">
          <w:headerReference w:type="default" r:id="rId14"/>
          <w:footerReference w:type="default" r:id="rId15"/>
          <w:pgSz w:w="11906" w:h="16838" w:code="9"/>
          <w:pgMar w:top="1134" w:right="849" w:bottom="1134" w:left="1134" w:header="709" w:footer="510" w:gutter="0"/>
          <w:pgNumType w:fmt="lowerRoman"/>
          <w:cols w:space="708"/>
          <w:docGrid w:linePitch="360"/>
        </w:sectPr>
      </w:pPr>
    </w:p>
    <w:p w14:paraId="2E3CB86F" w14:textId="61E36512" w:rsidR="00E35BC7" w:rsidRDefault="00E35BC7" w:rsidP="00E35BC7">
      <w:pPr>
        <w:pStyle w:val="ExecutiveSummaryH1"/>
      </w:pPr>
      <w:bookmarkStart w:id="1" w:name="_Toc161743086"/>
      <w:r>
        <w:lastRenderedPageBreak/>
        <w:t>Executive Summary</w:t>
      </w:r>
      <w:bookmarkEnd w:id="1"/>
    </w:p>
    <w:p w14:paraId="6A7C4C98" w14:textId="76DF5B01" w:rsidR="00E35BC7" w:rsidRDefault="00416865" w:rsidP="007D0EE6">
      <w:pPr>
        <w:pStyle w:val="ExecutiveSummaryH2"/>
      </w:pPr>
      <w:r>
        <w:t>Overview</w:t>
      </w:r>
    </w:p>
    <w:p w14:paraId="455BCD88" w14:textId="4F36D5DE" w:rsidR="00DF4BB1" w:rsidRDefault="001A1E42" w:rsidP="001A1E42">
      <w:pPr>
        <w:pStyle w:val="BodyText"/>
      </w:pPr>
      <w:r>
        <w:t>The Stoma Appliance Scheme (the Scheme) commenced in 1975 as a federally funded program that</w:t>
      </w:r>
      <w:r w:rsidR="001F5E3A">
        <w:t xml:space="preserve"> now</w:t>
      </w:r>
      <w:r>
        <w:t xml:space="preserve"> provides fully subsidised stoma appliances and products to approximately 49,000 Australian ostomates each year.</w:t>
      </w:r>
    </w:p>
    <w:p w14:paraId="5F8192F4" w14:textId="73845757" w:rsidR="00DF4BB1" w:rsidRDefault="001A1E42" w:rsidP="001A1E42">
      <w:pPr>
        <w:pStyle w:val="BodyText"/>
      </w:pPr>
      <w:r>
        <w:t>The Scheme</w:t>
      </w:r>
      <w:r w:rsidR="00691E37">
        <w:t>’</w:t>
      </w:r>
      <w:r w:rsidR="002B4ACE">
        <w:t>s</w:t>
      </w:r>
      <w:r>
        <w:t xml:space="preserve"> Schedule (the Schedule) lists all the stoma products and appliances that are subsidised. The Schedule lists around 3,600 stoma appliances which assist people with stomas to better manage their condition and allow greater participation in society and the workforce.</w:t>
      </w:r>
    </w:p>
    <w:p w14:paraId="3418CD6A" w14:textId="371797C5" w:rsidR="00DF4BB1" w:rsidRDefault="001A1E42" w:rsidP="001A1E42">
      <w:pPr>
        <w:pStyle w:val="BodyText"/>
      </w:pPr>
      <w:r>
        <w:t>To access subsidised products under the Scheme, ostomates must be a member of one of the 19 approved stoma associations</w:t>
      </w:r>
      <w:r w:rsidR="001A34EB">
        <w:t xml:space="preserve"> and complete Services Australia’s PB049 form which collects information to determine eligibility</w:t>
      </w:r>
      <w:r>
        <w:t>. Stoma associations are not-for-profit organisations that order and distribute stoma-related products on behalf of ostomates. Stoma associations then claim the cost of stoma products through Services Australia. An administration fee is paid to stoma associations</w:t>
      </w:r>
      <w:r w:rsidR="001D20E5" w:rsidRPr="001D20E5">
        <w:t xml:space="preserve"> </w:t>
      </w:r>
      <w:r w:rsidR="001D20E5">
        <w:t xml:space="preserve">to </w:t>
      </w:r>
      <w:r w:rsidR="007D4046">
        <w:t xml:space="preserve">cover </w:t>
      </w:r>
      <w:r w:rsidR="001D20E5">
        <w:t>distribution costs</w:t>
      </w:r>
      <w:r>
        <w:t>, in addition to the cost of products.</w:t>
      </w:r>
    </w:p>
    <w:p w14:paraId="1580A217" w14:textId="54BA7F36" w:rsidR="005D29E9" w:rsidRDefault="005D29E9" w:rsidP="009B5407">
      <w:pPr>
        <w:pStyle w:val="BodyText"/>
      </w:pPr>
      <w:r w:rsidRPr="005D29E9">
        <w:t>The Schedule sets monthly</w:t>
      </w:r>
      <w:r w:rsidR="001F5E3A">
        <w:t xml:space="preserve"> or annual</w:t>
      </w:r>
      <w:r w:rsidRPr="005D29E9">
        <w:t xml:space="preserve"> quantity limits, with provisions for extra supplies with authori</w:t>
      </w:r>
      <w:r w:rsidR="007C7BD5">
        <w:t>s</w:t>
      </w:r>
      <w:r w:rsidRPr="005D29E9">
        <w:t>ation</w:t>
      </w:r>
      <w:r w:rsidR="003E7C0C">
        <w:t xml:space="preserve"> (i.e. approved clinician that completes </w:t>
      </w:r>
      <w:r w:rsidR="003001F2">
        <w:t xml:space="preserve">a </w:t>
      </w:r>
      <w:r w:rsidR="003E7C0C">
        <w:t>PB050 form)</w:t>
      </w:r>
      <w:r w:rsidRPr="005D29E9">
        <w:t xml:space="preserve">. Stoma product suppliers seek listing on the Schedule through the Application and Assessment Guidelines, </w:t>
      </w:r>
      <w:r w:rsidR="007C7BD5">
        <w:t xml:space="preserve">that are </w:t>
      </w:r>
      <w:r w:rsidRPr="005D29E9">
        <w:t xml:space="preserve">evaluated by the independent Stoma Product Assessment Panel </w:t>
      </w:r>
      <w:r w:rsidR="003E7C0C">
        <w:t xml:space="preserve">(SPAP) that are </w:t>
      </w:r>
      <w:r w:rsidRPr="005D29E9">
        <w:t>appointed by the Department of Health and Aged Care.</w:t>
      </w:r>
    </w:p>
    <w:p w14:paraId="027CF2B9" w14:textId="433EC28F" w:rsidR="00E35BC7" w:rsidRDefault="0063617E" w:rsidP="00FA3997">
      <w:pPr>
        <w:pStyle w:val="ExecutiveSummaryH2"/>
      </w:pPr>
      <w:r>
        <w:t>Context for the</w:t>
      </w:r>
      <w:r w:rsidR="00FA3997">
        <w:t xml:space="preserve"> Review</w:t>
      </w:r>
    </w:p>
    <w:p w14:paraId="61FAF1B5" w14:textId="09410CF3" w:rsidR="00DE3467" w:rsidRDefault="00DE3467" w:rsidP="00262FCC">
      <w:pPr>
        <w:pStyle w:val="BodyText"/>
      </w:pPr>
      <w:r>
        <w:t xml:space="preserve">The 2023-24 Budget included a commitment to undertake a comprehensive </w:t>
      </w:r>
      <w:r w:rsidR="00C90A29">
        <w:t>R</w:t>
      </w:r>
      <w:r>
        <w:t xml:space="preserve">eview </w:t>
      </w:r>
      <w:r w:rsidR="00C90A29">
        <w:t>(the Review)</w:t>
      </w:r>
      <w:r>
        <w:t xml:space="preserve"> of the Scheme. </w:t>
      </w:r>
      <w:r w:rsidR="0063617E">
        <w:t>T</w:t>
      </w:r>
      <w:r>
        <w:t>he Review</w:t>
      </w:r>
      <w:r w:rsidR="0067140A">
        <w:t xml:space="preserve"> </w:t>
      </w:r>
      <w:r w:rsidR="009727D9">
        <w:t>aimed to</w:t>
      </w:r>
      <w:r w:rsidR="00CF4821" w:rsidRPr="00CF4821">
        <w:t xml:space="preserve"> ensure </w:t>
      </w:r>
      <w:r w:rsidR="00CF4821">
        <w:t xml:space="preserve">the Scheme’s </w:t>
      </w:r>
      <w:r w:rsidR="00CF4821" w:rsidRPr="00CF4821">
        <w:t xml:space="preserve">clinical eligibility aligns with the </w:t>
      </w:r>
      <w:r w:rsidR="00822862">
        <w:t>S</w:t>
      </w:r>
      <w:r w:rsidR="00CF4821" w:rsidRPr="00CF4821">
        <w:t xml:space="preserve">cheme's principles, considers new types of stomas, avoids duplication with other </w:t>
      </w:r>
      <w:r w:rsidR="00500E7A">
        <w:t>s</w:t>
      </w:r>
      <w:r w:rsidR="00262FCC">
        <w:t>chemes</w:t>
      </w:r>
      <w:r w:rsidR="00CF4821" w:rsidRPr="00CF4821">
        <w:t xml:space="preserve">, maintains appropriate products </w:t>
      </w:r>
      <w:r w:rsidR="001F5E3A">
        <w:t>on</w:t>
      </w:r>
      <w:r w:rsidR="001F5E3A" w:rsidRPr="00CF4821">
        <w:t xml:space="preserve"> </w:t>
      </w:r>
      <w:r w:rsidR="00CF4821" w:rsidRPr="00CF4821">
        <w:t>the Schedule, and review</w:t>
      </w:r>
      <w:r w:rsidR="00262FCC">
        <w:t xml:space="preserve"> the</w:t>
      </w:r>
      <w:r w:rsidR="00CF4821" w:rsidRPr="00CF4821">
        <w:t xml:space="preserve"> pricing method</w:t>
      </w:r>
      <w:r w:rsidR="00262FCC">
        <w:t>ology</w:t>
      </w:r>
      <w:r w:rsidR="00CF4821" w:rsidRPr="00CF4821">
        <w:t>.</w:t>
      </w:r>
    </w:p>
    <w:p w14:paraId="7317A098" w14:textId="06720B65" w:rsidR="00DE3467" w:rsidRDefault="00DE3467" w:rsidP="00DE3467">
      <w:pPr>
        <w:pStyle w:val="BodyText"/>
      </w:pPr>
      <w:r>
        <w:t xml:space="preserve">Whilst clinical eligibility for the Scheme has been reviewed periodically due to advances in surgery and for specific conditions, there has been no comprehensive </w:t>
      </w:r>
      <w:r w:rsidR="0031275D">
        <w:t>r</w:t>
      </w:r>
      <w:r>
        <w:t xml:space="preserve">eview of the Scheme that considers clinical eligibility, accessibility by marginalised groups, the appropriateness and necessity of products on the Schedule, or the method by which product prices in the Schedule are set, </w:t>
      </w:r>
      <w:proofErr w:type="gramStart"/>
      <w:r>
        <w:t>reviewed</w:t>
      </w:r>
      <w:proofErr w:type="gramEnd"/>
      <w:r>
        <w:t xml:space="preserve"> or updated.</w:t>
      </w:r>
    </w:p>
    <w:p w14:paraId="6C78D104" w14:textId="19A9AD4D" w:rsidR="00DE3467" w:rsidRDefault="00DE3467" w:rsidP="00DE3467">
      <w:pPr>
        <w:pStyle w:val="BodyText"/>
      </w:pPr>
      <w:r>
        <w:t xml:space="preserve">Additionally, in 2022-23, expenditure for the Scheme has peaked at $114m, with product usage also continuing to rise year-on-year despite the relatively stable number of ostomates </w:t>
      </w:r>
      <w:r w:rsidR="00DE09F5">
        <w:t>accessing</w:t>
      </w:r>
      <w:r>
        <w:t xml:space="preserve"> the Scheme.</w:t>
      </w:r>
    </w:p>
    <w:p w14:paraId="35194C22" w14:textId="29727D43" w:rsidR="00DE3467" w:rsidRDefault="00DE3467" w:rsidP="00DE3467">
      <w:pPr>
        <w:pStyle w:val="BodyText"/>
      </w:pPr>
      <w:r>
        <w:t xml:space="preserve">This Review has considered all these factors to ensure the Scheme continues to meet its intended objectives whilst uncovering opportunities to improve efficiencies and accessibility, and potentially curb rising expenditure in a way that </w:t>
      </w:r>
      <w:r w:rsidR="0099646C">
        <w:t>continues</w:t>
      </w:r>
      <w:r>
        <w:t xml:space="preserve"> to meet the needs of ostomates and other stakeholders.</w:t>
      </w:r>
    </w:p>
    <w:p w14:paraId="73A04C67" w14:textId="2C51DCFC" w:rsidR="0022635A" w:rsidRDefault="0022635A" w:rsidP="0022635A">
      <w:pPr>
        <w:pStyle w:val="ExecutiveSummaryH2"/>
      </w:pPr>
      <w:r>
        <w:lastRenderedPageBreak/>
        <w:t>Key findings of the Review</w:t>
      </w:r>
    </w:p>
    <w:p w14:paraId="5F05B211" w14:textId="342759CC" w:rsidR="0022635A" w:rsidRDefault="0022635A" w:rsidP="006261FB">
      <w:pPr>
        <w:pStyle w:val="ExecutiveSummaryH3"/>
      </w:pPr>
      <w:r>
        <w:t>Clinical eligibility</w:t>
      </w:r>
    </w:p>
    <w:p w14:paraId="5FBD5885" w14:textId="149C7351" w:rsidR="000D0A2B" w:rsidRDefault="000D0A2B" w:rsidP="000D0A2B">
      <w:pPr>
        <w:pStyle w:val="BodyText"/>
      </w:pPr>
      <w:r>
        <w:t xml:space="preserve">The Scheme has undergone periodic reviews of clinical eligibility, adapting to advances in surgical techniques and specific medical conditions. The </w:t>
      </w:r>
      <w:r w:rsidR="00683457">
        <w:t>eligibility</w:t>
      </w:r>
      <w:r>
        <w:t xml:space="preserve"> definition has been expanded to include various stoma types, such as neo-anus openings, fistulas, and biliary stomas. Notably, recent changes in 2021 and January 2022 incorporated patients with neo-anus openings due to anorectal malformation (ARM), imperforate anus (IA), Malone Antegrade Continence Enema (MACE), and </w:t>
      </w:r>
      <w:proofErr w:type="spellStart"/>
      <w:r>
        <w:t>Mitrofanoff</w:t>
      </w:r>
      <w:proofErr w:type="spellEnd"/>
      <w:r>
        <w:t xml:space="preserve"> stoma subtypes. These additions and formal recognition of eligibility closed previous gaps which existed for ostomates accessing subsidised products on the Scheme.</w:t>
      </w:r>
    </w:p>
    <w:p w14:paraId="7DF9DD60" w14:textId="3D160033" w:rsidR="000D0A2B" w:rsidRDefault="00EA39EB" w:rsidP="000D0A2B">
      <w:pPr>
        <w:pStyle w:val="BodyText"/>
      </w:pPr>
      <w:r w:rsidRPr="00D61CFA">
        <w:t>Whilst there were overall increases in expenditure and usage of the Scheme over the past three years, a</w:t>
      </w:r>
      <w:r w:rsidR="000D0A2B" w:rsidRPr="00D61CFA">
        <w:t xml:space="preserve">n analysis of the data suggests that the introduction of new stoma types </w:t>
      </w:r>
      <w:r w:rsidR="00C0382F" w:rsidRPr="00D61CFA">
        <w:t xml:space="preserve">did </w:t>
      </w:r>
      <w:r w:rsidR="000D0A2B" w:rsidRPr="00D61CFA">
        <w:t xml:space="preserve">not </w:t>
      </w:r>
      <w:r w:rsidR="002877EF" w:rsidRPr="00D61CFA">
        <w:t>drive the</w:t>
      </w:r>
      <w:r w:rsidR="000D0A2B" w:rsidRPr="00D61CFA">
        <w:t xml:space="preserve"> increase</w:t>
      </w:r>
      <w:r w:rsidR="002877EF" w:rsidRPr="00D61CFA">
        <w:t>s</w:t>
      </w:r>
      <w:r w:rsidR="000D0A2B" w:rsidRPr="00D61CFA">
        <w:t xml:space="preserve">. While limitations in </w:t>
      </w:r>
      <w:r w:rsidR="00BD328D" w:rsidRPr="00D61CFA">
        <w:t xml:space="preserve">the </w:t>
      </w:r>
      <w:r w:rsidR="000D0A2B" w:rsidRPr="00D61CFA">
        <w:t>data made it challenging to assess participant numbers, stakeholder feedback and available data indicate a stable ostomate count. The temporary nature of some stomas contributes to individuals transitioning off the Scheme while new ostomates join.</w:t>
      </w:r>
    </w:p>
    <w:p w14:paraId="75AE9DC3" w14:textId="12A8D561" w:rsidR="000D0A2B" w:rsidRDefault="000D0A2B" w:rsidP="000D0A2B">
      <w:pPr>
        <w:pStyle w:val="BodyText"/>
      </w:pPr>
      <w:r>
        <w:t>Stakeholders generally affirm that the Scheme addresses clinical eligibility effectively. However, certain conditions, technically meeting eligibility criteria</w:t>
      </w:r>
      <w:r w:rsidR="00056C1B">
        <w:t xml:space="preserve"> </w:t>
      </w:r>
      <w:r w:rsidR="006E75C0">
        <w:t xml:space="preserve">of stomas which facilitate the removal of waste products from the </w:t>
      </w:r>
      <w:r w:rsidR="008E126B">
        <w:t>gastrointestinal (</w:t>
      </w:r>
      <w:r w:rsidR="006E75C0">
        <w:t>GI</w:t>
      </w:r>
      <w:r w:rsidR="008E126B">
        <w:t>)</w:t>
      </w:r>
      <w:r w:rsidR="006E75C0">
        <w:t xml:space="preserve"> tract</w:t>
      </w:r>
      <w:r>
        <w:t xml:space="preserve">, face challenges in formal recognition during application. </w:t>
      </w:r>
      <w:r w:rsidR="006E75C0">
        <w:t xml:space="preserve">Notably, this </w:t>
      </w:r>
      <w:r>
        <w:t>include</w:t>
      </w:r>
      <w:r w:rsidR="00FA3F8F">
        <w:t>s</w:t>
      </w:r>
      <w:r>
        <w:t xml:space="preserve"> </w:t>
      </w:r>
      <w:r w:rsidR="007D47A4" w:rsidRPr="007D47A4">
        <w:t xml:space="preserve">Antegrade Continence Enema </w:t>
      </w:r>
      <w:r w:rsidR="007D47A4">
        <w:t>(</w:t>
      </w:r>
      <w:r>
        <w:t>ACE</w:t>
      </w:r>
      <w:r w:rsidR="007D47A4">
        <w:t>)</w:t>
      </w:r>
      <w:r>
        <w:t xml:space="preserve"> stomas, esophagostomies, nephrostomies, and vesicostomies, </w:t>
      </w:r>
      <w:r w:rsidR="006E75C0">
        <w:t xml:space="preserve">which often require </w:t>
      </w:r>
      <w:r>
        <w:t xml:space="preserve">additional support letters. </w:t>
      </w:r>
    </w:p>
    <w:p w14:paraId="46E745A3" w14:textId="0AFFD0D3" w:rsidR="000D0A2B" w:rsidRDefault="000D0A2B" w:rsidP="000D0A2B">
      <w:pPr>
        <w:pStyle w:val="BodyText"/>
      </w:pPr>
      <w:r>
        <w:t xml:space="preserve">Varied interpretations of eligibility criteria exist among stakeholders, leading to potential inconsistencies in application. </w:t>
      </w:r>
      <w:r w:rsidR="005F6F04">
        <w:t>P</w:t>
      </w:r>
      <w:r>
        <w:t>ublishing a set list of eligible stoma types to reduce interpretation discrepancies</w:t>
      </w:r>
      <w:r w:rsidR="005F6F04">
        <w:t xml:space="preserve"> would </w:t>
      </w:r>
      <w:r w:rsidR="00F41C12">
        <w:t>improve</w:t>
      </w:r>
      <w:r w:rsidR="00194180">
        <w:t xml:space="preserve"> clarity</w:t>
      </w:r>
      <w:r>
        <w:t xml:space="preserve">. </w:t>
      </w:r>
      <w:r w:rsidR="00E6610A">
        <w:t>Some stakeholders proposed m</w:t>
      </w:r>
      <w:r>
        <w:t xml:space="preserve">odifications to </w:t>
      </w:r>
      <w:r w:rsidR="00E6610A">
        <w:t>the</w:t>
      </w:r>
      <w:r>
        <w:t xml:space="preserve"> criteria, incorporating </w:t>
      </w:r>
      <w:r w:rsidR="002C631E">
        <w:t>GI</w:t>
      </w:r>
      <w:r>
        <w:t xml:space="preserve"> tract dysfunction, to include individuals with conditions like Hirschsprung's disease, multiple sclerosis</w:t>
      </w:r>
      <w:r w:rsidR="00065608">
        <w:t xml:space="preserve"> (MS)</w:t>
      </w:r>
      <w:r>
        <w:t>, or Low anterior resection syndrome (LARS).</w:t>
      </w:r>
    </w:p>
    <w:p w14:paraId="31676B89" w14:textId="0D3D4CF8" w:rsidR="000D0A2B" w:rsidRDefault="00B43511" w:rsidP="000D0A2B">
      <w:pPr>
        <w:pStyle w:val="BodyText"/>
      </w:pPr>
      <w:r>
        <w:t>S</w:t>
      </w:r>
      <w:r w:rsidR="000D0A2B">
        <w:t>toma types which exist outside of the GI tract</w:t>
      </w:r>
      <w:r w:rsidR="00116D16">
        <w:t xml:space="preserve"> including</w:t>
      </w:r>
      <w:r w:rsidR="00DF0D8E">
        <w:t xml:space="preserve"> </w:t>
      </w:r>
      <w:r w:rsidR="000D0A2B">
        <w:t xml:space="preserve">thoracostomy, </w:t>
      </w:r>
      <w:proofErr w:type="spellStart"/>
      <w:r w:rsidR="000D0A2B">
        <w:t>pharyngostomy</w:t>
      </w:r>
      <w:proofErr w:type="spellEnd"/>
      <w:r w:rsidR="000D0A2B">
        <w:t>, and wound management requiring drainage</w:t>
      </w:r>
      <w:r w:rsidR="00DF0D8E">
        <w:t>, or within the GI tract but not for the removal of waste including tracheostomy and gastrostomy</w:t>
      </w:r>
      <w:r w:rsidR="00B11E87">
        <w:t xml:space="preserve"> were </w:t>
      </w:r>
      <w:r w:rsidR="000D0A2B">
        <w:t xml:space="preserve">generally </w:t>
      </w:r>
      <w:r w:rsidR="00B11E87">
        <w:t xml:space="preserve">supported by stakeholders to </w:t>
      </w:r>
      <w:r w:rsidR="00D44D9D">
        <w:t>remain out of scope</w:t>
      </w:r>
      <w:r w:rsidR="000D0A2B">
        <w:t xml:space="preserve">, </w:t>
      </w:r>
      <w:r w:rsidR="00B11E87">
        <w:t xml:space="preserve">with </w:t>
      </w:r>
      <w:r w:rsidR="000D0A2B">
        <w:t>exceptions for vesicostomy and esophagostomy, which some consider fitting into the eligibility criteria.</w:t>
      </w:r>
    </w:p>
    <w:p w14:paraId="032FC6A3" w14:textId="5F62C01A" w:rsidR="000D0A2B" w:rsidRDefault="000D0A2B" w:rsidP="000D0A2B">
      <w:pPr>
        <w:pStyle w:val="BodyText"/>
      </w:pPr>
      <w:r>
        <w:t>Advances in stoma care primarily involve enhancements in product design, including water-repellent materials, improved fastening mechanisms, and skin protective technologies. Notable advancements like hydrocolloid adhesives and precision surgery techniques positively impact ostomates' physical well</w:t>
      </w:r>
      <w:r w:rsidR="00C92AD3">
        <w:t>being</w:t>
      </w:r>
      <w:r>
        <w:t>. However, the most up-to-date products in international markets are reportedly not available in Australia due to limitations in the current pricing methodology.</w:t>
      </w:r>
    </w:p>
    <w:p w14:paraId="5579BEC7" w14:textId="48619E12" w:rsidR="000D0A2B" w:rsidRDefault="0002074D" w:rsidP="006261FB">
      <w:pPr>
        <w:pStyle w:val="ExecutiveSummaryH3"/>
      </w:pPr>
      <w:r>
        <w:t xml:space="preserve">Duplication with </w:t>
      </w:r>
      <w:r w:rsidR="000D0A2B">
        <w:t>other government schemes</w:t>
      </w:r>
    </w:p>
    <w:p w14:paraId="7F92A41B" w14:textId="2228A968" w:rsidR="00397E25" w:rsidRDefault="00397E25" w:rsidP="00397E25">
      <w:pPr>
        <w:pStyle w:val="BodyText"/>
      </w:pPr>
      <w:r>
        <w:t xml:space="preserve">The Scheme is the sole stoma scheme offered in Australia, with no duplication or overlap identified with other national schemes or state and territory-funded medical appliance or </w:t>
      </w:r>
      <w:r>
        <w:lastRenderedPageBreak/>
        <w:t>equipment schemes.</w:t>
      </w:r>
      <w:r w:rsidR="00B21E54">
        <w:t xml:space="preserve"> </w:t>
      </w:r>
      <w:r>
        <w:t xml:space="preserve">Stakeholder consultation and </w:t>
      </w:r>
      <w:r w:rsidR="00B21E54">
        <w:t>documentation review</w:t>
      </w:r>
      <w:r>
        <w:t xml:space="preserve"> highlight the absence of redundancy, reinforcing the uniqueness and targeted focus of the Scheme.</w:t>
      </w:r>
    </w:p>
    <w:p w14:paraId="1A80D5F4" w14:textId="218251AD" w:rsidR="00397E25" w:rsidRDefault="00397E25" w:rsidP="006261FB">
      <w:pPr>
        <w:pStyle w:val="ExecutiveSummaryH3"/>
      </w:pPr>
      <w:r>
        <w:t>Accessibility</w:t>
      </w:r>
    </w:p>
    <w:p w14:paraId="6825D9FC" w14:textId="1D6A1241" w:rsidR="00110541" w:rsidRDefault="00110541" w:rsidP="00110541">
      <w:pPr>
        <w:pStyle w:val="BodyText"/>
      </w:pPr>
      <w:r>
        <w:t>Stoma care is crucial for individuals across diverse demographics, including those in rural and remote locations, First Nations people, financially disadvantaged individuals, and those from culturally and linguistically diverse (CALD) backgrounds.</w:t>
      </w:r>
    </w:p>
    <w:p w14:paraId="0F288C77" w14:textId="094B12B2" w:rsidR="00110541" w:rsidRDefault="00110541" w:rsidP="00110541">
      <w:pPr>
        <w:pStyle w:val="BodyText"/>
      </w:pPr>
      <w:r>
        <w:t xml:space="preserve">While the Scheme is available to all ostomates, challenges </w:t>
      </w:r>
      <w:r w:rsidR="00C61327">
        <w:t xml:space="preserve">exist </w:t>
      </w:r>
      <w:r>
        <w:t xml:space="preserve">for marginalised groups, including barriers to accessing stoma equipment and advice. Particularly of concern was adequate access to stoma care and advice from </w:t>
      </w:r>
      <w:r w:rsidR="00E10C2F">
        <w:t>Stomal Therapy Nurses (</w:t>
      </w:r>
      <w:r>
        <w:t>STNs</w:t>
      </w:r>
      <w:r w:rsidR="00E10C2F">
        <w:t>)</w:t>
      </w:r>
      <w:r>
        <w:t xml:space="preserve"> in rural and remote areas.</w:t>
      </w:r>
    </w:p>
    <w:p w14:paraId="21A164A2" w14:textId="26C0DB6B" w:rsidR="00110541" w:rsidRDefault="00110541" w:rsidP="00110541">
      <w:pPr>
        <w:pStyle w:val="BodyText"/>
      </w:pPr>
      <w:r>
        <w:t xml:space="preserve">There were mixed responses from ostomates regarding out-of-pocket costs which indicate varied experiences with the healthcare system, with some opting for private health </w:t>
      </w:r>
      <w:r w:rsidR="00595B20">
        <w:t xml:space="preserve">cover for their specialist and surgical care needs </w:t>
      </w:r>
      <w:r>
        <w:t>due to public system barriers, while others find the Scheme sufficient.</w:t>
      </w:r>
    </w:p>
    <w:p w14:paraId="693DBE21" w14:textId="537884F7" w:rsidR="00110541" w:rsidRDefault="00110541" w:rsidP="00110541">
      <w:pPr>
        <w:pStyle w:val="BodyText"/>
      </w:pPr>
      <w:r>
        <w:t xml:space="preserve">Barriers to access for marginalised groups include longer delivery times in rural areas, language-related challenges, health literacy issues, and </w:t>
      </w:r>
      <w:r w:rsidR="00E20999">
        <w:t xml:space="preserve">inadequate access to STNs and other healthcare professionals when </w:t>
      </w:r>
      <w:r w:rsidR="000E2A1D">
        <w:t xml:space="preserve">needing authorisation </w:t>
      </w:r>
      <w:r w:rsidR="007F2A40">
        <w:t>to</w:t>
      </w:r>
      <w:r w:rsidR="000E2A1D">
        <w:t xml:space="preserve"> access to restricted products on the Schedule.</w:t>
      </w:r>
    </w:p>
    <w:p w14:paraId="36871DB3" w14:textId="0F95D8EB" w:rsidR="00110541" w:rsidRDefault="00110541" w:rsidP="006261FB">
      <w:pPr>
        <w:pStyle w:val="ExecutiveSummaryH3"/>
      </w:pPr>
      <w:r>
        <w:t>Products on the Schedule</w:t>
      </w:r>
    </w:p>
    <w:p w14:paraId="0F0B77D9" w14:textId="77777777" w:rsidR="008819D1" w:rsidRDefault="008819D1" w:rsidP="008819D1">
      <w:pPr>
        <w:pStyle w:val="BodyText"/>
      </w:pPr>
      <w:r>
        <w:t>The Scheme, aimed at providing subsidised appliances and products to eligible ostomates, has not undergone a comprehensive review of all products, pricing, and groups since 2010.</w:t>
      </w:r>
    </w:p>
    <w:p w14:paraId="4601793A" w14:textId="53043D8A" w:rsidR="008819D1" w:rsidRDefault="008819D1" w:rsidP="008819D1">
      <w:pPr>
        <w:pStyle w:val="BodyText"/>
      </w:pPr>
      <w:r>
        <w:t>The Schedule offers approximately 3,600 products and appliances to support ostomates. The wide availability and range are viewed positively by stakeholders, supporting patient choice, individual needs, and preferences in stoma care. Clinician feedback justifies the extensive product range, considering various factors such as weight, body shape, physicality, job, and climate. Stakeholders argue that maintaining this range is crucial for patient-centred care.</w:t>
      </w:r>
    </w:p>
    <w:p w14:paraId="79C51643" w14:textId="3D72E5E7" w:rsidR="008819D1" w:rsidRDefault="00503F01" w:rsidP="008819D1">
      <w:pPr>
        <w:pStyle w:val="BodyText"/>
      </w:pPr>
      <w:r>
        <w:t xml:space="preserve">Products such as deodorants, creams and ointments, cleanser wipes and catheters </w:t>
      </w:r>
      <w:r w:rsidR="008819D1">
        <w:t>were questioned for their appropriateness on the Scheme with considerations of clinical evidence and alignment with stoma care guidelines. S</w:t>
      </w:r>
      <w:r w:rsidR="00300BF8">
        <w:t>pecifically</w:t>
      </w:r>
      <w:r w:rsidR="001F5267">
        <w:t>,</w:t>
      </w:r>
      <w:r w:rsidR="00300BF8">
        <w:t xml:space="preserve"> some </w:t>
      </w:r>
      <w:r w:rsidR="008819D1">
        <w:t>STNs expressed varying views on the need for certain products in the Accessories category,</w:t>
      </w:r>
      <w:r w:rsidR="0003260F">
        <w:t xml:space="preserve"> particularly cleanser wipes</w:t>
      </w:r>
      <w:r w:rsidR="000B13B4">
        <w:t xml:space="preserve"> </w:t>
      </w:r>
      <w:r w:rsidR="0003260F">
        <w:t>and deodorants,</w:t>
      </w:r>
      <w:r w:rsidR="008819D1">
        <w:t xml:space="preserve"> suggesting potential removals based on clinical necessity.</w:t>
      </w:r>
    </w:p>
    <w:p w14:paraId="61EAB16B" w14:textId="59CB1435" w:rsidR="008819D1" w:rsidRDefault="008819D1" w:rsidP="008819D1">
      <w:pPr>
        <w:pStyle w:val="BodyText"/>
      </w:pPr>
      <w:r>
        <w:t>Concerns were raised about the Scheme supporting older technology and products that may no longer align with STN recommendations. Analysis o</w:t>
      </w:r>
      <w:r w:rsidR="002B78C3">
        <w:t>f</w:t>
      </w:r>
      <w:r>
        <w:t xml:space="preserve"> product utilisation rates aimed to identify opportunities to remove low-utilisation products and support better clinical outcomes</w:t>
      </w:r>
      <w:r w:rsidR="00BB3D38">
        <w:t xml:space="preserve"> was undertaken</w:t>
      </w:r>
      <w:r>
        <w:t>.</w:t>
      </w:r>
      <w:r w:rsidR="00BB3D38">
        <w:t xml:space="preserve"> </w:t>
      </w:r>
      <w:r>
        <w:t xml:space="preserve">Stakeholders suggested adjustments to </w:t>
      </w:r>
      <w:r w:rsidR="00F138AD">
        <w:t xml:space="preserve">maximum </w:t>
      </w:r>
      <w:r>
        <w:t xml:space="preserve">quantities of products, </w:t>
      </w:r>
      <w:r w:rsidR="00D23143">
        <w:t xml:space="preserve">such as </w:t>
      </w:r>
      <w:r>
        <w:t xml:space="preserve">increases </w:t>
      </w:r>
      <w:r w:rsidR="00D23143">
        <w:t xml:space="preserve">in plug systems and bags and seals, </w:t>
      </w:r>
      <w:r>
        <w:t>and decreases</w:t>
      </w:r>
      <w:r w:rsidR="00D23143">
        <w:t xml:space="preserve"> in </w:t>
      </w:r>
      <w:r w:rsidR="00D23143" w:rsidRPr="00EC0F59">
        <w:t>closed bag systems</w:t>
      </w:r>
      <w:r>
        <w:t>, based on patient needs and potential wastage concerns.</w:t>
      </w:r>
    </w:p>
    <w:p w14:paraId="0DCB47B1" w14:textId="7234E8D7" w:rsidR="008819D1" w:rsidRDefault="008819D1" w:rsidP="008819D1">
      <w:pPr>
        <w:pStyle w:val="BodyText"/>
      </w:pPr>
      <w:r>
        <w:t>Concerns were raised about potential wastage due to ostomates and suppliers over-ordering products deemed unnecessary or influenced by marketing efforts. Reasons for over-ordering included ostomates' lack of understanding, marketing influence, self-prescription, and fear of running out of products.</w:t>
      </w:r>
    </w:p>
    <w:p w14:paraId="4AB8D2C6" w14:textId="5E41BA71" w:rsidR="008819D1" w:rsidRDefault="008819D1" w:rsidP="006261FB">
      <w:pPr>
        <w:pStyle w:val="ExecutiveSummaryH3"/>
      </w:pPr>
      <w:r>
        <w:lastRenderedPageBreak/>
        <w:t>Pricing methodology</w:t>
      </w:r>
    </w:p>
    <w:p w14:paraId="65F4AEC9" w14:textId="538F9874" w:rsidR="001B0ACE" w:rsidRDefault="001B0ACE" w:rsidP="001B0ACE">
      <w:r>
        <w:t xml:space="preserve">The current Scheme employs benchmark and premium pricing, ensuring transparency and uniformity among manufacturers. Absence of indexation since 2013 is a significant concern for product suppliers, potentially eroding profit margins for suppliers, as </w:t>
      </w:r>
      <w:r w:rsidR="000E29F6">
        <w:t xml:space="preserve">the </w:t>
      </w:r>
      <w:r>
        <w:t xml:space="preserve">costs </w:t>
      </w:r>
      <w:r w:rsidR="00EA0896">
        <w:t>of</w:t>
      </w:r>
      <w:r>
        <w:t xml:space="preserve"> labour, and raw materials have increased. Additionally, there has been no review or update of benchmark pricing since 2013, leading to outdated pricing and an inability to adapt to market changes.</w:t>
      </w:r>
      <w:r w:rsidR="00012C33">
        <w:t xml:space="preserve"> </w:t>
      </w:r>
      <w:r>
        <w:t xml:space="preserve">Alternative price-setting methods were </w:t>
      </w:r>
      <w:r w:rsidR="00D021B5">
        <w:t>discussed</w:t>
      </w:r>
      <w:r>
        <w:t xml:space="preserve"> with stakeholders:</w:t>
      </w:r>
    </w:p>
    <w:p w14:paraId="69078B5A" w14:textId="77777777" w:rsidR="00B30B23" w:rsidRDefault="001B0ACE" w:rsidP="00E442CB">
      <w:pPr>
        <w:pStyle w:val="ListNumber"/>
        <w:numPr>
          <w:ilvl w:val="0"/>
          <w:numId w:val="47"/>
        </w:numPr>
      </w:pPr>
      <w:r w:rsidRPr="00DF3EFF">
        <w:rPr>
          <w:b/>
          <w:bCs/>
          <w:color w:val="3B0083" w:themeColor="accent1"/>
        </w:rPr>
        <w:t>Tendering:</w:t>
      </w:r>
      <w:r w:rsidRPr="00DF3EFF">
        <w:rPr>
          <w:color w:val="3B0083" w:themeColor="accent1"/>
        </w:rPr>
        <w:t xml:space="preserve"> </w:t>
      </w:r>
      <w:r w:rsidRPr="00C316C3">
        <w:t>Stakeholders were sceptical about its feasibility due to the extensive product range, fearing inefficiency and potential limitation of essential products.</w:t>
      </w:r>
    </w:p>
    <w:p w14:paraId="2612903E" w14:textId="77777777" w:rsidR="00B30B23" w:rsidRDefault="001B0ACE" w:rsidP="00E442CB">
      <w:pPr>
        <w:pStyle w:val="ListNumber"/>
        <w:numPr>
          <w:ilvl w:val="0"/>
          <w:numId w:val="47"/>
        </w:numPr>
      </w:pPr>
      <w:r w:rsidRPr="00DF3EFF">
        <w:rPr>
          <w:b/>
          <w:bCs/>
          <w:color w:val="3B0083" w:themeColor="accent1"/>
        </w:rPr>
        <w:t>Negotiation:</w:t>
      </w:r>
      <w:r w:rsidRPr="00DF3EFF">
        <w:rPr>
          <w:color w:val="3B0083" w:themeColor="accent1"/>
        </w:rPr>
        <w:t xml:space="preserve"> </w:t>
      </w:r>
      <w:r w:rsidRPr="00C316C3">
        <w:t>Partial support, especially from product suppliers, with concerns about administrative complexities for individual pricing.</w:t>
      </w:r>
    </w:p>
    <w:p w14:paraId="6A02A554" w14:textId="7996B7B5" w:rsidR="001B0ACE" w:rsidRPr="00C316C3" w:rsidRDefault="001B0ACE" w:rsidP="00E442CB">
      <w:pPr>
        <w:pStyle w:val="ListNumber"/>
        <w:numPr>
          <w:ilvl w:val="0"/>
          <w:numId w:val="47"/>
        </w:numPr>
      </w:pPr>
      <w:r w:rsidRPr="00DF3EFF">
        <w:rPr>
          <w:b/>
          <w:bCs/>
          <w:color w:val="3B0083" w:themeColor="accent1"/>
        </w:rPr>
        <w:t xml:space="preserve">Cost-Based Pricing: </w:t>
      </w:r>
      <w:r w:rsidRPr="00C316C3">
        <w:t>Unanimous disagreement among stakeholders, indicating a preference for maintaining the current benchmark and premium pricing model.</w:t>
      </w:r>
    </w:p>
    <w:p w14:paraId="028D78F6" w14:textId="35EA89D8" w:rsidR="001B0ACE" w:rsidRDefault="001B0ACE" w:rsidP="001B0ACE">
      <w:r>
        <w:t>Stakeholders supported a continuation of the current approach for price</w:t>
      </w:r>
      <w:r w:rsidR="006A60F2">
        <w:t>-</w:t>
      </w:r>
      <w:r>
        <w:t>setting of reference (benchmark) and premium pricing as it is well-established, links similar products for cost minimisation, and provides transparency across product suppliers. However, there was strong support from stakeholders for the inclusion of indexation and/or regular price reviews within this current structure, citing inflation and the need for mechanisms to address rising costs. Stakeholders did not support introducing a discounting mechanism or cost-based pricing method to the Scheme.</w:t>
      </w:r>
    </w:p>
    <w:p w14:paraId="086628FF" w14:textId="7DEE508D" w:rsidR="001B0ACE" w:rsidRPr="008A3EE6" w:rsidRDefault="001B0ACE" w:rsidP="001B0ACE">
      <w:r>
        <w:t>Overall, the Scheme's current pricing methodology lacks regular reviews</w:t>
      </w:r>
      <w:r w:rsidR="00D54F65">
        <w:t xml:space="preserve"> and/or</w:t>
      </w:r>
      <w:r>
        <w:t xml:space="preserve"> indexation, and mechanisms to adapt to changing market dynamics</w:t>
      </w:r>
      <w:r w:rsidR="005A0DEF">
        <w:t xml:space="preserve">. </w:t>
      </w:r>
      <w:r w:rsidR="00FE2566">
        <w:t>Yet, s</w:t>
      </w:r>
      <w:r>
        <w:t xml:space="preserve">takeholders prefer maintaining </w:t>
      </w:r>
      <w:r w:rsidR="005A0DEF">
        <w:t xml:space="preserve">the </w:t>
      </w:r>
      <w:r w:rsidR="00E421D9">
        <w:t xml:space="preserve">current </w:t>
      </w:r>
      <w:r>
        <w:t xml:space="preserve">benchmark and premium pricing </w:t>
      </w:r>
      <w:r w:rsidR="005A0DEF">
        <w:t xml:space="preserve">approach </w:t>
      </w:r>
      <w:r>
        <w:t>with the inclusion of indexation and/or price reviews for sustainability.</w:t>
      </w:r>
    </w:p>
    <w:p w14:paraId="07F16B23" w14:textId="64E5F048" w:rsidR="001B0ACE" w:rsidRDefault="001B0ACE" w:rsidP="006261FB">
      <w:pPr>
        <w:pStyle w:val="ExecutiveSummaryH3"/>
      </w:pPr>
      <w:r>
        <w:t>Budgetary implications</w:t>
      </w:r>
    </w:p>
    <w:p w14:paraId="7CCB0300" w14:textId="79011AAE" w:rsidR="00E7162C" w:rsidRDefault="00D60B01" w:rsidP="00E7162C">
      <w:pPr>
        <w:pStyle w:val="BodyText"/>
      </w:pPr>
      <w:r>
        <w:t xml:space="preserve">Nineteen </w:t>
      </w:r>
      <w:r w:rsidR="00F73B06">
        <w:t xml:space="preserve">agreed scenarios were </w:t>
      </w:r>
      <w:r w:rsidR="009C679A">
        <w:t>modelled,</w:t>
      </w:r>
      <w:r w:rsidR="00F73B06">
        <w:t xml:space="preserve"> </w:t>
      </w:r>
      <w:r w:rsidR="00AE71CF">
        <w:t xml:space="preserve">and the </w:t>
      </w:r>
      <w:r w:rsidR="00E7162C">
        <w:t xml:space="preserve">budgetary implications </w:t>
      </w:r>
      <w:r w:rsidR="00AE71CF">
        <w:t>assessed</w:t>
      </w:r>
      <w:r w:rsidR="0009037A">
        <w:t xml:space="preserve">. </w:t>
      </w:r>
      <w:r w:rsidR="00E7162C">
        <w:t>The analysis</w:t>
      </w:r>
      <w:r w:rsidR="006F074E">
        <w:t xml:space="preserve"> </w:t>
      </w:r>
      <w:r w:rsidR="00AE71CF">
        <w:t xml:space="preserve">identified some </w:t>
      </w:r>
      <w:r w:rsidR="00E7162C">
        <w:t>cost-saving measures</w:t>
      </w:r>
      <w:r w:rsidR="00F649EB">
        <w:t>,</w:t>
      </w:r>
      <w:r w:rsidR="00E7162C">
        <w:t xml:space="preserve"> such as the removal of certain products and/or reduction of product quantities</w:t>
      </w:r>
      <w:r w:rsidR="00F649EB">
        <w:t>,</w:t>
      </w:r>
      <w:r w:rsidR="00E7162C">
        <w:t xml:space="preserve"> to contribute to enhancing the Scheme’s cost-effectiveness. Conversely, </w:t>
      </w:r>
      <w:r w:rsidR="00AE71CF">
        <w:t xml:space="preserve">some scenarios </w:t>
      </w:r>
      <w:r w:rsidR="006134A9">
        <w:t xml:space="preserve">resulted in </w:t>
      </w:r>
      <w:r w:rsidR="00E7162C">
        <w:t xml:space="preserve">modifications </w:t>
      </w:r>
      <w:r w:rsidR="006134A9">
        <w:t xml:space="preserve">to </w:t>
      </w:r>
      <w:r w:rsidR="00E7162C">
        <w:t xml:space="preserve">the Scheme which </w:t>
      </w:r>
      <w:r w:rsidR="006134A9">
        <w:t xml:space="preserve">require </w:t>
      </w:r>
      <w:r w:rsidR="00E7162C">
        <w:t xml:space="preserve">additional expenditure, such as the </w:t>
      </w:r>
      <w:r w:rsidR="00F77620">
        <w:t>modifying</w:t>
      </w:r>
      <w:r w:rsidR="00E7162C">
        <w:t xml:space="preserve"> quantities for clinically necessary products and adjustments to benchmark prices through one-off pricing reviews or indexation.</w:t>
      </w:r>
    </w:p>
    <w:p w14:paraId="633FD067" w14:textId="538D6CBC" w:rsidR="001C47DF" w:rsidRDefault="001C47DF" w:rsidP="001C47DF">
      <w:pPr>
        <w:pStyle w:val="BodyText"/>
      </w:pPr>
      <w:r>
        <w:t>Budgetary implications for the access modification scenarios tested resulted in two scenarios with cost savings greater than 1%: Scenario Five (cleanser wipes removed), and Scenario Seven (decreasing the maximum annual quantity of closed bag systems).</w:t>
      </w:r>
      <w:r w:rsidR="007D7BD0">
        <w:t xml:space="preserve"> </w:t>
      </w:r>
      <w:r>
        <w:t xml:space="preserve">However, these scenarios impacted </w:t>
      </w:r>
      <w:r w:rsidR="003001F2">
        <w:t>many</w:t>
      </w:r>
      <w:r>
        <w:t xml:space="preserve"> ostomates (19,229 and 7,202 ostomates respectively).</w:t>
      </w:r>
    </w:p>
    <w:p w14:paraId="3F4FEC95" w14:textId="2F31ED32" w:rsidR="00FF0E48" w:rsidRPr="00FF0E48" w:rsidDel="00BF6D9C" w:rsidRDefault="00FE1B18" w:rsidP="00FF0E48">
      <w:pPr>
        <w:pStyle w:val="BodyText"/>
      </w:pPr>
      <w:r>
        <w:t>The largest additional cost for FY2</w:t>
      </w:r>
      <w:r w:rsidR="00204485">
        <w:t>3</w:t>
      </w:r>
      <w:r>
        <w:t>-2</w:t>
      </w:r>
      <w:r w:rsidR="00204485">
        <w:t>4</w:t>
      </w:r>
      <w:r>
        <w:t xml:space="preserve"> and beyond occurs under </w:t>
      </w:r>
      <w:r w:rsidR="00BF6D9C" w:rsidRPr="003B3FA6">
        <w:t>Scenario 18</w:t>
      </w:r>
      <w:r w:rsidR="000E7213">
        <w:t xml:space="preserve"> </w:t>
      </w:r>
      <w:r w:rsidR="00BF6D9C" w:rsidRPr="003B3FA6">
        <w:t>(one-off price increase for all products in 2023-24 plus ongoing indexation</w:t>
      </w:r>
      <w:r w:rsidR="000E7213">
        <w:t xml:space="preserve"> </w:t>
      </w:r>
      <w:r w:rsidR="00BF6D9C" w:rsidRPr="003B3FA6">
        <w:t>from 2024-25</w:t>
      </w:r>
      <w:proofErr w:type="gramStart"/>
      <w:r w:rsidR="00BF6D9C" w:rsidRPr="003B3FA6">
        <w:t xml:space="preserve">) </w:t>
      </w:r>
      <w:r w:rsidR="00C07702">
        <w:t xml:space="preserve"> which</w:t>
      </w:r>
      <w:proofErr w:type="gramEnd"/>
      <w:r w:rsidR="00C07702">
        <w:t xml:space="preserve"> </w:t>
      </w:r>
      <w:r w:rsidR="00BF6D9C" w:rsidRPr="003B3FA6">
        <w:t>results in an additional $11,331,439 in expenditure in</w:t>
      </w:r>
      <w:r w:rsidR="000E7213">
        <w:t xml:space="preserve"> </w:t>
      </w:r>
      <w:r w:rsidR="00BF6D9C" w:rsidRPr="003B3FA6">
        <w:t>2023-24, and an additional $22,290,678 in 2025-26.</w:t>
      </w:r>
      <w:r w:rsidR="00BF6D9C">
        <w:t xml:space="preserve"> </w:t>
      </w:r>
      <w:r>
        <w:t>Scenario 1</w:t>
      </w:r>
      <w:r w:rsidR="007F1B85">
        <w:t>4</w:t>
      </w:r>
      <w:r>
        <w:t xml:space="preserve"> (backdated and ongoing annual indexation) </w:t>
      </w:r>
      <w:r w:rsidR="004F744D">
        <w:t>similarly</w:t>
      </w:r>
      <w:r w:rsidR="00D75E6D">
        <w:t xml:space="preserve"> results in an additional </w:t>
      </w:r>
      <w:r w:rsidR="00E65506" w:rsidRPr="00E65506">
        <w:t xml:space="preserve">$11,255,981 </w:t>
      </w:r>
      <w:r w:rsidR="00E65506">
        <w:t>in FY23-24 AND</w:t>
      </w:r>
      <w:r w:rsidR="004F744D">
        <w:t xml:space="preserve"> </w:t>
      </w:r>
      <w:r>
        <w:t>reaches an additional $</w:t>
      </w:r>
      <w:r w:rsidR="00204485" w:rsidRPr="00204485">
        <w:t xml:space="preserve">22,100,577 </w:t>
      </w:r>
      <w:r>
        <w:t xml:space="preserve">by FY25-26. </w:t>
      </w:r>
      <w:r w:rsidR="00E65506">
        <w:t>Applying o</w:t>
      </w:r>
      <w:r>
        <w:t>ngoing annual indexation, based on the 5-year average of C</w:t>
      </w:r>
      <w:r w:rsidR="0062503A">
        <w:t>onsumer Price Index (CPI)</w:t>
      </w:r>
      <w:r w:rsidR="000E7213">
        <w:t xml:space="preserve"> </w:t>
      </w:r>
      <w:r>
        <w:t>(</w:t>
      </w:r>
      <w:r w:rsidR="000E7213">
        <w:t xml:space="preserve">as in </w:t>
      </w:r>
      <w:r>
        <w:t>Scenario 1</w:t>
      </w:r>
      <w:r w:rsidR="007F1B85">
        <w:t>3</w:t>
      </w:r>
      <w:r>
        <w:t>)</w:t>
      </w:r>
      <w:r w:rsidR="000E7213">
        <w:t>,</w:t>
      </w:r>
      <w:r>
        <w:t xml:space="preserve"> results in an additional $3,971,406 in expenditure if it were applied for FY23-24, whilst a one-</w:t>
      </w:r>
      <w:r>
        <w:lastRenderedPageBreak/>
        <w:t>off price increase in benchmark prices (Scenario 1</w:t>
      </w:r>
      <w:r w:rsidR="007F1B85">
        <w:t>5</w:t>
      </w:r>
      <w:r>
        <w:t>) results in $7,213,057 extra expenditure compared to the forecast following current trend. By 2025-26, this extra expenditure under Scenario 1</w:t>
      </w:r>
      <w:r w:rsidR="007F1B85">
        <w:t>3</w:t>
      </w:r>
      <w:r>
        <w:t xml:space="preserve"> reaches $13,540,275, or $7,764,193 under Scenario 1</w:t>
      </w:r>
      <w:r w:rsidR="007F1B85">
        <w:t>5</w:t>
      </w:r>
      <w:r>
        <w:t>.</w:t>
      </w:r>
      <w:r w:rsidR="003B3FA6">
        <w:t xml:space="preserve"> </w:t>
      </w:r>
    </w:p>
    <w:p w14:paraId="0973D866" w14:textId="1AE22613" w:rsidR="0052633C" w:rsidRDefault="0052633C" w:rsidP="00847647">
      <w:pPr>
        <w:pStyle w:val="ExecutiveSummaryH3"/>
      </w:pPr>
      <w:r>
        <w:t>Conclusion</w:t>
      </w:r>
    </w:p>
    <w:p w14:paraId="78F78862" w14:textId="6FC6F256" w:rsidR="0052633C" w:rsidRPr="0052633C" w:rsidRDefault="00E71CA7" w:rsidP="00BB0BFF">
      <w:pPr>
        <w:pStyle w:val="BodyText"/>
      </w:pPr>
      <w:r>
        <w:t>Overall</w:t>
      </w:r>
      <w:r w:rsidR="00FD0F55">
        <w:t>,</w:t>
      </w:r>
      <w:r>
        <w:t xml:space="preserve"> the </w:t>
      </w:r>
      <w:r w:rsidR="009B6ABE">
        <w:t>R</w:t>
      </w:r>
      <w:r w:rsidR="00BB0BFF">
        <w:t>eview found:</w:t>
      </w:r>
    </w:p>
    <w:p w14:paraId="3D82F27E" w14:textId="1C6B6E4B" w:rsidR="0052633C" w:rsidRDefault="0052633C" w:rsidP="00AF5508">
      <w:pPr>
        <w:pStyle w:val="ListBullet"/>
      </w:pPr>
      <w:r w:rsidRPr="00EA2B34">
        <w:rPr>
          <w:b/>
          <w:bCs/>
          <w:color w:val="3B0083" w:themeColor="accent1"/>
        </w:rPr>
        <w:t>Clinical eligibility assessment</w:t>
      </w:r>
      <w:r w:rsidRPr="00EA2B34">
        <w:rPr>
          <w:b/>
          <w:bCs/>
        </w:rPr>
        <w:t>:</w:t>
      </w:r>
      <w:r w:rsidR="00E71CA7">
        <w:t xml:space="preserve"> </w:t>
      </w:r>
      <w:r>
        <w:t>The Scheme has adapted well to advancements in surgical techniques and medical conditions.</w:t>
      </w:r>
      <w:r w:rsidR="00BB0BFF">
        <w:t xml:space="preserve"> </w:t>
      </w:r>
      <w:r>
        <w:t>Recommendations include maintaining the focus on GI tract stomas</w:t>
      </w:r>
      <w:r w:rsidR="00960B94">
        <w:t xml:space="preserve"> and </w:t>
      </w:r>
      <w:r>
        <w:t xml:space="preserve">clarifying </w:t>
      </w:r>
      <w:r w:rsidR="00960B94">
        <w:t xml:space="preserve">the </w:t>
      </w:r>
      <w:r>
        <w:t>eligibility criteria.</w:t>
      </w:r>
    </w:p>
    <w:p w14:paraId="6A7981AC" w14:textId="56CCF95B" w:rsidR="0052633C" w:rsidRDefault="0052633C" w:rsidP="00AF5508">
      <w:pPr>
        <w:pStyle w:val="ListBullet"/>
      </w:pPr>
      <w:r w:rsidRPr="00EA2B34">
        <w:rPr>
          <w:b/>
          <w:bCs/>
          <w:color w:val="3B0083" w:themeColor="accent1"/>
        </w:rPr>
        <w:t>Support from other government schemes:</w:t>
      </w:r>
      <w:r w:rsidRPr="00EA2B34">
        <w:rPr>
          <w:color w:val="3B0083" w:themeColor="accent1"/>
        </w:rPr>
        <w:t xml:space="preserve"> </w:t>
      </w:r>
      <w:r>
        <w:t>The Scheme is unique and does not duplicate other schemes.</w:t>
      </w:r>
      <w:r w:rsidR="00BB0BFF">
        <w:t xml:space="preserve"> </w:t>
      </w:r>
      <w:r>
        <w:t>Concerns about C</w:t>
      </w:r>
      <w:r w:rsidR="0062503A">
        <w:t>ontinence Aids Payment Scheme (CAPS)</w:t>
      </w:r>
      <w:r>
        <w:t xml:space="preserve"> falling short in covering </w:t>
      </w:r>
      <w:r w:rsidR="00BB0BFF">
        <w:t xml:space="preserve">consumers </w:t>
      </w:r>
      <w:r>
        <w:t xml:space="preserve">costs were </w:t>
      </w:r>
      <w:r w:rsidR="00BB0BFF">
        <w:t>raised</w:t>
      </w:r>
      <w:r>
        <w:t xml:space="preserve">, and addressing this </w:t>
      </w:r>
      <w:r w:rsidR="00BB0BFF">
        <w:t xml:space="preserve">gap should </w:t>
      </w:r>
      <w:r w:rsidR="0073361C">
        <w:t>be</w:t>
      </w:r>
      <w:r w:rsidR="008A4CBC">
        <w:t xml:space="preserve"> the</w:t>
      </w:r>
      <w:r w:rsidR="00F5160A">
        <w:t xml:space="preserve"> </w:t>
      </w:r>
      <w:r w:rsidR="0073361C">
        <w:t xml:space="preserve">responsibility of </w:t>
      </w:r>
      <w:r w:rsidR="00F5160A">
        <w:t>CAPS</w:t>
      </w:r>
      <w:r w:rsidR="0073361C">
        <w:t>, rather than the Scheme</w:t>
      </w:r>
      <w:r w:rsidR="00F5160A">
        <w:t>.</w:t>
      </w:r>
    </w:p>
    <w:p w14:paraId="64409A97" w14:textId="1DCFDDF2" w:rsidR="0052633C" w:rsidRDefault="0052633C" w:rsidP="00AF5508">
      <w:pPr>
        <w:pStyle w:val="ListBullet"/>
      </w:pPr>
      <w:r w:rsidRPr="00EA2B34">
        <w:rPr>
          <w:b/>
          <w:bCs/>
          <w:color w:val="3B0083" w:themeColor="accent1"/>
        </w:rPr>
        <w:t>Accessibility for marginalised groups:</w:t>
      </w:r>
      <w:r w:rsidRPr="00EA2B34">
        <w:rPr>
          <w:color w:val="3B0083" w:themeColor="accent1"/>
        </w:rPr>
        <w:t xml:space="preserve"> </w:t>
      </w:r>
      <w:r w:rsidR="00F5160A">
        <w:t>There are c</w:t>
      </w:r>
      <w:r>
        <w:t xml:space="preserve">hallenges </w:t>
      </w:r>
      <w:r w:rsidR="00F5160A">
        <w:t xml:space="preserve">being experienced </w:t>
      </w:r>
      <w:r>
        <w:t xml:space="preserve">in </w:t>
      </w:r>
      <w:r w:rsidR="00F5160A">
        <w:t xml:space="preserve">Scheme </w:t>
      </w:r>
      <w:r>
        <w:t xml:space="preserve">accessibility </w:t>
      </w:r>
      <w:r w:rsidR="00F5160A">
        <w:t xml:space="preserve">by </w:t>
      </w:r>
      <w:r>
        <w:t>marginali</w:t>
      </w:r>
      <w:r w:rsidR="00F5160A">
        <w:t>s</w:t>
      </w:r>
      <w:r>
        <w:t>ed groups. Recommendations include improving access to STNs, implementing health literacy initiatives, streamlining ordering processes, and expanding support networks.</w:t>
      </w:r>
    </w:p>
    <w:p w14:paraId="71A3CAEA" w14:textId="23375F06" w:rsidR="0052633C" w:rsidRDefault="0052633C" w:rsidP="00AF5508">
      <w:pPr>
        <w:pStyle w:val="ListBullet"/>
      </w:pPr>
      <w:r w:rsidRPr="00EA2B34">
        <w:rPr>
          <w:b/>
          <w:bCs/>
          <w:color w:val="3B0083" w:themeColor="accent1"/>
        </w:rPr>
        <w:t>Products on the Schedule:</w:t>
      </w:r>
      <w:r w:rsidRPr="00EA2B34">
        <w:rPr>
          <w:color w:val="3B0083" w:themeColor="accent1"/>
        </w:rPr>
        <w:t xml:space="preserve"> </w:t>
      </w:r>
      <w:r>
        <w:t>The Schedule offers a wide range of products, and stakeholders generally support its diversity.</w:t>
      </w:r>
      <w:r w:rsidR="00F5160A">
        <w:t xml:space="preserve"> There are c</w:t>
      </w:r>
      <w:r>
        <w:t>oncerns about outdated technology and wastage</w:t>
      </w:r>
      <w:r w:rsidR="00F5160A">
        <w:t xml:space="preserve"> of products because of insufficient access to </w:t>
      </w:r>
      <w:proofErr w:type="spellStart"/>
      <w:r w:rsidR="00F5160A">
        <w:t>STNs</w:t>
      </w:r>
      <w:r>
        <w:t>.</w:t>
      </w:r>
      <w:proofErr w:type="spellEnd"/>
      <w:r w:rsidR="00F5160A">
        <w:t xml:space="preserve"> </w:t>
      </w:r>
      <w:r>
        <w:t xml:space="preserve">Recommendations include </w:t>
      </w:r>
      <w:r w:rsidR="00F5160A">
        <w:t xml:space="preserve">rationalising </w:t>
      </w:r>
      <w:r>
        <w:t xml:space="preserve">products on the Schedule, reviewing </w:t>
      </w:r>
      <w:r w:rsidR="0073361C">
        <w:t>maximum quantities</w:t>
      </w:r>
      <w:r>
        <w:t>, and addressing over-ordering issues.</w:t>
      </w:r>
    </w:p>
    <w:p w14:paraId="58ECDE71" w14:textId="34333BC8" w:rsidR="0052633C" w:rsidRDefault="0052633C" w:rsidP="00AF5508">
      <w:pPr>
        <w:pStyle w:val="ListBullet"/>
      </w:pPr>
      <w:r w:rsidRPr="00EA2B34">
        <w:rPr>
          <w:b/>
          <w:bCs/>
          <w:color w:val="3B0083" w:themeColor="accent1"/>
        </w:rPr>
        <w:t>Methodology for product pricing:</w:t>
      </w:r>
      <w:r w:rsidRPr="00EA2B34">
        <w:rPr>
          <w:color w:val="3B0083" w:themeColor="accent1"/>
        </w:rPr>
        <w:t xml:space="preserve"> </w:t>
      </w:r>
      <w:r>
        <w:t>The current benchmark and premium pricing model is favo</w:t>
      </w:r>
      <w:r w:rsidR="00B670BF">
        <w:t>u</w:t>
      </w:r>
      <w:r>
        <w:t xml:space="preserve">red by stakeholders. Concerns about lack of indexation and pricing updates were raised. </w:t>
      </w:r>
      <w:r w:rsidRPr="00470143">
        <w:t>Recommendations include maintaining the current pricing model, introduc</w:t>
      </w:r>
      <w:r w:rsidR="009963FC" w:rsidRPr="00470143">
        <w:t>tion of</w:t>
      </w:r>
      <w:r w:rsidRPr="00470143">
        <w:t xml:space="preserve"> </w:t>
      </w:r>
      <w:r w:rsidR="00E15E1F">
        <w:t xml:space="preserve">an immediate and </w:t>
      </w:r>
      <w:r w:rsidR="004F618C">
        <w:t xml:space="preserve">then </w:t>
      </w:r>
      <w:r w:rsidRPr="00470143">
        <w:t xml:space="preserve">regular </w:t>
      </w:r>
      <w:r w:rsidR="00E15E1F">
        <w:t>ongoing</w:t>
      </w:r>
      <w:r w:rsidRPr="00470143">
        <w:t xml:space="preserve"> price </w:t>
      </w:r>
      <w:proofErr w:type="gramStart"/>
      <w:r w:rsidRPr="00470143">
        <w:t>reviews</w:t>
      </w:r>
      <w:r w:rsidR="000378CF">
        <w:t>, and</w:t>
      </w:r>
      <w:proofErr w:type="gramEnd"/>
      <w:r w:rsidR="000378CF">
        <w:t xml:space="preserve"> </w:t>
      </w:r>
      <w:r w:rsidR="000C5D27">
        <w:t xml:space="preserve">improve the </w:t>
      </w:r>
      <w:r w:rsidR="00470143" w:rsidRPr="00470143">
        <w:t>premium pricing application process.</w:t>
      </w:r>
      <w:r w:rsidR="00470143">
        <w:t xml:space="preserve"> </w:t>
      </w:r>
    </w:p>
    <w:p w14:paraId="7546AB65" w14:textId="3456BB01" w:rsidR="0052633C" w:rsidRDefault="0052633C" w:rsidP="00EA2B34">
      <w:pPr>
        <w:pStyle w:val="ListBullet"/>
      </w:pPr>
      <w:r w:rsidRPr="00EA2B34">
        <w:rPr>
          <w:b/>
          <w:bCs/>
          <w:color w:val="3B0083" w:themeColor="accent1"/>
        </w:rPr>
        <w:t>Budgetary implications:</w:t>
      </w:r>
      <w:r w:rsidRPr="00EA2B34">
        <w:rPr>
          <w:color w:val="3B0083" w:themeColor="accent1"/>
        </w:rPr>
        <w:t xml:space="preserve"> </w:t>
      </w:r>
      <w:r>
        <w:t xml:space="preserve">Various scenarios were tested, indicating </w:t>
      </w:r>
      <w:r w:rsidR="00130278">
        <w:t xml:space="preserve">either </w:t>
      </w:r>
      <w:r>
        <w:t xml:space="preserve">potential cost savings </w:t>
      </w:r>
      <w:r w:rsidR="00130278">
        <w:t xml:space="preserve">or </w:t>
      </w:r>
      <w:r>
        <w:t>additional expenditure</w:t>
      </w:r>
      <w:r w:rsidR="00130278">
        <w:t xml:space="preserve"> requirements</w:t>
      </w:r>
      <w:r>
        <w:t xml:space="preserve">. </w:t>
      </w:r>
    </w:p>
    <w:p w14:paraId="3FB23D97" w14:textId="77777777" w:rsidR="00A97305" w:rsidRDefault="00A97305" w:rsidP="0052037D">
      <w:pPr>
        <w:rPr>
          <w:rFonts w:asciiTheme="majorHAnsi" w:eastAsiaTheme="majorEastAsia" w:hAnsiTheme="majorHAnsi" w:cstheme="majorBidi"/>
          <w:color w:val="3B0083" w:themeColor="accent1"/>
          <w:sz w:val="48"/>
          <w:szCs w:val="32"/>
        </w:rPr>
      </w:pPr>
      <w:r>
        <w:br w:type="page"/>
      </w:r>
    </w:p>
    <w:p w14:paraId="7E02E176" w14:textId="74C83550" w:rsidR="00E7162C" w:rsidRPr="001B0ACE" w:rsidRDefault="00637233" w:rsidP="00A97305">
      <w:pPr>
        <w:pStyle w:val="ExecutiveSummaryH1"/>
      </w:pPr>
      <w:bookmarkStart w:id="2" w:name="_Toc161743087"/>
      <w:r w:rsidRPr="006134A9">
        <w:lastRenderedPageBreak/>
        <w:t>Recommendations</w:t>
      </w:r>
      <w:bookmarkEnd w:id="2"/>
    </w:p>
    <w:p w14:paraId="7917BBCD" w14:textId="6937E99F" w:rsidR="00130278" w:rsidRDefault="008D1636" w:rsidP="00EA2B34">
      <w:pPr>
        <w:pStyle w:val="BodyText"/>
      </w:pPr>
      <w:r w:rsidRPr="00C422EA">
        <w:t>T</w:t>
      </w:r>
      <w:r w:rsidR="00130278" w:rsidRPr="00C422EA">
        <w:t xml:space="preserve">he </w:t>
      </w:r>
      <w:r w:rsidRPr="00C422EA">
        <w:t>1</w:t>
      </w:r>
      <w:r w:rsidR="00C422EA" w:rsidRPr="00C422EA">
        <w:t>0</w:t>
      </w:r>
      <w:r w:rsidRPr="00C422EA">
        <w:t xml:space="preserve"> </w:t>
      </w:r>
      <w:r w:rsidR="00130278" w:rsidRPr="00C422EA">
        <w:t>recommendations</w:t>
      </w:r>
      <w:r w:rsidR="00130278">
        <w:t xml:space="preserve"> </w:t>
      </w:r>
      <w:r w:rsidR="00403213">
        <w:t xml:space="preserve">formulated based on the </w:t>
      </w:r>
      <w:r w:rsidR="00130278">
        <w:t>Review</w:t>
      </w:r>
      <w:r w:rsidR="00403213">
        <w:t xml:space="preserve"> findings</w:t>
      </w:r>
      <w:r w:rsidR="00EA2B34">
        <w:t xml:space="preserve">, summarised in to </w:t>
      </w:r>
      <w:r w:rsidR="00EA2B34" w:rsidRPr="003D1234">
        <w:fldChar w:fldCharType="begin"/>
      </w:r>
      <w:r w:rsidR="00EA2B34" w:rsidRPr="003D1234">
        <w:instrText xml:space="preserve"> REF _Ref157414316 \h </w:instrText>
      </w:r>
      <w:r w:rsidR="003D1234">
        <w:instrText xml:space="preserve"> \* MERGEFORMAT </w:instrText>
      </w:r>
      <w:r w:rsidR="00EA2B34" w:rsidRPr="003D1234">
        <w:fldChar w:fldCharType="separate"/>
      </w:r>
      <w:r w:rsidR="00FE1418">
        <w:t xml:space="preserve">Table </w:t>
      </w:r>
      <w:r w:rsidR="00FE1418">
        <w:rPr>
          <w:noProof/>
        </w:rPr>
        <w:t>1</w:t>
      </w:r>
      <w:r w:rsidR="00EA2B34" w:rsidRPr="003D1234">
        <w:fldChar w:fldCharType="end"/>
      </w:r>
      <w:r w:rsidR="00EA2B34">
        <w:t>,</w:t>
      </w:r>
      <w:r w:rsidR="00130278">
        <w:t xml:space="preserve"> aim to enhance the Scheme</w:t>
      </w:r>
      <w:r w:rsidR="00EA2B34">
        <w:t>’</w:t>
      </w:r>
      <w:r w:rsidR="00130278">
        <w:t>s efficiency, accessibility, and sustainability while addressing the needs of ostomates and aligning with the financial constraints of the program.</w:t>
      </w:r>
    </w:p>
    <w:p w14:paraId="5B9D7E35" w14:textId="4673DF18" w:rsidR="00C91A8E" w:rsidRDefault="00C91A8E" w:rsidP="00C91A8E">
      <w:pPr>
        <w:pStyle w:val="Caption"/>
      </w:pPr>
      <w:bookmarkStart w:id="3" w:name="_Ref157414316"/>
      <w:bookmarkStart w:id="4" w:name="_Toc161743104"/>
      <w:r>
        <w:t xml:space="preserve">Table </w:t>
      </w:r>
      <w:r>
        <w:fldChar w:fldCharType="begin"/>
      </w:r>
      <w:r>
        <w:instrText xml:space="preserve"> SEQ Table \* ARABIC </w:instrText>
      </w:r>
      <w:r>
        <w:fldChar w:fldCharType="separate"/>
      </w:r>
      <w:r w:rsidR="00FE1418">
        <w:rPr>
          <w:noProof/>
        </w:rPr>
        <w:t>1</w:t>
      </w:r>
      <w:r>
        <w:rPr>
          <w:noProof/>
        </w:rPr>
        <w:fldChar w:fldCharType="end"/>
      </w:r>
      <w:bookmarkEnd w:id="3"/>
      <w:r>
        <w:t>: Key recommendations from the Review of the Scheme</w:t>
      </w:r>
      <w:bookmarkEnd w:id="4"/>
    </w:p>
    <w:tbl>
      <w:tblPr>
        <w:tblStyle w:val="TableHealthConsultPurple"/>
        <w:tblW w:w="0" w:type="auto"/>
        <w:tblLook w:val="04A0" w:firstRow="1" w:lastRow="0" w:firstColumn="1" w:lastColumn="0" w:noHBand="0" w:noVBand="1"/>
      </w:tblPr>
      <w:tblGrid>
        <w:gridCol w:w="1985"/>
        <w:gridCol w:w="7643"/>
      </w:tblGrid>
      <w:tr w:rsidR="00FB3BF5" w:rsidRPr="008A0727" w14:paraId="4EC8C15F" w14:textId="77777777" w:rsidTr="003D3C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0E284A55" w14:textId="1BB71BCC" w:rsidR="00FB3BF5" w:rsidRPr="008A0727" w:rsidRDefault="007D12BD" w:rsidP="00A13424">
            <w:pPr>
              <w:rPr>
                <w:sz w:val="16"/>
                <w:szCs w:val="16"/>
              </w:rPr>
            </w:pPr>
            <w:r w:rsidRPr="008A0727">
              <w:rPr>
                <w:sz w:val="16"/>
                <w:szCs w:val="16"/>
              </w:rPr>
              <w:t>Recommendation</w:t>
            </w:r>
            <w:r>
              <w:rPr>
                <w:sz w:val="16"/>
                <w:szCs w:val="16"/>
              </w:rPr>
              <w:t xml:space="preserve"> </w:t>
            </w:r>
            <w:r w:rsidR="003E6230">
              <w:rPr>
                <w:sz w:val="16"/>
                <w:szCs w:val="16"/>
              </w:rPr>
              <w:t>No.</w:t>
            </w:r>
          </w:p>
        </w:tc>
        <w:tc>
          <w:tcPr>
            <w:tcW w:w="7643" w:type="dxa"/>
            <w:vAlign w:val="center"/>
          </w:tcPr>
          <w:p w14:paraId="3AB8635D" w14:textId="071AE74A" w:rsidR="00FB3BF5" w:rsidRPr="008A0727" w:rsidRDefault="007D12BD" w:rsidP="00D375E9">
            <w:pPr>
              <w:jc w:val="center"/>
              <w:cnfStyle w:val="100000000000" w:firstRow="1" w:lastRow="0" w:firstColumn="0" w:lastColumn="0" w:oddVBand="0" w:evenVBand="0" w:oddHBand="0" w:evenHBand="0" w:firstRowFirstColumn="0" w:firstRowLastColumn="0" w:lastRowFirstColumn="0" w:lastRowLastColumn="0"/>
              <w:rPr>
                <w:sz w:val="16"/>
                <w:szCs w:val="16"/>
              </w:rPr>
            </w:pPr>
            <w:r w:rsidRPr="008A0727">
              <w:rPr>
                <w:sz w:val="16"/>
                <w:szCs w:val="16"/>
              </w:rPr>
              <w:t>Recommendation</w:t>
            </w:r>
            <w:r>
              <w:rPr>
                <w:sz w:val="16"/>
                <w:szCs w:val="16"/>
              </w:rPr>
              <w:t xml:space="preserve"> statement</w:t>
            </w:r>
          </w:p>
        </w:tc>
      </w:tr>
      <w:tr w:rsidR="001417E2" w:rsidRPr="001417E2" w14:paraId="1B7120C1" w14:textId="77777777" w:rsidTr="00F373B0">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00685B" w:themeFill="accent4"/>
          </w:tcPr>
          <w:p w14:paraId="0DCA0D69" w14:textId="47738C48" w:rsidR="00F9678A" w:rsidRPr="00093A57" w:rsidRDefault="00F9678A" w:rsidP="00A13424">
            <w:pPr>
              <w:rPr>
                <w:sz w:val="16"/>
                <w:szCs w:val="16"/>
              </w:rPr>
            </w:pPr>
            <w:r w:rsidRPr="00093A57">
              <w:rPr>
                <w:sz w:val="16"/>
                <w:szCs w:val="16"/>
              </w:rPr>
              <w:t>Clinical Eligibility</w:t>
            </w:r>
          </w:p>
        </w:tc>
      </w:tr>
      <w:tr w:rsidR="00FB3BF5" w:rsidRPr="008A0727" w14:paraId="2813E308" w14:textId="77777777" w:rsidTr="00A25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14:paraId="5E025B03" w14:textId="77777777" w:rsidR="00FB3BF5" w:rsidRPr="008A0727" w:rsidRDefault="00FB3BF5" w:rsidP="00A13424">
            <w:pPr>
              <w:rPr>
                <w:color w:val="3B0083" w:themeColor="accent1"/>
                <w:sz w:val="16"/>
                <w:szCs w:val="16"/>
              </w:rPr>
            </w:pPr>
            <w:r w:rsidRPr="008A0727">
              <w:rPr>
                <w:color w:val="3B0083" w:themeColor="accent1"/>
                <w:sz w:val="16"/>
                <w:szCs w:val="16"/>
              </w:rPr>
              <w:t>Recommendation #1</w:t>
            </w:r>
          </w:p>
        </w:tc>
        <w:tc>
          <w:tcPr>
            <w:tcW w:w="7643" w:type="dxa"/>
            <w:shd w:val="clear" w:color="auto" w:fill="FFFFFF" w:themeFill="background1"/>
          </w:tcPr>
          <w:p w14:paraId="22761BC4" w14:textId="5919094C" w:rsidR="00FB3BF5" w:rsidRPr="008A0727" w:rsidRDefault="00F633D5" w:rsidP="00A13424">
            <w:pPr>
              <w:cnfStyle w:val="000000010000" w:firstRow="0" w:lastRow="0" w:firstColumn="0" w:lastColumn="0" w:oddVBand="0" w:evenVBand="0" w:oddHBand="0" w:evenHBand="1" w:firstRowFirstColumn="0" w:firstRowLastColumn="0" w:lastRowFirstColumn="0" w:lastRowLastColumn="0"/>
              <w:rPr>
                <w:sz w:val="16"/>
                <w:szCs w:val="16"/>
              </w:rPr>
            </w:pPr>
            <w:r w:rsidRPr="00F633D5">
              <w:rPr>
                <w:sz w:val="16"/>
                <w:szCs w:val="16"/>
              </w:rPr>
              <w:t xml:space="preserve">The Scheme should maintain its focus on stomas originating from the GI tract for the removal of waste and neo-anus openings, refraining from expanding eligibility to cover non-GI stomas.  </w:t>
            </w:r>
          </w:p>
        </w:tc>
      </w:tr>
      <w:tr w:rsidR="00FB3BF5" w:rsidRPr="008A0727" w14:paraId="4F6F1157" w14:textId="77777777" w:rsidTr="00A25386">
        <w:tc>
          <w:tcPr>
            <w:cnfStyle w:val="001000000000" w:firstRow="0" w:lastRow="0" w:firstColumn="1" w:lastColumn="0" w:oddVBand="0" w:evenVBand="0" w:oddHBand="0" w:evenHBand="0" w:firstRowFirstColumn="0" w:firstRowLastColumn="0" w:lastRowFirstColumn="0" w:lastRowLastColumn="0"/>
            <w:tcW w:w="1985" w:type="dxa"/>
            <w:shd w:val="clear" w:color="auto" w:fill="EBE5F2" w:themeFill="accent5" w:themeFillTint="33"/>
          </w:tcPr>
          <w:p w14:paraId="1DF95F8F" w14:textId="77777777" w:rsidR="00FB3BF5" w:rsidRPr="008A0727" w:rsidRDefault="00FB3BF5" w:rsidP="00A13424">
            <w:pPr>
              <w:rPr>
                <w:color w:val="3B0083" w:themeColor="accent1"/>
                <w:sz w:val="16"/>
                <w:szCs w:val="16"/>
              </w:rPr>
            </w:pPr>
            <w:r w:rsidRPr="008A0727">
              <w:rPr>
                <w:color w:val="3B0083" w:themeColor="accent1"/>
                <w:sz w:val="16"/>
                <w:szCs w:val="16"/>
              </w:rPr>
              <w:t>Recommendation #2</w:t>
            </w:r>
          </w:p>
        </w:tc>
        <w:tc>
          <w:tcPr>
            <w:tcW w:w="7643" w:type="dxa"/>
            <w:shd w:val="clear" w:color="auto" w:fill="EBE5F2" w:themeFill="accent5" w:themeFillTint="33"/>
          </w:tcPr>
          <w:p w14:paraId="3AF47667" w14:textId="30867D34" w:rsidR="00FB3BF5" w:rsidRPr="008A0727" w:rsidRDefault="00FB3BF5" w:rsidP="00A13424">
            <w:pPr>
              <w:cnfStyle w:val="000000000000" w:firstRow="0" w:lastRow="0" w:firstColumn="0" w:lastColumn="0" w:oddVBand="0" w:evenVBand="0" w:oddHBand="0" w:evenHBand="0" w:firstRowFirstColumn="0" w:firstRowLastColumn="0" w:lastRowFirstColumn="0" w:lastRowLastColumn="0"/>
              <w:rPr>
                <w:sz w:val="16"/>
                <w:szCs w:val="16"/>
              </w:rPr>
            </w:pPr>
            <w:r w:rsidRPr="00D375E9">
              <w:rPr>
                <w:bCs/>
                <w:sz w:val="16"/>
                <w:szCs w:val="16"/>
              </w:rPr>
              <w:t xml:space="preserve">Clarify and standardise the eligibility criteria to mitigate potential inconsistencies in application, by publishing a set list of eligible stoma types alongside the clinical eligibility </w:t>
            </w:r>
            <w:r w:rsidR="00F633D5">
              <w:rPr>
                <w:bCs/>
                <w:sz w:val="16"/>
                <w:szCs w:val="16"/>
              </w:rPr>
              <w:t>criteria in the SAS Operational Guidelines</w:t>
            </w:r>
            <w:r w:rsidRPr="00D375E9">
              <w:rPr>
                <w:bCs/>
                <w:sz w:val="16"/>
                <w:szCs w:val="16"/>
              </w:rPr>
              <w:t>.</w:t>
            </w:r>
          </w:p>
        </w:tc>
      </w:tr>
      <w:tr w:rsidR="00FB3BF5" w:rsidRPr="008A0727" w14:paraId="31B3288C" w14:textId="77777777" w:rsidTr="00A25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14:paraId="72F91683" w14:textId="77777777" w:rsidR="00FB3BF5" w:rsidRPr="008A0727" w:rsidRDefault="00FB3BF5" w:rsidP="00A13424">
            <w:pPr>
              <w:rPr>
                <w:color w:val="3B0083" w:themeColor="accent1"/>
                <w:sz w:val="16"/>
                <w:szCs w:val="16"/>
              </w:rPr>
            </w:pPr>
            <w:r w:rsidRPr="008A0727">
              <w:rPr>
                <w:color w:val="3B0083" w:themeColor="accent1"/>
                <w:sz w:val="16"/>
                <w:szCs w:val="16"/>
              </w:rPr>
              <w:t>Recommendation #3</w:t>
            </w:r>
          </w:p>
        </w:tc>
        <w:tc>
          <w:tcPr>
            <w:tcW w:w="7643" w:type="dxa"/>
            <w:shd w:val="clear" w:color="auto" w:fill="FFFFFF" w:themeFill="background1"/>
          </w:tcPr>
          <w:p w14:paraId="1B01DE20" w14:textId="327E1081" w:rsidR="00FB3BF5" w:rsidRPr="008A0727" w:rsidRDefault="00FB3BF5" w:rsidP="00305F80">
            <w:pPr>
              <w:cnfStyle w:val="000000010000" w:firstRow="0" w:lastRow="0" w:firstColumn="0" w:lastColumn="0" w:oddVBand="0" w:evenVBand="0" w:oddHBand="0" w:evenHBand="1" w:firstRowFirstColumn="0" w:firstRowLastColumn="0" w:lastRowFirstColumn="0" w:lastRowLastColumn="0"/>
              <w:rPr>
                <w:sz w:val="16"/>
                <w:szCs w:val="16"/>
              </w:rPr>
            </w:pPr>
            <w:r w:rsidRPr="00D375E9">
              <w:rPr>
                <w:bCs/>
                <w:sz w:val="16"/>
                <w:szCs w:val="16"/>
              </w:rPr>
              <w:t>Address gaps in Schedule</w:t>
            </w:r>
            <w:r w:rsidR="004D23CB">
              <w:rPr>
                <w:bCs/>
                <w:sz w:val="16"/>
                <w:szCs w:val="16"/>
              </w:rPr>
              <w:t>’</w:t>
            </w:r>
            <w:r w:rsidRPr="00D375E9">
              <w:rPr>
                <w:bCs/>
                <w:sz w:val="16"/>
                <w:szCs w:val="16"/>
              </w:rPr>
              <w:t>s product offerings for paediatric stomas by exploring the possibility of engaging with suppliers who can provide the necessary products to enhance the Scheme.</w:t>
            </w:r>
          </w:p>
        </w:tc>
      </w:tr>
      <w:tr w:rsidR="00FB3BF5" w:rsidRPr="008A0727" w14:paraId="43806BC5" w14:textId="77777777" w:rsidTr="003D3C6C">
        <w:tc>
          <w:tcPr>
            <w:cnfStyle w:val="001000000000" w:firstRow="0" w:lastRow="0" w:firstColumn="1" w:lastColumn="0" w:oddVBand="0" w:evenVBand="0" w:oddHBand="0" w:evenHBand="0" w:firstRowFirstColumn="0" w:firstRowLastColumn="0" w:lastRowFirstColumn="0" w:lastRowLastColumn="0"/>
            <w:tcW w:w="1985" w:type="dxa"/>
            <w:shd w:val="clear" w:color="auto" w:fill="EBE5F2" w:themeFill="accent5" w:themeFillTint="33"/>
          </w:tcPr>
          <w:p w14:paraId="4127622B" w14:textId="77777777" w:rsidR="00FB3BF5" w:rsidRPr="008A0727" w:rsidRDefault="00FB3BF5" w:rsidP="00A13424">
            <w:pPr>
              <w:rPr>
                <w:color w:val="3B0083" w:themeColor="accent1"/>
                <w:sz w:val="16"/>
                <w:szCs w:val="16"/>
              </w:rPr>
            </w:pPr>
            <w:r w:rsidRPr="008A0727">
              <w:rPr>
                <w:color w:val="3B0083" w:themeColor="accent1"/>
                <w:sz w:val="16"/>
                <w:szCs w:val="16"/>
              </w:rPr>
              <w:t>Recommendation #4</w:t>
            </w:r>
          </w:p>
        </w:tc>
        <w:tc>
          <w:tcPr>
            <w:tcW w:w="7643" w:type="dxa"/>
            <w:shd w:val="clear" w:color="auto" w:fill="EBE5F2" w:themeFill="accent5" w:themeFillTint="33"/>
          </w:tcPr>
          <w:p w14:paraId="18A9C1E7" w14:textId="4E45E8E3" w:rsidR="00FB3BF5" w:rsidRPr="0058084B" w:rsidRDefault="001A3292" w:rsidP="0058084B">
            <w:pPr>
              <w:cnfStyle w:val="000000000000" w:firstRow="0" w:lastRow="0" w:firstColumn="0" w:lastColumn="0" w:oddVBand="0" w:evenVBand="0" w:oddHBand="0" w:evenHBand="0" w:firstRowFirstColumn="0" w:firstRowLastColumn="0" w:lastRowFirstColumn="0" w:lastRowLastColumn="0"/>
              <w:rPr>
                <w:sz w:val="16"/>
                <w:szCs w:val="16"/>
              </w:rPr>
            </w:pPr>
            <w:r w:rsidRPr="001A3292">
              <w:rPr>
                <w:sz w:val="16"/>
                <w:szCs w:val="16"/>
              </w:rPr>
              <w:t>Maintain the intended objectives of the Scheme and do not modify the criteria to include GI tract dysfunction conditions where patients do not have a stoma</w:t>
            </w:r>
            <w:r w:rsidR="000108D1">
              <w:rPr>
                <w:sz w:val="16"/>
                <w:szCs w:val="16"/>
              </w:rPr>
              <w:t xml:space="preserve"> or where a stoma is not for the removal of waste</w:t>
            </w:r>
            <w:r w:rsidRPr="001A3292">
              <w:rPr>
                <w:sz w:val="16"/>
                <w:szCs w:val="16"/>
              </w:rPr>
              <w:t>.</w:t>
            </w:r>
          </w:p>
        </w:tc>
      </w:tr>
      <w:tr w:rsidR="00F9678A" w:rsidRPr="008A0727" w14:paraId="43BE547A" w14:textId="77777777" w:rsidTr="00F37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00685B" w:themeFill="accent4"/>
          </w:tcPr>
          <w:p w14:paraId="69E65100" w14:textId="05238630" w:rsidR="00F9678A" w:rsidRPr="008A0727" w:rsidRDefault="00F9678A" w:rsidP="00A13424">
            <w:pPr>
              <w:rPr>
                <w:sz w:val="16"/>
                <w:szCs w:val="16"/>
              </w:rPr>
            </w:pPr>
            <w:r w:rsidRPr="008A0727">
              <w:rPr>
                <w:sz w:val="16"/>
                <w:szCs w:val="16"/>
              </w:rPr>
              <w:t>Overlap with other schemes</w:t>
            </w:r>
          </w:p>
        </w:tc>
      </w:tr>
      <w:tr w:rsidR="003D3C6C" w:rsidRPr="008A0727" w14:paraId="74A848C7" w14:textId="77777777">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FFFFFF" w:themeFill="background1"/>
          </w:tcPr>
          <w:p w14:paraId="21E8A255" w14:textId="10BC7574" w:rsidR="003D3C6C" w:rsidRPr="00AD3C4E" w:rsidRDefault="003D3C6C" w:rsidP="003D3C6C">
            <w:pPr>
              <w:pStyle w:val="BodyText"/>
              <w:rPr>
                <w:b w:val="0"/>
                <w:color w:val="000000" w:themeColor="text1"/>
                <w:sz w:val="16"/>
                <w:szCs w:val="20"/>
              </w:rPr>
            </w:pPr>
            <w:r w:rsidRPr="00AD3C4E">
              <w:rPr>
                <w:b w:val="0"/>
                <w:color w:val="000000" w:themeColor="text1"/>
                <w:sz w:val="16"/>
                <w:szCs w:val="20"/>
              </w:rPr>
              <w:t>No duplication or overlap was identified with other national schemes or state and territory-funded medical appliance or equipment schemes</w:t>
            </w:r>
            <w:r w:rsidR="00FC3F09" w:rsidRPr="00AD3C4E">
              <w:rPr>
                <w:b w:val="0"/>
                <w:color w:val="000000" w:themeColor="text1"/>
                <w:sz w:val="16"/>
                <w:szCs w:val="20"/>
              </w:rPr>
              <w:t xml:space="preserve">; </w:t>
            </w:r>
            <w:r w:rsidR="002A7230" w:rsidRPr="00AD3C4E">
              <w:rPr>
                <w:b w:val="0"/>
                <w:color w:val="000000" w:themeColor="text1"/>
                <w:sz w:val="16"/>
                <w:szCs w:val="20"/>
              </w:rPr>
              <w:t>therefore</w:t>
            </w:r>
            <w:r w:rsidR="002A7230" w:rsidRPr="00AD3C4E">
              <w:rPr>
                <w:color w:val="000000" w:themeColor="text1"/>
                <w:sz w:val="16"/>
                <w:szCs w:val="20"/>
              </w:rPr>
              <w:t>,</w:t>
            </w:r>
            <w:r w:rsidR="00FC3F09" w:rsidRPr="00AD3C4E">
              <w:rPr>
                <w:b w:val="0"/>
                <w:color w:val="000000" w:themeColor="text1"/>
                <w:sz w:val="16"/>
                <w:szCs w:val="20"/>
              </w:rPr>
              <w:t xml:space="preserve"> no recommendations have emerged from the Review in this domain.</w:t>
            </w:r>
          </w:p>
        </w:tc>
      </w:tr>
      <w:tr w:rsidR="00F9678A" w:rsidRPr="008A0727" w14:paraId="5F4F1310" w14:textId="77777777" w:rsidTr="00F37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00685B" w:themeFill="accent4"/>
          </w:tcPr>
          <w:p w14:paraId="61FA6DB1" w14:textId="5D8ACBCA" w:rsidR="00F9678A" w:rsidRPr="008A0727" w:rsidRDefault="00F9678A" w:rsidP="00A13424">
            <w:pPr>
              <w:rPr>
                <w:sz w:val="16"/>
                <w:szCs w:val="16"/>
              </w:rPr>
            </w:pPr>
            <w:r w:rsidRPr="008A0727">
              <w:rPr>
                <w:sz w:val="16"/>
                <w:szCs w:val="16"/>
              </w:rPr>
              <w:t>Access for marginalised groups</w:t>
            </w:r>
          </w:p>
        </w:tc>
      </w:tr>
      <w:tr w:rsidR="00FB3BF5" w:rsidRPr="008A0727" w14:paraId="214E77E7" w14:textId="77777777" w:rsidTr="00CB0C72">
        <w:tc>
          <w:tcPr>
            <w:cnfStyle w:val="001000000000" w:firstRow="0" w:lastRow="0" w:firstColumn="1" w:lastColumn="0" w:oddVBand="0" w:evenVBand="0" w:oddHBand="0" w:evenHBand="0" w:firstRowFirstColumn="0" w:firstRowLastColumn="0" w:lastRowFirstColumn="0" w:lastRowLastColumn="0"/>
            <w:tcW w:w="1985" w:type="dxa"/>
            <w:shd w:val="clear" w:color="auto" w:fill="EBE5F2" w:themeFill="accent5" w:themeFillTint="33"/>
          </w:tcPr>
          <w:p w14:paraId="779B3F00" w14:textId="7D947C8D" w:rsidR="00FB3BF5" w:rsidRPr="008A0727" w:rsidRDefault="00FB3BF5" w:rsidP="00A13424">
            <w:pPr>
              <w:rPr>
                <w:color w:val="3B0083" w:themeColor="accent1"/>
                <w:sz w:val="16"/>
                <w:szCs w:val="16"/>
              </w:rPr>
            </w:pPr>
            <w:r w:rsidRPr="008A0727">
              <w:rPr>
                <w:color w:val="3B0083" w:themeColor="accent1"/>
                <w:sz w:val="16"/>
                <w:szCs w:val="16"/>
              </w:rPr>
              <w:t>Recommendation #</w:t>
            </w:r>
            <w:r w:rsidR="002A7230">
              <w:rPr>
                <w:color w:val="3B0083" w:themeColor="accent1"/>
                <w:sz w:val="16"/>
                <w:szCs w:val="16"/>
              </w:rPr>
              <w:t>5</w:t>
            </w:r>
          </w:p>
        </w:tc>
        <w:tc>
          <w:tcPr>
            <w:tcW w:w="7643" w:type="dxa"/>
            <w:shd w:val="clear" w:color="auto" w:fill="EBE5F2" w:themeFill="accent5" w:themeFillTint="33"/>
          </w:tcPr>
          <w:p w14:paraId="3064AD05" w14:textId="451AB789" w:rsidR="00FB3BF5" w:rsidRPr="008A0727" w:rsidRDefault="00FB3BF5" w:rsidP="00E774A7">
            <w:pPr>
              <w:spacing w:after="120"/>
              <w:cnfStyle w:val="000000000000" w:firstRow="0" w:lastRow="0" w:firstColumn="0" w:lastColumn="0" w:oddVBand="0" w:evenVBand="0" w:oddHBand="0" w:evenHBand="0" w:firstRowFirstColumn="0" w:firstRowLastColumn="0" w:lastRowFirstColumn="0" w:lastRowLastColumn="0"/>
              <w:rPr>
                <w:sz w:val="16"/>
                <w:szCs w:val="16"/>
              </w:rPr>
            </w:pPr>
            <w:r w:rsidRPr="00E774A7">
              <w:rPr>
                <w:bCs/>
                <w:sz w:val="16"/>
                <w:szCs w:val="16"/>
              </w:rPr>
              <w:t>Review and implement strategies to enhance accessibility to the Scheme</w:t>
            </w:r>
            <w:r w:rsidR="00046527">
              <w:rPr>
                <w:bCs/>
                <w:sz w:val="16"/>
                <w:szCs w:val="16"/>
              </w:rPr>
              <w:t>, including</w:t>
            </w:r>
            <w:r w:rsidRPr="009C41F7">
              <w:rPr>
                <w:bCs/>
                <w:sz w:val="16"/>
                <w:szCs w:val="16"/>
              </w:rPr>
              <w:t>:</w:t>
            </w:r>
            <w:r w:rsidR="00E9573D" w:rsidRPr="009C41F7">
              <w:rPr>
                <w:bCs/>
                <w:sz w:val="16"/>
                <w:szCs w:val="16"/>
              </w:rPr>
              <w:t xml:space="preserve"> (1) </w:t>
            </w:r>
            <w:r w:rsidR="00E9573D">
              <w:rPr>
                <w:sz w:val="16"/>
                <w:szCs w:val="16"/>
              </w:rPr>
              <w:t>i</w:t>
            </w:r>
            <w:r w:rsidRPr="008A0727">
              <w:rPr>
                <w:sz w:val="16"/>
                <w:szCs w:val="16"/>
              </w:rPr>
              <w:t>mproving access to STNs</w:t>
            </w:r>
            <w:r w:rsidR="00E9573D">
              <w:rPr>
                <w:sz w:val="16"/>
                <w:szCs w:val="16"/>
              </w:rPr>
              <w:t>; (2) implement h</w:t>
            </w:r>
            <w:r w:rsidRPr="008A0727">
              <w:rPr>
                <w:sz w:val="16"/>
                <w:szCs w:val="16"/>
              </w:rPr>
              <w:t>ealth literacy initiatives</w:t>
            </w:r>
            <w:r w:rsidR="009C41F7">
              <w:rPr>
                <w:sz w:val="16"/>
                <w:szCs w:val="16"/>
              </w:rPr>
              <w:t>; (3) s</w:t>
            </w:r>
            <w:r w:rsidRPr="008A0727">
              <w:rPr>
                <w:sz w:val="16"/>
                <w:szCs w:val="16"/>
              </w:rPr>
              <w:t>treamline ordering processes to reduce administrative burdens on ostomates</w:t>
            </w:r>
            <w:r w:rsidR="00E743D1">
              <w:rPr>
                <w:sz w:val="16"/>
                <w:szCs w:val="16"/>
              </w:rPr>
              <w:t>;</w:t>
            </w:r>
            <w:r w:rsidR="009C41F7">
              <w:rPr>
                <w:sz w:val="16"/>
                <w:szCs w:val="16"/>
              </w:rPr>
              <w:t xml:space="preserve"> and (4) e</w:t>
            </w:r>
            <w:r w:rsidRPr="008A0727">
              <w:rPr>
                <w:sz w:val="16"/>
                <w:szCs w:val="16"/>
              </w:rPr>
              <w:t>xpand support networks</w:t>
            </w:r>
            <w:r w:rsidR="009C41F7">
              <w:rPr>
                <w:sz w:val="16"/>
                <w:szCs w:val="16"/>
              </w:rPr>
              <w:t xml:space="preserve"> </w:t>
            </w:r>
            <w:r w:rsidRPr="008A0727">
              <w:rPr>
                <w:sz w:val="16"/>
                <w:szCs w:val="16"/>
              </w:rPr>
              <w:t>to ensure that marginalised groups have adequate assistance in navigating the Scheme and addressing their needs.</w:t>
            </w:r>
          </w:p>
        </w:tc>
      </w:tr>
      <w:tr w:rsidR="00F9678A" w:rsidRPr="008A0727" w14:paraId="0D9EA714" w14:textId="77777777" w:rsidTr="00F37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00685B" w:themeFill="accent4"/>
          </w:tcPr>
          <w:p w14:paraId="61AB8F20" w14:textId="1B597B89" w:rsidR="00F9678A" w:rsidRPr="008A0727" w:rsidRDefault="00F9678A" w:rsidP="00A13424">
            <w:pPr>
              <w:rPr>
                <w:sz w:val="16"/>
                <w:szCs w:val="16"/>
              </w:rPr>
            </w:pPr>
            <w:r w:rsidRPr="008A0727">
              <w:rPr>
                <w:sz w:val="16"/>
                <w:szCs w:val="16"/>
              </w:rPr>
              <w:t>Product range</w:t>
            </w:r>
          </w:p>
        </w:tc>
      </w:tr>
      <w:tr w:rsidR="00FB3BF5" w:rsidRPr="008A0727" w14:paraId="7CB3F26A" w14:textId="77777777" w:rsidTr="00A25386">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14:paraId="1A7C65B0" w14:textId="4200DD93" w:rsidR="00FB3BF5" w:rsidRPr="008A0727" w:rsidRDefault="00FB3BF5" w:rsidP="00A13424">
            <w:pPr>
              <w:rPr>
                <w:color w:val="3B0083" w:themeColor="accent1"/>
                <w:sz w:val="16"/>
                <w:szCs w:val="16"/>
              </w:rPr>
            </w:pPr>
            <w:r w:rsidRPr="008A0727">
              <w:rPr>
                <w:color w:val="3B0083" w:themeColor="accent1"/>
                <w:sz w:val="16"/>
                <w:szCs w:val="16"/>
              </w:rPr>
              <w:t>Recommendation #</w:t>
            </w:r>
            <w:r w:rsidR="002A7230">
              <w:rPr>
                <w:color w:val="3B0083" w:themeColor="accent1"/>
                <w:sz w:val="16"/>
                <w:szCs w:val="16"/>
              </w:rPr>
              <w:t>6</w:t>
            </w:r>
          </w:p>
        </w:tc>
        <w:tc>
          <w:tcPr>
            <w:tcW w:w="7643" w:type="dxa"/>
            <w:shd w:val="clear" w:color="auto" w:fill="FFFFFF" w:themeFill="background1"/>
          </w:tcPr>
          <w:p w14:paraId="712D94D7" w14:textId="0E34A85E" w:rsidR="00FB3BF5" w:rsidRPr="008A0727" w:rsidRDefault="00FB3BF5" w:rsidP="00A13424">
            <w:pPr>
              <w:cnfStyle w:val="000000000000" w:firstRow="0" w:lastRow="0" w:firstColumn="0" w:lastColumn="0" w:oddVBand="0" w:evenVBand="0" w:oddHBand="0" w:evenHBand="0" w:firstRowFirstColumn="0" w:firstRowLastColumn="0" w:lastRowFirstColumn="0" w:lastRowLastColumn="0"/>
              <w:rPr>
                <w:sz w:val="16"/>
                <w:szCs w:val="16"/>
              </w:rPr>
            </w:pPr>
            <w:r w:rsidRPr="004F570A">
              <w:rPr>
                <w:sz w:val="16"/>
                <w:szCs w:val="16"/>
              </w:rPr>
              <w:t xml:space="preserve">Implement a strategic approach </w:t>
            </w:r>
            <w:r w:rsidR="000E5843" w:rsidRPr="000E5843">
              <w:rPr>
                <w:sz w:val="16"/>
                <w:szCs w:val="16"/>
              </w:rPr>
              <w:t>to rationalise products on the Schedule</w:t>
            </w:r>
            <w:r w:rsidRPr="004F570A">
              <w:rPr>
                <w:sz w:val="16"/>
                <w:szCs w:val="16"/>
              </w:rPr>
              <w:t xml:space="preserve"> </w:t>
            </w:r>
            <w:r w:rsidR="008F7196" w:rsidRPr="004F570A">
              <w:rPr>
                <w:sz w:val="16"/>
                <w:szCs w:val="16"/>
              </w:rPr>
              <w:t>(e.g. introduction of STN approval to dispense certain products</w:t>
            </w:r>
            <w:r w:rsidR="00D41F84" w:rsidRPr="004F570A">
              <w:rPr>
                <w:sz w:val="16"/>
                <w:szCs w:val="16"/>
              </w:rPr>
              <w:t>)</w:t>
            </w:r>
            <w:r w:rsidR="008F7196" w:rsidRPr="004F570A">
              <w:rPr>
                <w:sz w:val="16"/>
                <w:szCs w:val="16"/>
              </w:rPr>
              <w:t xml:space="preserve"> to enhance appropriateness, minimise wastage, and optimise expenditure </w:t>
            </w:r>
            <w:r w:rsidRPr="004F570A">
              <w:rPr>
                <w:sz w:val="16"/>
                <w:szCs w:val="16"/>
              </w:rPr>
              <w:t>to rationalise products on the Schedule, leveraging opportunities to remove products that may not be clinically necessary and/or adjusting product quantities that lead to cost savings.</w:t>
            </w:r>
            <w:r w:rsidRPr="008A0727">
              <w:rPr>
                <w:sz w:val="16"/>
                <w:szCs w:val="16"/>
              </w:rPr>
              <w:t xml:space="preserve"> </w:t>
            </w:r>
            <w:r w:rsidR="00C220E7">
              <w:rPr>
                <w:sz w:val="16"/>
                <w:szCs w:val="16"/>
              </w:rPr>
              <w:t>For consideration is the removal of non-clinically necessary products such as cleanser wipes, deodorants, and creams and ointments</w:t>
            </w:r>
            <w:r w:rsidR="003014FB">
              <w:rPr>
                <w:sz w:val="16"/>
                <w:szCs w:val="16"/>
              </w:rPr>
              <w:t xml:space="preserve">, and reducing maximum quantities </w:t>
            </w:r>
            <w:r w:rsidR="00237AD1">
              <w:rPr>
                <w:sz w:val="16"/>
                <w:szCs w:val="16"/>
              </w:rPr>
              <w:t xml:space="preserve">subsidised for closed bag systems. </w:t>
            </w:r>
          </w:p>
        </w:tc>
      </w:tr>
      <w:tr w:rsidR="00F9678A" w:rsidRPr="008A0727" w14:paraId="46DBD024" w14:textId="77777777" w:rsidTr="00F373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2"/>
            <w:shd w:val="clear" w:color="auto" w:fill="00685B" w:themeFill="accent4"/>
          </w:tcPr>
          <w:p w14:paraId="0E114048" w14:textId="2DED5116" w:rsidR="00F9678A" w:rsidRPr="008A0727" w:rsidRDefault="00F9678A" w:rsidP="00A13424">
            <w:pPr>
              <w:rPr>
                <w:sz w:val="16"/>
                <w:szCs w:val="16"/>
              </w:rPr>
            </w:pPr>
            <w:r w:rsidRPr="008A0727">
              <w:rPr>
                <w:sz w:val="16"/>
                <w:szCs w:val="16"/>
              </w:rPr>
              <w:t>Pricing methodology</w:t>
            </w:r>
          </w:p>
        </w:tc>
      </w:tr>
      <w:tr w:rsidR="00FB3BF5" w:rsidRPr="008A0727" w14:paraId="7D761A18" w14:textId="77777777" w:rsidTr="00A25386">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14:paraId="79CCC194" w14:textId="79D0E2CB" w:rsidR="00FB3BF5" w:rsidRPr="008A0727" w:rsidRDefault="00FB3BF5" w:rsidP="00A13424">
            <w:pPr>
              <w:rPr>
                <w:color w:val="3B0083" w:themeColor="accent1"/>
                <w:sz w:val="16"/>
                <w:szCs w:val="16"/>
              </w:rPr>
            </w:pPr>
            <w:r w:rsidRPr="008A0727">
              <w:rPr>
                <w:color w:val="3B0083" w:themeColor="accent1"/>
                <w:sz w:val="16"/>
                <w:szCs w:val="16"/>
              </w:rPr>
              <w:t>Recommendation #</w:t>
            </w:r>
            <w:r w:rsidR="002A7230">
              <w:rPr>
                <w:color w:val="3B0083" w:themeColor="accent1"/>
                <w:sz w:val="16"/>
                <w:szCs w:val="16"/>
              </w:rPr>
              <w:t>7</w:t>
            </w:r>
          </w:p>
        </w:tc>
        <w:tc>
          <w:tcPr>
            <w:tcW w:w="7643" w:type="dxa"/>
            <w:shd w:val="clear" w:color="auto" w:fill="FFFFFF" w:themeFill="background1"/>
          </w:tcPr>
          <w:p w14:paraId="77C5E1D8" w14:textId="5071D69F" w:rsidR="00FB3BF5" w:rsidRPr="008A0727" w:rsidRDefault="00FB3BF5" w:rsidP="00FE5767">
            <w:pPr>
              <w:pStyle w:val="ListNumber"/>
              <w:numPr>
                <w:ilvl w:val="0"/>
                <w:numId w:val="0"/>
              </w:numPr>
              <w:cnfStyle w:val="000000000000" w:firstRow="0" w:lastRow="0" w:firstColumn="0" w:lastColumn="0" w:oddVBand="0" w:evenVBand="0" w:oddHBand="0" w:evenHBand="0" w:firstRowFirstColumn="0" w:firstRowLastColumn="0" w:lastRowFirstColumn="0" w:lastRowLastColumn="0"/>
              <w:rPr>
                <w:sz w:val="16"/>
                <w:szCs w:val="16"/>
              </w:rPr>
            </w:pPr>
            <w:r w:rsidRPr="004F570A">
              <w:rPr>
                <w:sz w:val="16"/>
                <w:szCs w:val="16"/>
              </w:rPr>
              <w:t>Maintain the current benchmark and premium pricing model.</w:t>
            </w:r>
          </w:p>
        </w:tc>
      </w:tr>
      <w:tr w:rsidR="00FB3BF5" w:rsidRPr="008A0727" w14:paraId="6F809A4F" w14:textId="77777777" w:rsidTr="00A253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BE5F2" w:themeFill="accent5" w:themeFillTint="33"/>
          </w:tcPr>
          <w:p w14:paraId="36D40A06" w14:textId="6230D594" w:rsidR="00FB3BF5" w:rsidRPr="008B5986" w:rsidRDefault="00FB3BF5" w:rsidP="00A13424">
            <w:pPr>
              <w:rPr>
                <w:color w:val="3B0083" w:themeColor="accent1"/>
                <w:sz w:val="16"/>
                <w:szCs w:val="16"/>
              </w:rPr>
            </w:pPr>
            <w:r w:rsidRPr="008B5986">
              <w:rPr>
                <w:color w:val="3B0083" w:themeColor="accent1"/>
                <w:sz w:val="16"/>
                <w:szCs w:val="16"/>
              </w:rPr>
              <w:t>Recommendation #</w:t>
            </w:r>
            <w:r w:rsidR="002A7230" w:rsidRPr="008B5986">
              <w:rPr>
                <w:color w:val="3B0083" w:themeColor="accent1"/>
                <w:sz w:val="16"/>
                <w:szCs w:val="16"/>
              </w:rPr>
              <w:t>8</w:t>
            </w:r>
          </w:p>
        </w:tc>
        <w:tc>
          <w:tcPr>
            <w:tcW w:w="7643" w:type="dxa"/>
          </w:tcPr>
          <w:p w14:paraId="6A2A3002" w14:textId="772C8C71" w:rsidR="00FB3BF5" w:rsidRPr="008B5986" w:rsidRDefault="009E1770" w:rsidP="00FE5767">
            <w:pPr>
              <w:pStyle w:val="ListNumber"/>
              <w:numPr>
                <w:ilvl w:val="0"/>
                <w:numId w:val="0"/>
              </w:numPr>
              <w:cnfStyle w:val="000000010000" w:firstRow="0" w:lastRow="0" w:firstColumn="0" w:lastColumn="0" w:oddVBand="0" w:evenVBand="0" w:oddHBand="0" w:evenHBand="1" w:firstRowFirstColumn="0" w:firstRowLastColumn="0" w:lastRowFirstColumn="0" w:lastRowLastColumn="0"/>
              <w:rPr>
                <w:sz w:val="16"/>
                <w:szCs w:val="16"/>
              </w:rPr>
            </w:pPr>
            <w:r w:rsidRPr="008B5986">
              <w:rPr>
                <w:sz w:val="16"/>
                <w:szCs w:val="16"/>
              </w:rPr>
              <w:t>Undertake</w:t>
            </w:r>
            <w:r w:rsidR="0037303C" w:rsidRPr="008B5986">
              <w:rPr>
                <w:sz w:val="16"/>
                <w:szCs w:val="16"/>
              </w:rPr>
              <w:t xml:space="preserve"> </w:t>
            </w:r>
            <w:r w:rsidR="00E15E1F" w:rsidRPr="008B5986">
              <w:rPr>
                <w:sz w:val="16"/>
                <w:szCs w:val="16"/>
              </w:rPr>
              <w:t xml:space="preserve">an immediate price review of </w:t>
            </w:r>
            <w:r w:rsidRPr="008B5986">
              <w:rPr>
                <w:sz w:val="16"/>
                <w:szCs w:val="16"/>
              </w:rPr>
              <w:t>benchmark products</w:t>
            </w:r>
            <w:r w:rsidR="00135968" w:rsidRPr="008B5986">
              <w:rPr>
                <w:sz w:val="16"/>
                <w:szCs w:val="16"/>
              </w:rPr>
              <w:t xml:space="preserve">, with a view </w:t>
            </w:r>
            <w:r w:rsidR="00015064" w:rsidRPr="008B5986">
              <w:rPr>
                <w:sz w:val="16"/>
                <w:szCs w:val="16"/>
              </w:rPr>
              <w:t>to</w:t>
            </w:r>
            <w:r w:rsidR="00135968" w:rsidRPr="008B5986">
              <w:rPr>
                <w:sz w:val="16"/>
                <w:szCs w:val="16"/>
              </w:rPr>
              <w:t xml:space="preserve"> </w:t>
            </w:r>
            <w:r w:rsidR="004E1090" w:rsidRPr="008B5986">
              <w:rPr>
                <w:sz w:val="16"/>
                <w:szCs w:val="16"/>
              </w:rPr>
              <w:t>implement</w:t>
            </w:r>
            <w:r w:rsidR="0037303C" w:rsidRPr="008B5986">
              <w:rPr>
                <w:sz w:val="16"/>
                <w:szCs w:val="16"/>
              </w:rPr>
              <w:t xml:space="preserve"> regular price reviews </w:t>
            </w:r>
            <w:r w:rsidR="008B5986" w:rsidRPr="008B5986">
              <w:rPr>
                <w:sz w:val="16"/>
                <w:szCs w:val="16"/>
              </w:rPr>
              <w:t>(</w:t>
            </w:r>
            <w:r w:rsidR="004E1090" w:rsidRPr="008B5986">
              <w:rPr>
                <w:sz w:val="16"/>
                <w:szCs w:val="16"/>
              </w:rPr>
              <w:t>every three years</w:t>
            </w:r>
            <w:r w:rsidR="008B5986" w:rsidRPr="008B5986">
              <w:rPr>
                <w:sz w:val="16"/>
                <w:szCs w:val="16"/>
              </w:rPr>
              <w:t>)</w:t>
            </w:r>
            <w:r w:rsidR="0037303C" w:rsidRPr="008B5986">
              <w:rPr>
                <w:sz w:val="16"/>
                <w:szCs w:val="16"/>
              </w:rPr>
              <w:t xml:space="preserve"> into the Scheme pricing model.</w:t>
            </w:r>
          </w:p>
        </w:tc>
      </w:tr>
      <w:tr w:rsidR="00FB3BF5" w:rsidRPr="008A0727" w14:paraId="3681AF82" w14:textId="77777777" w:rsidTr="00F373B0">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Pr>
          <w:p w14:paraId="33ACC3E2" w14:textId="1869D047" w:rsidR="00FB3BF5" w:rsidRPr="008A0727" w:rsidRDefault="00FB3BF5" w:rsidP="00A13424">
            <w:pPr>
              <w:rPr>
                <w:color w:val="3B0083" w:themeColor="accent1"/>
                <w:sz w:val="16"/>
                <w:szCs w:val="16"/>
              </w:rPr>
            </w:pPr>
            <w:r w:rsidRPr="008A0727">
              <w:rPr>
                <w:color w:val="3B0083" w:themeColor="accent1"/>
                <w:sz w:val="16"/>
                <w:szCs w:val="16"/>
              </w:rPr>
              <w:lastRenderedPageBreak/>
              <w:t>Recommendation #</w:t>
            </w:r>
            <w:r w:rsidR="001560B1">
              <w:rPr>
                <w:color w:val="3B0083" w:themeColor="accent1"/>
                <w:sz w:val="16"/>
                <w:szCs w:val="16"/>
              </w:rPr>
              <w:t>9</w:t>
            </w:r>
          </w:p>
        </w:tc>
        <w:tc>
          <w:tcPr>
            <w:tcW w:w="7643" w:type="dxa"/>
          </w:tcPr>
          <w:p w14:paraId="58830C74" w14:textId="1904BF62" w:rsidR="00FB3BF5" w:rsidRPr="008A0727" w:rsidRDefault="00BE3CE7" w:rsidP="00A14130">
            <w:pPr>
              <w:pStyle w:val="ListNumber"/>
              <w:numPr>
                <w:ilvl w:val="0"/>
                <w:numId w:val="0"/>
              </w:numPr>
              <w:cnfStyle w:val="000000000000" w:firstRow="0" w:lastRow="0" w:firstColumn="0" w:lastColumn="0" w:oddVBand="0" w:evenVBand="0" w:oddHBand="0" w:evenHBand="0" w:firstRowFirstColumn="0" w:firstRowLastColumn="0" w:lastRowFirstColumn="0" w:lastRowLastColumn="0"/>
              <w:rPr>
                <w:sz w:val="16"/>
                <w:szCs w:val="16"/>
              </w:rPr>
            </w:pPr>
            <w:r w:rsidRPr="00BE3CE7">
              <w:rPr>
                <w:sz w:val="16"/>
                <w:szCs w:val="16"/>
              </w:rPr>
              <w:t>Review the process for assessing premium pricing applications and enhance transparency in the process. This could involve clearer guidelines for application requirements and improved communication of decisions, along with providing an opportunity for suppliers to respond to evaluation questions before SPAP decision-making. Reviewing this process also provides an opportunity to develop a framework or supporting mechanism to assist suppliers in generating the relevant evidence to demonstrate value for premium-priced products and will continue to ensure innovative technologies are assessed in a robust way.</w:t>
            </w:r>
          </w:p>
        </w:tc>
      </w:tr>
      <w:tr w:rsidR="00FB3BF5" w:rsidRPr="008A0727" w14:paraId="1331E917" w14:textId="77777777" w:rsidTr="00C422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BE5F2" w:themeFill="accent5" w:themeFillTint="33"/>
          </w:tcPr>
          <w:p w14:paraId="2AFBFDCD" w14:textId="7298F731" w:rsidR="00FB3BF5" w:rsidRPr="008A0727" w:rsidRDefault="00FB3BF5" w:rsidP="00A13424">
            <w:pPr>
              <w:rPr>
                <w:color w:val="3B0083" w:themeColor="accent1"/>
                <w:sz w:val="16"/>
                <w:szCs w:val="16"/>
              </w:rPr>
            </w:pPr>
            <w:r w:rsidRPr="008A0727">
              <w:rPr>
                <w:color w:val="3B0083" w:themeColor="accent1"/>
                <w:sz w:val="16"/>
                <w:szCs w:val="16"/>
              </w:rPr>
              <w:t>Recommendation #</w:t>
            </w:r>
            <w:r w:rsidR="00DB19EF" w:rsidRPr="008A0727">
              <w:rPr>
                <w:color w:val="3B0083" w:themeColor="accent1"/>
                <w:sz w:val="16"/>
                <w:szCs w:val="16"/>
              </w:rPr>
              <w:t>1</w:t>
            </w:r>
            <w:r w:rsidR="00015064">
              <w:rPr>
                <w:color w:val="3B0083" w:themeColor="accent1"/>
                <w:sz w:val="16"/>
                <w:szCs w:val="16"/>
              </w:rPr>
              <w:t>0</w:t>
            </w:r>
          </w:p>
        </w:tc>
        <w:tc>
          <w:tcPr>
            <w:tcW w:w="7643" w:type="dxa"/>
          </w:tcPr>
          <w:p w14:paraId="7B47F93F" w14:textId="2033D632" w:rsidR="00FB3BF5" w:rsidRPr="008A0727" w:rsidRDefault="002A63D7" w:rsidP="00FE5767">
            <w:pPr>
              <w:pStyle w:val="ListNumber"/>
              <w:numPr>
                <w:ilvl w:val="0"/>
                <w:numId w:val="0"/>
              </w:numPr>
              <w:cnfStyle w:val="000000010000" w:firstRow="0" w:lastRow="0" w:firstColumn="0" w:lastColumn="0" w:oddVBand="0" w:evenVBand="0" w:oddHBand="0" w:evenHBand="1" w:firstRowFirstColumn="0" w:firstRowLastColumn="0" w:lastRowFirstColumn="0" w:lastRowLastColumn="0"/>
              <w:rPr>
                <w:sz w:val="16"/>
                <w:szCs w:val="16"/>
              </w:rPr>
            </w:pPr>
            <w:r w:rsidRPr="002A63D7">
              <w:rPr>
                <w:sz w:val="16"/>
                <w:szCs w:val="16"/>
              </w:rPr>
              <w:t>Implement a cost recovery mechanism f</w:t>
            </w:r>
            <w:r>
              <w:rPr>
                <w:sz w:val="16"/>
                <w:szCs w:val="16"/>
              </w:rPr>
              <w:t>rom</w:t>
            </w:r>
            <w:r w:rsidRPr="002A63D7">
              <w:rPr>
                <w:sz w:val="16"/>
                <w:szCs w:val="16"/>
              </w:rPr>
              <w:t xml:space="preserve"> suppliers to offset the </w:t>
            </w:r>
            <w:r>
              <w:rPr>
                <w:sz w:val="16"/>
                <w:szCs w:val="16"/>
              </w:rPr>
              <w:t xml:space="preserve">increased </w:t>
            </w:r>
            <w:r w:rsidRPr="002A63D7">
              <w:rPr>
                <w:sz w:val="16"/>
                <w:szCs w:val="16"/>
              </w:rPr>
              <w:t>administration costs of Government associated with the introduction of a regular price review process.</w:t>
            </w:r>
          </w:p>
        </w:tc>
      </w:tr>
    </w:tbl>
    <w:p w14:paraId="0E785257" w14:textId="248BAEC2" w:rsidR="00F9609D" w:rsidRDefault="00846700" w:rsidP="00AC781F">
      <w:pPr>
        <w:pStyle w:val="Heading1"/>
      </w:pPr>
      <w:bookmarkStart w:id="5" w:name="_Toc161743088"/>
      <w:r>
        <w:lastRenderedPageBreak/>
        <w:t>Introduction</w:t>
      </w:r>
      <w:bookmarkEnd w:id="5"/>
    </w:p>
    <w:p w14:paraId="6EA42951" w14:textId="67B2E308" w:rsidR="00B47DDF" w:rsidRDefault="00B47DDF" w:rsidP="00B47DDF">
      <w:pPr>
        <w:pStyle w:val="BodyText"/>
        <w:rPr>
          <w:rFonts w:cstheme="minorHAnsi"/>
          <w:szCs w:val="21"/>
        </w:rPr>
      </w:pPr>
      <w:r>
        <w:t xml:space="preserve">The Department engaged </w:t>
      </w:r>
      <w:proofErr w:type="spellStart"/>
      <w:r w:rsidRPr="00BA6AE0">
        <w:rPr>
          <w:b/>
          <w:bCs/>
        </w:rPr>
        <w:t>HealthConsult</w:t>
      </w:r>
      <w:proofErr w:type="spellEnd"/>
      <w:r>
        <w:t xml:space="preserve"> to undertake a comprehensive review of the Scheme, specifically to review the Scheme’s </w:t>
      </w:r>
      <w:r w:rsidRPr="00871926">
        <w:t>c</w:t>
      </w:r>
      <w:r w:rsidRPr="00871926">
        <w:rPr>
          <w:rFonts w:cstheme="minorHAnsi"/>
          <w:szCs w:val="21"/>
        </w:rPr>
        <w:t>linical</w:t>
      </w:r>
      <w:r w:rsidRPr="00312A46">
        <w:rPr>
          <w:rFonts w:cstheme="minorHAnsi"/>
          <w:szCs w:val="21"/>
        </w:rPr>
        <w:t xml:space="preserve"> </w:t>
      </w:r>
      <w:r w:rsidRPr="00871926">
        <w:rPr>
          <w:rFonts w:cstheme="minorHAnsi"/>
          <w:szCs w:val="21"/>
        </w:rPr>
        <w:t>eligibility</w:t>
      </w:r>
      <w:r w:rsidRPr="00312A46">
        <w:rPr>
          <w:rFonts w:cstheme="minorHAnsi"/>
          <w:szCs w:val="21"/>
        </w:rPr>
        <w:t xml:space="preserve"> and</w:t>
      </w:r>
      <w:r>
        <w:rPr>
          <w:rFonts w:cstheme="minorHAnsi"/>
          <w:szCs w:val="21"/>
        </w:rPr>
        <w:t xml:space="preserve"> </w:t>
      </w:r>
      <w:r w:rsidRPr="00871926">
        <w:rPr>
          <w:rFonts w:cstheme="minorHAnsi"/>
          <w:szCs w:val="21"/>
        </w:rPr>
        <w:t>pricing</w:t>
      </w:r>
      <w:r w:rsidRPr="00312A46">
        <w:rPr>
          <w:rFonts w:cstheme="minorHAnsi"/>
          <w:szCs w:val="21"/>
        </w:rPr>
        <w:t xml:space="preserve"> of products</w:t>
      </w:r>
      <w:r>
        <w:rPr>
          <w:rFonts w:cstheme="minorHAnsi"/>
          <w:szCs w:val="21"/>
        </w:rPr>
        <w:t>.</w:t>
      </w:r>
    </w:p>
    <w:p w14:paraId="2AD20DBA" w14:textId="77777777" w:rsidR="00B47DDF" w:rsidRDefault="00B47DDF" w:rsidP="00B47DDF">
      <w:pPr>
        <w:pStyle w:val="Heading2"/>
      </w:pPr>
      <w:r w:rsidRPr="00075C1D">
        <w:t>Background of the Stoma Appliance Scheme</w:t>
      </w:r>
    </w:p>
    <w:p w14:paraId="57655171" w14:textId="22E2E205" w:rsidR="00B47DDF" w:rsidRDefault="00B47DDF" w:rsidP="00B47DDF">
      <w:pPr>
        <w:pStyle w:val="BodyText"/>
      </w:pPr>
      <w:r w:rsidRPr="00562C82">
        <w:t>The</w:t>
      </w:r>
      <w:r>
        <w:t xml:space="preserve"> Scheme is a federally funded program that provides</w:t>
      </w:r>
      <w:r w:rsidRPr="00562C82">
        <w:t xml:space="preserve"> stoma appliances and products to </w:t>
      </w:r>
      <w:r w:rsidR="002E36C6">
        <w:t>appro</w:t>
      </w:r>
      <w:r w:rsidR="00947D7E">
        <w:t>ximately 49,000</w:t>
      </w:r>
      <w:r w:rsidRPr="0032207E">
        <w:t xml:space="preserve"> Australian </w:t>
      </w:r>
      <w:r w:rsidRPr="00562C82">
        <w:t>ostomates.</w:t>
      </w:r>
    </w:p>
    <w:p w14:paraId="64F230B8" w14:textId="75711538" w:rsidR="00B47DDF" w:rsidRDefault="00B47DDF" w:rsidP="00B47DDF">
      <w:pPr>
        <w:pStyle w:val="BodyText"/>
      </w:pPr>
      <w:r w:rsidRPr="00053065">
        <w:t xml:space="preserve">The Scheme commenced in 1975 </w:t>
      </w:r>
      <w:r w:rsidR="003C5737">
        <w:t>under</w:t>
      </w:r>
      <w:r w:rsidR="003C5737" w:rsidRPr="00053065">
        <w:t xml:space="preserve"> </w:t>
      </w:r>
      <w:r w:rsidRPr="00053065">
        <w:t>Section 9A of the National Health Act 1953</w:t>
      </w:r>
      <w:r w:rsidR="003C5737">
        <w:t xml:space="preserve">, which </w:t>
      </w:r>
      <w:r w:rsidR="003C5737" w:rsidRPr="003C5737">
        <w:t xml:space="preserve">permits the Minister to </w:t>
      </w:r>
      <w:proofErr w:type="gramStart"/>
      <w:r w:rsidR="003C5737" w:rsidRPr="003C5737">
        <w:t>make arrangements</w:t>
      </w:r>
      <w:proofErr w:type="gramEnd"/>
      <w:r w:rsidR="003C5737" w:rsidRPr="003C5737">
        <w:t xml:space="preserve"> for the provision of aids and appliances</w:t>
      </w:r>
      <w:r w:rsidRPr="00053065">
        <w:t>.</w:t>
      </w:r>
      <w:r>
        <w:t xml:space="preserve"> The Scheme provides fully subsided access to around 3,600 stoma appliances. Products supplied under the Scheme assist people with stomas to better manage their condition, and thereby allow greater participation in society and the workforce.</w:t>
      </w:r>
    </w:p>
    <w:p w14:paraId="3A43E66D" w14:textId="2FA9CAEC" w:rsidR="00B47DDF" w:rsidRDefault="00B47DDF" w:rsidP="00B47DDF">
      <w:pPr>
        <w:pStyle w:val="BodyText"/>
      </w:pPr>
      <w:r w:rsidRPr="00BF751D">
        <w:t>Products are provided free of charge. This saves each ostomate an average of over $2,300 per year. In 2022-23, the Scheme provided ostomates with $114 million worth of stoma appliances and products.</w:t>
      </w:r>
      <w:r w:rsidRPr="008A0727">
        <w:rPr>
          <w:rStyle w:val="FootnoteReference"/>
          <w:color w:val="7030A0"/>
        </w:rPr>
        <w:footnoteReference w:id="2"/>
      </w:r>
    </w:p>
    <w:p w14:paraId="59EBA66F" w14:textId="77777777" w:rsidR="00B47DDF" w:rsidRDefault="00B47DDF" w:rsidP="00B47DDF">
      <w:pPr>
        <w:pStyle w:val="Heading2"/>
      </w:pPr>
      <w:r>
        <w:t>Purpose and scope of the Review</w:t>
      </w:r>
    </w:p>
    <w:p w14:paraId="405CCB10" w14:textId="63B367C5" w:rsidR="00B47DDF" w:rsidRDefault="00B47DDF" w:rsidP="00B47DDF">
      <w:pPr>
        <w:pStyle w:val="BodyText"/>
      </w:pPr>
      <w:r>
        <w:t xml:space="preserve">There </w:t>
      </w:r>
      <w:r w:rsidR="00F120E4">
        <w:t>we</w:t>
      </w:r>
      <w:r>
        <w:t>re two components to the Review including:</w:t>
      </w:r>
    </w:p>
    <w:p w14:paraId="42E6FD61" w14:textId="77777777" w:rsidR="00B47DDF" w:rsidRPr="00044AF5" w:rsidRDefault="00B47DDF" w:rsidP="00E442CB">
      <w:pPr>
        <w:pStyle w:val="ListNumber"/>
        <w:numPr>
          <w:ilvl w:val="0"/>
          <w:numId w:val="55"/>
        </w:numPr>
      </w:pPr>
      <w:r w:rsidRPr="00044AF5">
        <w:t>Review the Scheme’s clinical eligibility, and</w:t>
      </w:r>
    </w:p>
    <w:p w14:paraId="3293408A" w14:textId="77777777" w:rsidR="00B47DDF" w:rsidRPr="00044AF5" w:rsidRDefault="00B47DDF" w:rsidP="00E442CB">
      <w:pPr>
        <w:pStyle w:val="ListNumber"/>
        <w:numPr>
          <w:ilvl w:val="0"/>
          <w:numId w:val="55"/>
        </w:numPr>
      </w:pPr>
      <w:r w:rsidRPr="00044AF5">
        <w:t>Review the Scheme’s pricing of products.</w:t>
      </w:r>
    </w:p>
    <w:p w14:paraId="561FC0DA" w14:textId="341FF0C0" w:rsidR="00B47DDF" w:rsidRDefault="0066649D" w:rsidP="00B47DDF">
      <w:pPr>
        <w:pStyle w:val="BodyText"/>
      </w:pPr>
      <w:r>
        <w:fldChar w:fldCharType="begin"/>
      </w:r>
      <w:r>
        <w:instrText xml:space="preserve"> REF _Ref157090982 \h </w:instrText>
      </w:r>
      <w:r>
        <w:fldChar w:fldCharType="separate"/>
      </w:r>
      <w:r w:rsidR="00FE1418">
        <w:t xml:space="preserve">Figure </w:t>
      </w:r>
      <w:r w:rsidR="00FE1418">
        <w:rPr>
          <w:noProof/>
        </w:rPr>
        <w:t>1</w:t>
      </w:r>
      <w:r>
        <w:fldChar w:fldCharType="end"/>
      </w:r>
      <w:r>
        <w:t xml:space="preserve"> </w:t>
      </w:r>
      <w:r w:rsidR="00B47DDF">
        <w:t xml:space="preserve">describes the components of the </w:t>
      </w:r>
      <w:r w:rsidR="008E3CA4">
        <w:t>R</w:t>
      </w:r>
      <w:r w:rsidR="00B47DDF">
        <w:t>eview and the included scope.</w:t>
      </w:r>
    </w:p>
    <w:p w14:paraId="28F417FD" w14:textId="22E6A38E" w:rsidR="00706BAA" w:rsidRDefault="00706BAA" w:rsidP="00496EF0">
      <w:pPr>
        <w:pStyle w:val="Caption"/>
      </w:pPr>
      <w:bookmarkStart w:id="6" w:name="_Ref157090982"/>
      <w:bookmarkStart w:id="7" w:name="_Toc161743125"/>
      <w:r>
        <w:t xml:space="preserve">Figure </w:t>
      </w:r>
      <w:r>
        <w:fldChar w:fldCharType="begin"/>
      </w:r>
      <w:r>
        <w:instrText xml:space="preserve"> SEQ Figure \* ARABIC </w:instrText>
      </w:r>
      <w:r>
        <w:fldChar w:fldCharType="separate"/>
      </w:r>
      <w:r w:rsidR="00FE1418">
        <w:rPr>
          <w:noProof/>
        </w:rPr>
        <w:t>1</w:t>
      </w:r>
      <w:r>
        <w:rPr>
          <w:noProof/>
        </w:rPr>
        <w:fldChar w:fldCharType="end"/>
      </w:r>
      <w:bookmarkEnd w:id="6"/>
      <w:r>
        <w:t xml:space="preserve">: </w:t>
      </w:r>
      <w:r w:rsidR="00C46FA4" w:rsidRPr="00C46FA4">
        <w:t xml:space="preserve">The two components of the Scheme </w:t>
      </w:r>
      <w:r w:rsidR="008E3CA4">
        <w:t>R</w:t>
      </w:r>
      <w:r w:rsidR="00C46FA4" w:rsidRPr="00C46FA4">
        <w:t>eview</w:t>
      </w:r>
      <w:bookmarkEnd w:id="7"/>
    </w:p>
    <w:p w14:paraId="51582FFB" w14:textId="68293678" w:rsidR="004F679C" w:rsidRPr="004F679C" w:rsidRDefault="004F679C" w:rsidP="004F679C">
      <w:pPr>
        <w:pStyle w:val="BodyText"/>
      </w:pPr>
      <w:r>
        <w:rPr>
          <w:noProof/>
        </w:rPr>
        <w:drawing>
          <wp:inline distT="0" distB="0" distL="0" distR="0" wp14:anchorId="05C8C52A" wp14:editId="502E2385">
            <wp:extent cx="6152849" cy="2325511"/>
            <wp:effectExtent l="0" t="0" r="635" b="0"/>
            <wp:docPr id="1619091285" name="Picture 4" descr="Figure 1: The two components of the Scheme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91285" name="Picture 4" descr="Figure 1: The two components of the Scheme Review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4061" cy="2337308"/>
                    </a:xfrm>
                    <a:prstGeom prst="rect">
                      <a:avLst/>
                    </a:prstGeom>
                    <a:noFill/>
                  </pic:spPr>
                </pic:pic>
              </a:graphicData>
            </a:graphic>
          </wp:inline>
        </w:drawing>
      </w:r>
    </w:p>
    <w:p w14:paraId="08252031" w14:textId="77777777" w:rsidR="006D6568" w:rsidRDefault="006D6568" w:rsidP="006D6568">
      <w:pPr>
        <w:pStyle w:val="Heading2"/>
      </w:pPr>
      <w:r w:rsidRPr="008D13B9">
        <w:lastRenderedPageBreak/>
        <w:t>Review Methodology</w:t>
      </w:r>
    </w:p>
    <w:p w14:paraId="13509D91" w14:textId="2FB8A5AC" w:rsidR="006D6568" w:rsidRDefault="006D6568" w:rsidP="002B285C">
      <w:pPr>
        <w:pStyle w:val="BodyText"/>
      </w:pPr>
      <w:r>
        <w:fldChar w:fldCharType="begin"/>
      </w:r>
      <w:r>
        <w:instrText xml:space="preserve"> REF _Ref156399952 \h </w:instrText>
      </w:r>
      <w:r>
        <w:fldChar w:fldCharType="separate"/>
      </w:r>
      <w:r w:rsidR="00FE1418">
        <w:t xml:space="preserve">Figure </w:t>
      </w:r>
      <w:r w:rsidR="00FE1418">
        <w:rPr>
          <w:noProof/>
        </w:rPr>
        <w:t>2</w:t>
      </w:r>
      <w:r>
        <w:fldChar w:fldCharType="end"/>
      </w:r>
      <w:r w:rsidRPr="00F1370A">
        <w:t xml:space="preserve"> presents </w:t>
      </w:r>
      <w:r>
        <w:t>the</w:t>
      </w:r>
      <w:r w:rsidRPr="00F1370A">
        <w:t xml:space="preserve"> methodology</w:t>
      </w:r>
      <w:r>
        <w:t xml:space="preserve"> and</w:t>
      </w:r>
      <w:r w:rsidRPr="00F1370A">
        <w:t xml:space="preserve"> the deliverables </w:t>
      </w:r>
      <w:r w:rsidR="003307C9">
        <w:t xml:space="preserve">for each </w:t>
      </w:r>
      <w:r w:rsidRPr="00F1370A">
        <w:t>stage</w:t>
      </w:r>
      <w:r>
        <w:t xml:space="preserve"> of the Review</w:t>
      </w:r>
      <w:r w:rsidRPr="00F1370A">
        <w:t xml:space="preserve">. The </w:t>
      </w:r>
      <w:r w:rsidR="00022849">
        <w:t xml:space="preserve">Review </w:t>
      </w:r>
      <w:r w:rsidRPr="00F1370A">
        <w:t>methodology</w:t>
      </w:r>
      <w:r>
        <w:t xml:space="preserve"> </w:t>
      </w:r>
      <w:r w:rsidRPr="00F1370A">
        <w:t>use</w:t>
      </w:r>
      <w:r>
        <w:t>d</w:t>
      </w:r>
      <w:r w:rsidRPr="00F1370A">
        <w:t xml:space="preserve"> mixed-methods research, along with participatory consultation with key stakeholder groups to gather expectations and to validate and refine our findings. </w:t>
      </w:r>
      <w:r w:rsidR="006F5C6C">
        <w:t xml:space="preserve">The list of stakeholders consulted throughout the Review is available in </w:t>
      </w:r>
      <w:r w:rsidR="006F5C6C">
        <w:fldChar w:fldCharType="begin"/>
      </w:r>
      <w:r w:rsidR="006F5C6C">
        <w:instrText xml:space="preserve"> REF _Ref157612773 \r \h </w:instrText>
      </w:r>
      <w:r w:rsidR="006F5C6C">
        <w:fldChar w:fldCharType="separate"/>
      </w:r>
      <w:r w:rsidR="00FE1418">
        <w:t>Appendix A</w:t>
      </w:r>
      <w:r w:rsidR="006F5C6C">
        <w:fldChar w:fldCharType="end"/>
      </w:r>
      <w:r w:rsidR="006F5C6C">
        <w:t>.</w:t>
      </w:r>
    </w:p>
    <w:p w14:paraId="16B98C22" w14:textId="6FC6FB0C" w:rsidR="006D6568" w:rsidRPr="00B737CD" w:rsidRDefault="006D6568" w:rsidP="003307C9">
      <w:pPr>
        <w:pStyle w:val="Caption"/>
        <w:spacing w:before="120"/>
      </w:pPr>
      <w:bookmarkStart w:id="8" w:name="_Ref156399952"/>
      <w:bookmarkStart w:id="9" w:name="_Toc161743126"/>
      <w:r>
        <w:t xml:space="preserve">Figure </w:t>
      </w:r>
      <w:r>
        <w:fldChar w:fldCharType="begin"/>
      </w:r>
      <w:r>
        <w:instrText xml:space="preserve"> SEQ Figure \* ARABIC </w:instrText>
      </w:r>
      <w:r>
        <w:fldChar w:fldCharType="separate"/>
      </w:r>
      <w:r w:rsidR="00FE1418">
        <w:rPr>
          <w:noProof/>
        </w:rPr>
        <w:t>2</w:t>
      </w:r>
      <w:r>
        <w:rPr>
          <w:noProof/>
        </w:rPr>
        <w:fldChar w:fldCharType="end"/>
      </w:r>
      <w:bookmarkEnd w:id="8"/>
      <w:r>
        <w:t>: Methodology of the Review</w:t>
      </w:r>
      <w:bookmarkEnd w:id="9"/>
    </w:p>
    <w:p w14:paraId="6741C0A0" w14:textId="390BC456" w:rsidR="006D6568" w:rsidRPr="00392AC2" w:rsidRDefault="00392AC2" w:rsidP="006D6568">
      <w:pPr>
        <w:pStyle w:val="BodyText"/>
      </w:pPr>
      <w:r>
        <w:rPr>
          <w:noProof/>
        </w:rPr>
        <w:drawing>
          <wp:inline distT="0" distB="0" distL="0" distR="0" wp14:anchorId="788C1144" wp14:editId="4E769C3D">
            <wp:extent cx="6273169" cy="2808182"/>
            <wp:effectExtent l="0" t="0" r="0" b="0"/>
            <wp:docPr id="1432443496" name="Picture 2" descr="Figure 2: Methodology of the Re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43496" name="Picture 2" descr="Figure 2: Methodology of the Review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6434" cy="2823073"/>
                    </a:xfrm>
                    <a:prstGeom prst="rect">
                      <a:avLst/>
                    </a:prstGeom>
                    <a:noFill/>
                  </pic:spPr>
                </pic:pic>
              </a:graphicData>
            </a:graphic>
          </wp:inline>
        </w:drawing>
      </w:r>
    </w:p>
    <w:p w14:paraId="6087B6E1" w14:textId="53ABEC73" w:rsidR="006D6568" w:rsidRPr="00E8286B" w:rsidRDefault="006D6568" w:rsidP="006D6568">
      <w:pPr>
        <w:pStyle w:val="Heading2"/>
      </w:pPr>
      <w:r w:rsidRPr="00E8286B">
        <w:t xml:space="preserve">Review </w:t>
      </w:r>
      <w:proofErr w:type="gramStart"/>
      <w:r w:rsidR="0062508D">
        <w:t>q</w:t>
      </w:r>
      <w:r w:rsidRPr="00E8286B">
        <w:t>uestions</w:t>
      </w:r>
      <w:proofErr w:type="gramEnd"/>
    </w:p>
    <w:p w14:paraId="620F8318" w14:textId="00E31233" w:rsidR="006D6568" w:rsidRDefault="006D6568" w:rsidP="00872A9C">
      <w:pPr>
        <w:pStyle w:val="BodyText"/>
      </w:pPr>
      <w:r>
        <w:t>The</w:t>
      </w:r>
      <w:r w:rsidR="00CB0352">
        <w:t xml:space="preserve"> Review was guided by </w:t>
      </w:r>
      <w:r w:rsidR="00C032C9">
        <w:t xml:space="preserve">a Review </w:t>
      </w:r>
      <w:r w:rsidR="007F3FFE">
        <w:t>F</w:t>
      </w:r>
      <w:r w:rsidR="00C032C9">
        <w:t xml:space="preserve">ramework that included </w:t>
      </w:r>
      <w:r w:rsidR="00CB0352">
        <w:t xml:space="preserve">nine </w:t>
      </w:r>
      <w:r>
        <w:t xml:space="preserve">Topic Areas and </w:t>
      </w:r>
      <w:r w:rsidR="00CB0352">
        <w:t xml:space="preserve">30 </w:t>
      </w:r>
      <w:r w:rsidR="006F349A">
        <w:t xml:space="preserve">Review </w:t>
      </w:r>
      <w:r>
        <w:t>Q</w:t>
      </w:r>
      <w:r w:rsidRPr="00793506">
        <w:t>uestions</w:t>
      </w:r>
      <w:r w:rsidR="003307C9">
        <w:t xml:space="preserve"> (</w:t>
      </w:r>
      <w:r w:rsidR="006F349A">
        <w:fldChar w:fldCharType="begin"/>
      </w:r>
      <w:r w:rsidR="006F349A">
        <w:instrText xml:space="preserve"> REF _Ref157586773 \n \h </w:instrText>
      </w:r>
      <w:r w:rsidR="006F349A">
        <w:fldChar w:fldCharType="separate"/>
      </w:r>
      <w:r w:rsidR="00FE1418">
        <w:t>Appendix B</w:t>
      </w:r>
      <w:r w:rsidR="006F349A">
        <w:fldChar w:fldCharType="end"/>
      </w:r>
      <w:r w:rsidR="003307C9">
        <w:t>)</w:t>
      </w:r>
      <w:r>
        <w:t xml:space="preserve">. The </w:t>
      </w:r>
      <w:r w:rsidR="00C032C9">
        <w:t xml:space="preserve">Framework </w:t>
      </w:r>
      <w:r w:rsidRPr="00084672">
        <w:t>guide</w:t>
      </w:r>
      <w:r>
        <w:t>d</w:t>
      </w:r>
      <w:r w:rsidRPr="00084672">
        <w:t xml:space="preserve"> data collection, a</w:t>
      </w:r>
      <w:r>
        <w:t>ssisted</w:t>
      </w:r>
      <w:r w:rsidRPr="00084672">
        <w:t xml:space="preserve"> in identifying relevant literature and </w:t>
      </w:r>
      <w:r>
        <w:t>informed the targeting of stakeholder consultations</w:t>
      </w:r>
      <w:r w:rsidRPr="00084672">
        <w:t>.</w:t>
      </w:r>
    </w:p>
    <w:p w14:paraId="479784CB" w14:textId="77777777" w:rsidR="00BB113F" w:rsidRDefault="00BB113F" w:rsidP="00BB113F">
      <w:pPr>
        <w:pStyle w:val="Heading2"/>
      </w:pPr>
      <w:r>
        <w:t>Purpose of the document</w:t>
      </w:r>
    </w:p>
    <w:p w14:paraId="02A48CDD" w14:textId="780BCEF4" w:rsidR="00555A11" w:rsidRDefault="006D53CF" w:rsidP="00555A11">
      <w:pPr>
        <w:pStyle w:val="BodyText"/>
      </w:pPr>
      <w:r w:rsidRPr="006D53CF">
        <w:t xml:space="preserve">This draft final report provides an overview of the key learnings and findings identified through the </w:t>
      </w:r>
      <w:r>
        <w:t>Review</w:t>
      </w:r>
      <w:r w:rsidRPr="006D53CF">
        <w:t xml:space="preserve"> process. The structure of this report is</w:t>
      </w:r>
      <w:r>
        <w:t xml:space="preserve"> as follows:</w:t>
      </w:r>
    </w:p>
    <w:p w14:paraId="014B2542" w14:textId="27EA180A" w:rsidR="006D53CF" w:rsidRPr="00A969C1" w:rsidRDefault="006D53CF" w:rsidP="00A969C1">
      <w:pPr>
        <w:pStyle w:val="ListBullet"/>
      </w:pPr>
      <w:r w:rsidRPr="008157CA">
        <w:rPr>
          <w:b/>
          <w:bCs/>
          <w:color w:val="3B0083" w:themeColor="accent1"/>
        </w:rPr>
        <w:t xml:space="preserve">Chapter </w:t>
      </w:r>
      <w:r w:rsidR="002B285C" w:rsidRPr="008157CA">
        <w:rPr>
          <w:b/>
          <w:bCs/>
          <w:color w:val="3B0083" w:themeColor="accent1"/>
        </w:rPr>
        <w:t>2</w:t>
      </w:r>
      <w:r w:rsidR="00174A0A" w:rsidRPr="008157CA">
        <w:rPr>
          <w:color w:val="3B0083" w:themeColor="accent1"/>
        </w:rPr>
        <w:t xml:space="preserve"> </w:t>
      </w:r>
      <w:r w:rsidR="00174A0A" w:rsidRPr="00A969C1">
        <w:t>an overview of the Scheme</w:t>
      </w:r>
      <w:r w:rsidR="00614E7A" w:rsidRPr="00A969C1">
        <w:t xml:space="preserve"> and characteristics of ostomates accessing it.</w:t>
      </w:r>
    </w:p>
    <w:p w14:paraId="7E5346BD" w14:textId="49B1C94F" w:rsidR="006D53CF" w:rsidRPr="00A969C1" w:rsidRDefault="006D53CF" w:rsidP="00A969C1">
      <w:pPr>
        <w:pStyle w:val="ListBullet"/>
      </w:pPr>
      <w:r w:rsidRPr="008157CA">
        <w:rPr>
          <w:b/>
          <w:bCs/>
          <w:color w:val="3B0083" w:themeColor="accent1"/>
        </w:rPr>
        <w:t xml:space="preserve">Chapter </w:t>
      </w:r>
      <w:r w:rsidR="002B285C" w:rsidRPr="008157CA">
        <w:rPr>
          <w:b/>
          <w:bCs/>
          <w:color w:val="3B0083" w:themeColor="accent1"/>
        </w:rPr>
        <w:t>3</w:t>
      </w:r>
      <w:r w:rsidRPr="008157CA">
        <w:rPr>
          <w:b/>
          <w:bCs/>
          <w:color w:val="3B0083" w:themeColor="accent1"/>
        </w:rPr>
        <w:t>:</w:t>
      </w:r>
      <w:r w:rsidR="00616DBD" w:rsidRPr="008157CA">
        <w:rPr>
          <w:color w:val="3B0083" w:themeColor="accent1"/>
        </w:rPr>
        <w:t xml:space="preserve"> </w:t>
      </w:r>
      <w:r w:rsidR="00616DBD" w:rsidRPr="00A969C1">
        <w:t>a summary of the key clinical eligibility themes and feedback.</w:t>
      </w:r>
    </w:p>
    <w:p w14:paraId="5C6C12AE" w14:textId="35545CDA" w:rsidR="006D53CF" w:rsidRPr="00A969C1" w:rsidRDefault="006D53CF" w:rsidP="00A969C1">
      <w:pPr>
        <w:pStyle w:val="ListBullet"/>
      </w:pPr>
      <w:r w:rsidRPr="008157CA">
        <w:rPr>
          <w:b/>
          <w:bCs/>
          <w:color w:val="3B0083" w:themeColor="accent1"/>
        </w:rPr>
        <w:t xml:space="preserve">Chapter </w:t>
      </w:r>
      <w:r w:rsidR="002B285C" w:rsidRPr="008157CA">
        <w:rPr>
          <w:b/>
          <w:bCs/>
          <w:color w:val="3B0083" w:themeColor="accent1"/>
        </w:rPr>
        <w:t>4</w:t>
      </w:r>
      <w:r w:rsidRPr="008157CA">
        <w:rPr>
          <w:b/>
          <w:bCs/>
          <w:color w:val="3B0083" w:themeColor="accent1"/>
        </w:rPr>
        <w:t>:</w:t>
      </w:r>
      <w:r w:rsidR="00EE2299" w:rsidRPr="00A969C1">
        <w:t xml:space="preserve"> findings related to the accessibility of the Scheme for marginalised groups.</w:t>
      </w:r>
    </w:p>
    <w:p w14:paraId="62994BDF" w14:textId="0835AFAB" w:rsidR="006D53CF" w:rsidRPr="00A969C1" w:rsidRDefault="006D53CF" w:rsidP="00A969C1">
      <w:pPr>
        <w:pStyle w:val="ListBullet"/>
      </w:pPr>
      <w:r w:rsidRPr="008157CA">
        <w:rPr>
          <w:b/>
          <w:bCs/>
          <w:color w:val="3B0083" w:themeColor="accent1"/>
        </w:rPr>
        <w:t xml:space="preserve">Chapter </w:t>
      </w:r>
      <w:r w:rsidR="002B285C" w:rsidRPr="008157CA">
        <w:rPr>
          <w:b/>
          <w:bCs/>
          <w:color w:val="3B0083" w:themeColor="accent1"/>
        </w:rPr>
        <w:t>5</w:t>
      </w:r>
      <w:r w:rsidRPr="008157CA">
        <w:rPr>
          <w:b/>
          <w:bCs/>
          <w:color w:val="3B0083" w:themeColor="accent1"/>
        </w:rPr>
        <w:t>:</w:t>
      </w:r>
      <w:r w:rsidR="00EE2299" w:rsidRPr="008157CA">
        <w:rPr>
          <w:color w:val="3B0083" w:themeColor="accent1"/>
        </w:rPr>
        <w:t xml:space="preserve"> </w:t>
      </w:r>
      <w:r w:rsidR="001030E7" w:rsidRPr="00A969C1">
        <w:t>an overview of the products available on the Schedule, and details issues and feedback which arose throughout the Review</w:t>
      </w:r>
      <w:r w:rsidR="00BF2253" w:rsidRPr="00A969C1">
        <w:t>.</w:t>
      </w:r>
    </w:p>
    <w:p w14:paraId="68B1A71E" w14:textId="5AA8F646" w:rsidR="006D53CF" w:rsidRPr="00A969C1" w:rsidRDefault="006D53CF" w:rsidP="00A969C1">
      <w:pPr>
        <w:pStyle w:val="ListBullet"/>
      </w:pPr>
      <w:r w:rsidRPr="008157CA">
        <w:rPr>
          <w:b/>
          <w:bCs/>
          <w:color w:val="3B0083" w:themeColor="accent1"/>
        </w:rPr>
        <w:t xml:space="preserve">Chapter </w:t>
      </w:r>
      <w:r w:rsidR="002B285C" w:rsidRPr="008157CA">
        <w:rPr>
          <w:b/>
          <w:bCs/>
          <w:color w:val="3B0083" w:themeColor="accent1"/>
        </w:rPr>
        <w:t>6</w:t>
      </w:r>
      <w:r w:rsidRPr="008157CA">
        <w:rPr>
          <w:b/>
          <w:bCs/>
          <w:color w:val="3B0083" w:themeColor="accent1"/>
        </w:rPr>
        <w:t>:</w:t>
      </w:r>
      <w:r w:rsidR="00520951" w:rsidRPr="008157CA">
        <w:rPr>
          <w:color w:val="3B0083" w:themeColor="accent1"/>
        </w:rPr>
        <w:t xml:space="preserve"> </w:t>
      </w:r>
      <w:r w:rsidR="00520951" w:rsidRPr="00A969C1">
        <w:t>an overview of the current pricing methodology, and key considerations for alternative approaches and their feasibility</w:t>
      </w:r>
      <w:r w:rsidR="00023847" w:rsidRPr="00A969C1">
        <w:t>.</w:t>
      </w:r>
    </w:p>
    <w:p w14:paraId="7D048503" w14:textId="6E16EE9A" w:rsidR="006D53CF" w:rsidRPr="00A969C1" w:rsidRDefault="006D53CF" w:rsidP="00A969C1">
      <w:pPr>
        <w:pStyle w:val="ListBullet"/>
      </w:pPr>
      <w:r w:rsidRPr="008157CA">
        <w:rPr>
          <w:b/>
          <w:bCs/>
          <w:color w:val="3B0083" w:themeColor="accent1"/>
        </w:rPr>
        <w:t xml:space="preserve">Chapter </w:t>
      </w:r>
      <w:r w:rsidR="002B285C" w:rsidRPr="008157CA">
        <w:rPr>
          <w:b/>
          <w:bCs/>
          <w:color w:val="3B0083" w:themeColor="accent1"/>
        </w:rPr>
        <w:t>7</w:t>
      </w:r>
      <w:r w:rsidRPr="008157CA">
        <w:rPr>
          <w:b/>
          <w:bCs/>
          <w:color w:val="3B0083" w:themeColor="accent1"/>
        </w:rPr>
        <w:t>:</w:t>
      </w:r>
      <w:r w:rsidR="006422E3" w:rsidRPr="008157CA">
        <w:rPr>
          <w:color w:val="3B0083" w:themeColor="accent1"/>
        </w:rPr>
        <w:t xml:space="preserve"> </w:t>
      </w:r>
      <w:r w:rsidR="006422E3" w:rsidRPr="00A969C1">
        <w:t>an assessment of the budgetary implications associated with the proposed changes to the Scheme.</w:t>
      </w:r>
    </w:p>
    <w:p w14:paraId="270CA275" w14:textId="3E674D62" w:rsidR="006D53CF" w:rsidRPr="00A969C1" w:rsidRDefault="006D53CF" w:rsidP="00A969C1">
      <w:pPr>
        <w:pStyle w:val="ListBullet"/>
      </w:pPr>
      <w:r w:rsidRPr="008157CA">
        <w:rPr>
          <w:b/>
          <w:bCs/>
          <w:color w:val="3B0083" w:themeColor="accent1"/>
        </w:rPr>
        <w:t xml:space="preserve">Chapter </w:t>
      </w:r>
      <w:r w:rsidR="002B285C" w:rsidRPr="008157CA">
        <w:rPr>
          <w:b/>
          <w:bCs/>
          <w:color w:val="3B0083" w:themeColor="accent1"/>
        </w:rPr>
        <w:t>8</w:t>
      </w:r>
      <w:r w:rsidRPr="008157CA">
        <w:rPr>
          <w:b/>
          <w:bCs/>
          <w:color w:val="3B0083" w:themeColor="accent1"/>
        </w:rPr>
        <w:t>:</w:t>
      </w:r>
      <w:r w:rsidR="00656503" w:rsidRPr="008157CA">
        <w:rPr>
          <w:color w:val="3B0083" w:themeColor="accent1"/>
        </w:rPr>
        <w:t xml:space="preserve"> </w:t>
      </w:r>
      <w:r w:rsidR="00656503" w:rsidRPr="00A969C1">
        <w:t>provides the key recommendations to emerge from the Review.</w:t>
      </w:r>
    </w:p>
    <w:p w14:paraId="3CEC1512" w14:textId="267EFE3D" w:rsidR="00893998" w:rsidRDefault="00893998" w:rsidP="00893998">
      <w:pPr>
        <w:pStyle w:val="Heading1"/>
      </w:pPr>
      <w:bookmarkStart w:id="10" w:name="_Toc156898585"/>
      <w:bookmarkStart w:id="11" w:name="_Toc161743089"/>
      <w:bookmarkStart w:id="12" w:name="_Ref143806982"/>
      <w:bookmarkStart w:id="13" w:name="_Ref143806975"/>
      <w:r>
        <w:lastRenderedPageBreak/>
        <w:t>Scheme Overview</w:t>
      </w:r>
      <w:bookmarkEnd w:id="10"/>
      <w:bookmarkEnd w:id="11"/>
    </w:p>
    <w:p w14:paraId="47F12117" w14:textId="1EFCAF94" w:rsidR="00893998" w:rsidRDefault="00893998" w:rsidP="00893998">
      <w:r>
        <w:t>This Chapter provides a high-level overview of the Scheme and how it supports individuals with stomas in Australia. It details the structure and components of the Scheme, outlining its key processes as well as the key characteristics and the types of stomas which people have accessing the Scheme.</w:t>
      </w:r>
    </w:p>
    <w:p w14:paraId="088F4920" w14:textId="77777777" w:rsidR="00893998" w:rsidRDefault="00893998" w:rsidP="00893998">
      <w:pPr>
        <w:pStyle w:val="Heading2"/>
      </w:pPr>
      <w:r>
        <w:t>Overview</w:t>
      </w:r>
    </w:p>
    <w:p w14:paraId="3CE433D6" w14:textId="1AD6AE61" w:rsidR="00893998" w:rsidRDefault="000A5AB6" w:rsidP="00893998">
      <w:r>
        <w:fldChar w:fldCharType="begin"/>
      </w:r>
      <w:r>
        <w:instrText xml:space="preserve"> REF _Ref157091460 \h </w:instrText>
      </w:r>
      <w:r>
        <w:fldChar w:fldCharType="separate"/>
      </w:r>
      <w:r w:rsidR="00FE1418">
        <w:t xml:space="preserve">Figure </w:t>
      </w:r>
      <w:r w:rsidR="00FE1418">
        <w:rPr>
          <w:noProof/>
        </w:rPr>
        <w:t>3</w:t>
      </w:r>
      <w:r>
        <w:fldChar w:fldCharType="end"/>
      </w:r>
      <w:r>
        <w:t xml:space="preserve"> </w:t>
      </w:r>
      <w:r w:rsidR="00893998">
        <w:t xml:space="preserve">provides </w:t>
      </w:r>
      <w:r w:rsidR="00893998" w:rsidRPr="00EA262F">
        <w:t>a</w:t>
      </w:r>
      <w:r w:rsidR="00893998" w:rsidRPr="00240BFB">
        <w:t xml:space="preserve"> visual representation of the Scheme</w:t>
      </w:r>
      <w:r w:rsidR="00893998">
        <w:t xml:space="preserve"> and its various components.</w:t>
      </w:r>
      <w:bookmarkEnd w:id="12"/>
      <w:bookmarkEnd w:id="13"/>
      <w:r w:rsidR="00893998" w:rsidRPr="00AF5C81">
        <w:rPr>
          <w:noProof/>
          <w:color w:val="0D0D0D" w:themeColor="text1" w:themeTint="F2"/>
          <w:sz w:val="21"/>
        </w:rPr>
        <mc:AlternateContent>
          <mc:Choice Requires="wps">
            <w:drawing>
              <wp:anchor distT="0" distB="0" distL="114300" distR="114300" simplePos="0" relativeHeight="251658243" behindDoc="0" locked="0" layoutInCell="1" allowOverlap="1" wp14:anchorId="757BB492" wp14:editId="4E59E290">
                <wp:simplePos x="0" y="0"/>
                <wp:positionH relativeFrom="column">
                  <wp:posOffset>4773930</wp:posOffset>
                </wp:positionH>
                <wp:positionV relativeFrom="paragraph">
                  <wp:posOffset>11257280</wp:posOffset>
                </wp:positionV>
                <wp:extent cx="1927092" cy="1603701"/>
                <wp:effectExtent l="0" t="0" r="0" b="0"/>
                <wp:wrapNone/>
                <wp:docPr id="86" name="Rectangle 86">
                  <a:extLst xmlns:a="http://schemas.openxmlformats.org/drawingml/2006/main">
                    <a:ext uri="{FF2B5EF4-FFF2-40B4-BE49-F238E27FC236}">
                      <a16:creationId xmlns:a16="http://schemas.microsoft.com/office/drawing/2014/main" id="{FC6CA250-4BE0-57AB-C281-D9C1C5E818D4}"/>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27092" cy="1603701"/>
                        </a:xfrm>
                        <a:prstGeom prst="rect">
                          <a:avLst/>
                        </a:prstGeom>
                        <a:solidFill>
                          <a:srgbClr val="BEC2E8"/>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16B682C" id="Rectangle 86" o:spid="_x0000_s1026" alt="&quot;&quot;" style="position:absolute;margin-left:375.9pt;margin-top:886.4pt;width:151.75pt;height:126.3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" fillcolor="#bec2e8" stroked="f" strokeweight="1pt"/>
            </w:pict>
          </mc:Fallback>
        </mc:AlternateContent>
      </w:r>
      <w:r w:rsidR="00893998" w:rsidRPr="00AF5C81">
        <w:rPr>
          <w:noProof/>
          <w:color w:val="0D0D0D" w:themeColor="text1" w:themeTint="F2"/>
          <w:sz w:val="21"/>
        </w:rPr>
        <mc:AlternateContent>
          <mc:Choice Requires="wps">
            <w:drawing>
              <wp:anchor distT="0" distB="0" distL="114300" distR="114300" simplePos="0" relativeHeight="251658244" behindDoc="0" locked="0" layoutInCell="1" allowOverlap="1" wp14:anchorId="018E1450" wp14:editId="69558A19">
                <wp:simplePos x="0" y="0"/>
                <wp:positionH relativeFrom="column">
                  <wp:posOffset>4771390</wp:posOffset>
                </wp:positionH>
                <wp:positionV relativeFrom="paragraph">
                  <wp:posOffset>11257280</wp:posOffset>
                </wp:positionV>
                <wp:extent cx="1689682" cy="1239952"/>
                <wp:effectExtent l="0" t="0" r="6350" b="0"/>
                <wp:wrapNone/>
                <wp:docPr id="87" name="Rectangle 87">
                  <a:extLst xmlns:a="http://schemas.openxmlformats.org/drawingml/2006/main">
                    <a:ext uri="{FF2B5EF4-FFF2-40B4-BE49-F238E27FC236}">
                      <a16:creationId xmlns:a16="http://schemas.microsoft.com/office/drawing/2014/main" id="{6454D267-F4CF-C7E2-62ED-6CF244710B18}"/>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89682" cy="1239952"/>
                        </a:xfrm>
                        <a:prstGeom prst="rect">
                          <a:avLst/>
                        </a:prstGeom>
                        <a:solidFill>
                          <a:srgbClr val="8B92D5"/>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7DFD0A68" id="Rectangle 87" o:spid="_x0000_s1026" alt="&quot;&quot;" style="position:absolute;margin-left:375.7pt;margin-top:886.4pt;width:133.05pt;height:97.6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" fillcolor="#8b92d5" stroked="f" strokeweight="1pt"/>
            </w:pict>
          </mc:Fallback>
        </mc:AlternateContent>
      </w:r>
      <w:r w:rsidR="00893998" w:rsidRPr="00AF5C81">
        <w:rPr>
          <w:noProof/>
          <w:color w:val="0D0D0D" w:themeColor="text1" w:themeTint="F2"/>
          <w:sz w:val="21"/>
        </w:rPr>
        <mc:AlternateContent>
          <mc:Choice Requires="wps">
            <w:drawing>
              <wp:inline distT="0" distB="0" distL="0" distR="0" wp14:anchorId="25F2CAA9" wp14:editId="153D7BC9">
                <wp:extent cx="1317544" cy="199865"/>
                <wp:effectExtent l="0" t="0" r="0" b="0"/>
                <wp:docPr id="88" name="Text Box 88">
                  <a:extLst xmlns:a="http://schemas.openxmlformats.org/drawingml/2006/main">
                    <a:ext uri="{FF2B5EF4-FFF2-40B4-BE49-F238E27FC236}">
                      <a16:creationId xmlns:a16="http://schemas.microsoft.com/office/drawing/2014/main" id="{05F68271-B2B9-F7AE-86ED-49E04C5EC0FD}"/>
                    </a:ext>
                  </a:extLst>
                </wp:docPr>
                <wp:cNvGraphicFramePr/>
                <a:graphic xmlns:a="http://schemas.openxmlformats.org/drawingml/2006/main">
                  <a:graphicData uri="http://schemas.microsoft.com/office/word/2010/wordprocessingShape">
                    <wps:wsp>
                      <wps:cNvSpPr txBox="1"/>
                      <wps:spPr>
                        <a:xfrm>
                          <a:off x="0" y="0"/>
                          <a:ext cx="1317544" cy="199865"/>
                        </a:xfrm>
                        <a:prstGeom prst="rect">
                          <a:avLst/>
                        </a:prstGeom>
                        <a:noFill/>
                      </wps:spPr>
                      <wps:txbx>
                        <w:txbxContent>
                          <w:p w14:paraId="7165F789" w14:textId="77777777" w:rsidR="00893998" w:rsidRDefault="00893998" w:rsidP="00893998">
                            <w:pPr>
                              <w:rPr>
                                <w:rFonts w:hAnsi="Arial"/>
                                <w:b/>
                                <w:kern w:val="24"/>
                                <w:sz w:val="16"/>
                                <w:szCs w:val="16"/>
                              </w:rPr>
                            </w:pPr>
                            <w:r>
                              <w:rPr>
                                <w:rFonts w:hAnsi="Arial"/>
                                <w:b/>
                                <w:kern w:val="24"/>
                                <w:sz w:val="16"/>
                                <w:szCs w:val="16"/>
                              </w:rPr>
                              <w:t>Stoma Appliances</w:t>
                            </w:r>
                          </w:p>
                        </w:txbxContent>
                      </wps:txbx>
                      <wps:bodyPr wrap="square">
                        <a:spAutoFit/>
                      </wps:bodyPr>
                    </wps:wsp>
                  </a:graphicData>
                </a:graphic>
              </wp:inline>
            </w:drawing>
          </mc:Choice>
          <mc:Fallback>
            <w:pict>
              <v:shapetype w14:anchorId="25F2CAA9" id="_x0000_t202" coordsize="21600,21600" o:spt="202" path="m,l,21600r21600,l21600,xe">
                <v:stroke joinstyle="miter"/>
                <v:path gradientshapeok="t" o:connecttype="rect"/>
              </v:shapetype>
              <v:shape id="Text Box 88" o:spid="_x0000_s1028" type="#_x0000_t202" style="width:103.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" filled="f" stroked="f">
                <v:textbox style="mso-fit-shape-to-text:t">
                  <w:txbxContent>
                    <w:p w14:paraId="7165F789" w14:textId="77777777" w:rsidR="00893998" w:rsidRDefault="00893998" w:rsidP="00893998">
                      <w:pPr>
                        <w:rPr>
                          <w:rFonts w:hAnsi="Arial"/>
                          <w:b/>
                          <w:kern w:val="24"/>
                          <w:sz w:val="16"/>
                          <w:szCs w:val="16"/>
                        </w:rPr>
                      </w:pPr>
                      <w:r>
                        <w:rPr>
                          <w:rFonts w:hAnsi="Arial"/>
                          <w:b/>
                          <w:kern w:val="24"/>
                          <w:sz w:val="16"/>
                          <w:szCs w:val="16"/>
                        </w:rPr>
                        <w:t>Stoma Appliances</w:t>
                      </w:r>
                    </w:p>
                  </w:txbxContent>
                </v:textbox>
                <w10:anchorlock/>
              </v:shape>
            </w:pict>
          </mc:Fallback>
        </mc:AlternateContent>
      </w:r>
      <w:r w:rsidR="00893998" w:rsidRPr="00AF5C81">
        <w:rPr>
          <w:noProof/>
          <w:color w:val="0D0D0D" w:themeColor="text1" w:themeTint="F2"/>
          <w:sz w:val="21"/>
        </w:rPr>
        <mc:AlternateContent>
          <mc:Choice Requires="wps">
            <w:drawing>
              <wp:inline distT="0" distB="0" distL="0" distR="0" wp14:anchorId="634803C3" wp14:editId="2B05B5C7">
                <wp:extent cx="1879548" cy="199865"/>
                <wp:effectExtent l="0" t="0" r="0" b="0"/>
                <wp:docPr id="89" name="Text Box 89">
                  <a:extLst xmlns:a="http://schemas.openxmlformats.org/drawingml/2006/main">
                    <a:ext uri="{FF2B5EF4-FFF2-40B4-BE49-F238E27FC236}">
                      <a16:creationId xmlns:a16="http://schemas.microsoft.com/office/drawing/2014/main" id="{808ECDC9-CC4A-8CE0-DCC0-74E34A64EC96}"/>
                    </a:ext>
                  </a:extLst>
                </wp:docPr>
                <wp:cNvGraphicFramePr/>
                <a:graphic xmlns:a="http://schemas.openxmlformats.org/drawingml/2006/main">
                  <a:graphicData uri="http://schemas.microsoft.com/office/word/2010/wordprocessingShape">
                    <wps:wsp>
                      <wps:cNvSpPr txBox="1"/>
                      <wps:spPr>
                        <a:xfrm>
                          <a:off x="0" y="0"/>
                          <a:ext cx="1879548" cy="199865"/>
                        </a:xfrm>
                        <a:prstGeom prst="rect">
                          <a:avLst/>
                        </a:prstGeom>
                        <a:noFill/>
                      </wps:spPr>
                      <wps:txbx>
                        <w:txbxContent>
                          <w:p w14:paraId="0A97936A" w14:textId="77777777" w:rsidR="00893998" w:rsidRDefault="00893998" w:rsidP="00893998">
                            <w:pPr>
                              <w:rPr>
                                <w:rFonts w:hAnsi="Arial"/>
                                <w:b/>
                                <w:kern w:val="24"/>
                                <w:sz w:val="16"/>
                                <w:szCs w:val="16"/>
                              </w:rPr>
                            </w:pPr>
                            <w:r>
                              <w:rPr>
                                <w:rFonts w:hAnsi="Arial"/>
                                <w:b/>
                                <w:kern w:val="24"/>
                                <w:sz w:val="16"/>
                                <w:szCs w:val="16"/>
                              </w:rPr>
                              <w:t>Eligible Stoma Appliances</w:t>
                            </w:r>
                          </w:p>
                        </w:txbxContent>
                      </wps:txbx>
                      <wps:bodyPr wrap="square">
                        <a:spAutoFit/>
                      </wps:bodyPr>
                    </wps:wsp>
                  </a:graphicData>
                </a:graphic>
              </wp:inline>
            </w:drawing>
          </mc:Choice>
          <mc:Fallback>
            <w:pict>
              <v:shape w14:anchorId="634803C3" id="Text Box 89" o:spid="_x0000_s1029" type="#_x0000_t202" style="width:148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" filled="f" stroked="f">
                <v:textbox style="mso-fit-shape-to-text:t">
                  <w:txbxContent>
                    <w:p w14:paraId="0A97936A" w14:textId="77777777" w:rsidR="00893998" w:rsidRDefault="00893998" w:rsidP="00893998">
                      <w:pPr>
                        <w:rPr>
                          <w:rFonts w:hAnsi="Arial"/>
                          <w:b/>
                          <w:kern w:val="24"/>
                          <w:sz w:val="16"/>
                          <w:szCs w:val="16"/>
                        </w:rPr>
                      </w:pPr>
                      <w:r>
                        <w:rPr>
                          <w:rFonts w:hAnsi="Arial"/>
                          <w:b/>
                          <w:kern w:val="24"/>
                          <w:sz w:val="16"/>
                          <w:szCs w:val="16"/>
                        </w:rPr>
                        <w:t>Eligible Stoma Appliances</w:t>
                      </w:r>
                    </w:p>
                  </w:txbxContent>
                </v:textbox>
                <w10:anchorlock/>
              </v:shape>
            </w:pict>
          </mc:Fallback>
        </mc:AlternateContent>
      </w:r>
      <w:r w:rsidR="00893998" w:rsidRPr="00AF5C81">
        <w:rPr>
          <w:noProof/>
          <w:color w:val="0D0D0D" w:themeColor="text1" w:themeTint="F2"/>
          <w:sz w:val="21"/>
        </w:rPr>
        <mc:AlternateContent>
          <mc:Choice Requires="wps">
            <w:drawing>
              <wp:inline distT="0" distB="0" distL="0" distR="0" wp14:anchorId="1338C5BF" wp14:editId="533A3C71">
                <wp:extent cx="1188418" cy="1604001"/>
                <wp:effectExtent l="0" t="0" r="12065" b="15875"/>
                <wp:docPr id="92" name="Rectangle 92">
                  <a:extLst xmlns:a="http://schemas.openxmlformats.org/drawingml/2006/main">
                    <a:ext uri="{FF2B5EF4-FFF2-40B4-BE49-F238E27FC236}">
                      <a16:creationId xmlns:a16="http://schemas.microsoft.com/office/drawing/2014/main" id="{BD1C7078-D249-436D-F08A-6FE161A1D839}"/>
                    </a:ext>
                  </a:extLst>
                </wp:docPr>
                <wp:cNvGraphicFramePr/>
                <a:graphic xmlns:a="http://schemas.openxmlformats.org/drawingml/2006/main">
                  <a:graphicData uri="http://schemas.microsoft.com/office/word/2010/wordprocessingShape">
                    <wps:wsp>
                      <wps:cNvSpPr/>
                      <wps:spPr>
                        <a:xfrm>
                          <a:off x="0" y="0"/>
                          <a:ext cx="1188418" cy="1604001"/>
                        </a:xfrm>
                        <a:prstGeom prst="rect">
                          <a:avLst/>
                        </a:prstGeom>
                        <a:solidFill>
                          <a:schemeClr val="accent2"/>
                        </a:solidFill>
                        <a:ln w="12700">
                          <a:solidFill>
                            <a:srgbClr val="5651BB"/>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78AA04" w14:textId="77777777" w:rsidR="00893998" w:rsidRDefault="00893998" w:rsidP="00893998">
                            <w:pPr>
                              <w:jc w:val="center"/>
                              <w:rPr>
                                <w:rFonts w:hAnsi="Arial"/>
                                <w:b/>
                                <w:kern w:val="24"/>
                                <w:sz w:val="16"/>
                                <w:szCs w:val="16"/>
                              </w:rPr>
                            </w:pPr>
                            <w:r>
                              <w:rPr>
                                <w:rFonts w:hAnsi="Arial"/>
                                <w:b/>
                                <w:kern w:val="24"/>
                                <w:sz w:val="16"/>
                                <w:szCs w:val="16"/>
                              </w:rPr>
                              <w:t>Stoma Appliance Manufacturers and Suppliers</w:t>
                            </w:r>
                          </w:p>
                        </w:txbxContent>
                      </wps:txbx>
                      <wps:bodyPr rtlCol="0" anchor="ctr"/>
                    </wps:wsp>
                  </a:graphicData>
                </a:graphic>
              </wp:inline>
            </w:drawing>
          </mc:Choice>
          <mc:Fallback>
            <w:pict>
              <v:rect w14:anchorId="1338C5BF" id="Rectangle 92" o:spid="_x0000_s1030" style="width:93.6pt;height:126.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" fillcolor="#c60c30 [3205]" strokecolor="#5651bb" strokeweight="1pt">
                <v:textbox>
                  <w:txbxContent>
                    <w:p w14:paraId="1778AA04" w14:textId="77777777" w:rsidR="00893998" w:rsidRDefault="00893998" w:rsidP="00893998">
                      <w:pPr>
                        <w:jc w:val="center"/>
                        <w:rPr>
                          <w:rFonts w:hAnsi="Arial"/>
                          <w:b/>
                          <w:kern w:val="24"/>
                          <w:sz w:val="16"/>
                          <w:szCs w:val="16"/>
                        </w:rPr>
                      </w:pPr>
                      <w:r>
                        <w:rPr>
                          <w:rFonts w:hAnsi="Arial"/>
                          <w:b/>
                          <w:kern w:val="24"/>
                          <w:sz w:val="16"/>
                          <w:szCs w:val="16"/>
                        </w:rPr>
                        <w:t>Stoma Appliance Manufacturers and Suppliers</w:t>
                      </w:r>
                    </w:p>
                  </w:txbxContent>
                </v:textbox>
                <w10:anchorlock/>
              </v:rect>
            </w:pict>
          </mc:Fallback>
        </mc:AlternateContent>
      </w:r>
      <w:r w:rsidR="00893998" w:rsidRPr="00AF5C81">
        <w:rPr>
          <w:noProof/>
          <w:color w:val="0D0D0D" w:themeColor="text1" w:themeTint="F2"/>
          <w:sz w:val="21"/>
        </w:rPr>
        <mc:AlternateContent>
          <mc:Choice Requires="wps">
            <w:drawing>
              <wp:anchor distT="0" distB="0" distL="114300" distR="114300" simplePos="0" relativeHeight="251658248" behindDoc="0" locked="0" layoutInCell="1" allowOverlap="1" wp14:anchorId="1A8B027D" wp14:editId="119FCE7B">
                <wp:simplePos x="0" y="0"/>
                <wp:positionH relativeFrom="column">
                  <wp:posOffset>4345940</wp:posOffset>
                </wp:positionH>
                <wp:positionV relativeFrom="paragraph">
                  <wp:posOffset>12881610</wp:posOffset>
                </wp:positionV>
                <wp:extent cx="209125" cy="0"/>
                <wp:effectExtent l="0" t="76200" r="19685" b="95250"/>
                <wp:wrapNone/>
                <wp:docPr id="93" name="Straight Arrow Connector 93">
                  <a:extLst xmlns:a="http://schemas.openxmlformats.org/drawingml/2006/main">
                    <a:ext uri="{FF2B5EF4-FFF2-40B4-BE49-F238E27FC236}">
                      <a16:creationId xmlns:a16="http://schemas.microsoft.com/office/drawing/2014/main" id="{910611F0-C050-B80C-F84B-4A4A02DC7910}"/>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1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BFB3B0" id="_x0000_t32" coordsize="21600,21600" o:spt="32" o:oned="t" path="m,l21600,21600e" filled="f">
                <v:path arrowok="t" fillok="f" o:connecttype="none"/>
                <o:lock v:ext="edit" shapetype="t"/>
              </v:shapetype>
              <v:shape id="Straight Arrow Connector 93" o:spid="_x0000_s1026" type="#_x0000_t32" alt="&quot;&quot;" style="position:absolute;margin-left:342.2pt;margin-top:1014.3pt;width:16.45pt;height:0;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" strokecolor="black [3213]" strokeweight=".5pt">
                <v:stroke endarrow="block" joinstyle="miter"/>
                <o:lock v:ext="edit" shapetype="f"/>
              </v:shape>
            </w:pict>
          </mc:Fallback>
        </mc:AlternateContent>
      </w:r>
      <w:r w:rsidR="00893998" w:rsidRPr="00AF5C81">
        <w:rPr>
          <w:noProof/>
          <w:color w:val="0D0D0D" w:themeColor="text1" w:themeTint="F2"/>
          <w:sz w:val="21"/>
        </w:rPr>
        <mc:AlternateContent>
          <mc:Choice Requires="wps">
            <w:drawing>
              <wp:inline distT="0" distB="0" distL="0" distR="0" wp14:anchorId="198BB019" wp14:editId="7FA3D33B">
                <wp:extent cx="3649524" cy="338554"/>
                <wp:effectExtent l="0" t="0" r="0" b="0"/>
                <wp:docPr id="94" name="Text Box 94">
                  <a:extLst xmlns:a="http://schemas.openxmlformats.org/drawingml/2006/main">
                    <a:ext uri="{FF2B5EF4-FFF2-40B4-BE49-F238E27FC236}">
                      <a16:creationId xmlns:a16="http://schemas.microsoft.com/office/drawing/2014/main" id="{870E80C2-F475-066A-6490-C3835D572629}"/>
                    </a:ext>
                  </a:extLst>
                </wp:docPr>
                <wp:cNvGraphicFramePr/>
                <a:graphic xmlns:a="http://schemas.openxmlformats.org/drawingml/2006/main">
                  <a:graphicData uri="http://schemas.microsoft.com/office/word/2010/wordprocessingShape">
                    <wps:wsp>
                      <wps:cNvSpPr txBox="1"/>
                      <wps:spPr>
                        <a:xfrm>
                          <a:off x="0" y="0"/>
                          <a:ext cx="3649524" cy="338554"/>
                        </a:xfrm>
                        <a:prstGeom prst="rect">
                          <a:avLst/>
                        </a:prstGeom>
                        <a:noFill/>
                      </wps:spPr>
                      <wps:txbx>
                        <w:txbxContent>
                          <w:p w14:paraId="43417E7A" w14:textId="77777777" w:rsidR="00893998" w:rsidRDefault="00893998" w:rsidP="00893998">
                            <w:pPr>
                              <w:jc w:val="right"/>
                              <w:rPr>
                                <w:rFonts w:hAnsi="Arial"/>
                                <w:color w:val="43318F"/>
                                <w:kern w:val="24"/>
                                <w:sz w:val="44"/>
                                <w:szCs w:val="44"/>
                              </w:rPr>
                            </w:pPr>
                            <w:r>
                              <w:rPr>
                                <w:rFonts w:hAnsi="Arial"/>
                                <w:color w:val="43318F"/>
                                <w:kern w:val="24"/>
                                <w:sz w:val="44"/>
                                <w:szCs w:val="44"/>
                              </w:rPr>
                              <w:t>PRODUCTS</w:t>
                            </w:r>
                          </w:p>
                        </w:txbxContent>
                      </wps:txbx>
                      <wps:bodyPr wrap="square" rtlCol="0">
                        <a:spAutoFit/>
                      </wps:bodyPr>
                    </wps:wsp>
                  </a:graphicData>
                </a:graphic>
              </wp:inline>
            </w:drawing>
          </mc:Choice>
          <mc:Fallback>
            <w:pict>
              <v:shape w14:anchorId="198BB019" id="Text Box 94" o:spid="_x0000_s1031" type="#_x0000_t202" style="width:287.35pt;height:2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" filled="f" stroked="f">
                <v:textbox style="mso-fit-shape-to-text:t">
                  <w:txbxContent>
                    <w:p w14:paraId="43417E7A" w14:textId="77777777" w:rsidR="00893998" w:rsidRDefault="00893998" w:rsidP="00893998">
                      <w:pPr>
                        <w:jc w:val="right"/>
                        <w:rPr>
                          <w:rFonts w:hAnsi="Arial"/>
                          <w:color w:val="43318F"/>
                          <w:kern w:val="24"/>
                          <w:sz w:val="44"/>
                          <w:szCs w:val="44"/>
                        </w:rPr>
                      </w:pPr>
                      <w:r>
                        <w:rPr>
                          <w:rFonts w:hAnsi="Arial"/>
                          <w:color w:val="43318F"/>
                          <w:kern w:val="24"/>
                          <w:sz w:val="44"/>
                          <w:szCs w:val="44"/>
                        </w:rPr>
                        <w:t>PRODUCTS</w:t>
                      </w:r>
                    </w:p>
                  </w:txbxContent>
                </v:textbox>
                <w10:anchorlock/>
              </v:shape>
            </w:pict>
          </mc:Fallback>
        </mc:AlternateContent>
      </w:r>
      <w:r w:rsidR="00893998" w:rsidRPr="00AF5C81">
        <w:rPr>
          <w:noProof/>
          <w:color w:val="0D0D0D" w:themeColor="text1" w:themeTint="F2"/>
          <w:sz w:val="21"/>
        </w:rPr>
        <mc:AlternateContent>
          <mc:Choice Requires="wps">
            <w:drawing>
              <wp:anchor distT="0" distB="0" distL="114300" distR="114300" simplePos="0" relativeHeight="251658250" behindDoc="0" locked="0" layoutInCell="1" allowOverlap="1" wp14:anchorId="64EEE837" wp14:editId="3AC0FFA7">
                <wp:simplePos x="0" y="0"/>
                <wp:positionH relativeFrom="column">
                  <wp:posOffset>5354320</wp:posOffset>
                </wp:positionH>
                <wp:positionV relativeFrom="paragraph">
                  <wp:posOffset>10843260</wp:posOffset>
                </wp:positionV>
                <wp:extent cx="0" cy="207100"/>
                <wp:effectExtent l="76200" t="38100" r="57150" b="21590"/>
                <wp:wrapNone/>
                <wp:docPr id="34" name="Straight Arrow Connector 34">
                  <a:extLst xmlns:a="http://schemas.openxmlformats.org/drawingml/2006/main">
                    <a:ext uri="{FF2B5EF4-FFF2-40B4-BE49-F238E27FC236}">
                      <a16:creationId xmlns:a16="http://schemas.microsoft.com/office/drawing/2014/main" id="{0D86C88C-95BC-B8A9-BD8B-9962A55E8995}"/>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07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B3C76F" id="Straight Arrow Connector 34" o:spid="_x0000_s1026" type="#_x0000_t32" alt="&quot;&quot;" style="position:absolute;margin-left:421.6pt;margin-top:853.8pt;width:0;height:16.3pt;flip:y;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" strokecolor="black [3213]" strokeweight=".5pt">
                <v:stroke endarrow="block" joinstyle="miter"/>
                <o:lock v:ext="edit" shapetype="f"/>
              </v:shape>
            </w:pict>
          </mc:Fallback>
        </mc:AlternateContent>
      </w:r>
    </w:p>
    <w:p w14:paraId="194B2A58" w14:textId="5D9F3A37" w:rsidR="00893998" w:rsidRDefault="00893998" w:rsidP="00893998">
      <w:pPr>
        <w:pStyle w:val="Caption"/>
      </w:pPr>
      <w:bookmarkStart w:id="14" w:name="_Ref157091460"/>
      <w:bookmarkStart w:id="15" w:name="_Ref157091455"/>
      <w:bookmarkStart w:id="16" w:name="_Toc161743127"/>
      <w:r>
        <w:lastRenderedPageBreak/>
        <w:t xml:space="preserve">Figure </w:t>
      </w:r>
      <w:r>
        <w:fldChar w:fldCharType="begin"/>
      </w:r>
      <w:r>
        <w:instrText xml:space="preserve"> SEQ Figure \* ARABIC </w:instrText>
      </w:r>
      <w:r>
        <w:fldChar w:fldCharType="separate"/>
      </w:r>
      <w:r w:rsidR="00FE1418">
        <w:rPr>
          <w:noProof/>
        </w:rPr>
        <w:t>3</w:t>
      </w:r>
      <w:r>
        <w:rPr>
          <w:noProof/>
        </w:rPr>
        <w:fldChar w:fldCharType="end"/>
      </w:r>
      <w:bookmarkEnd w:id="14"/>
      <w:r>
        <w:t xml:space="preserve">: Overview </w:t>
      </w:r>
      <w:r w:rsidRPr="009123CD">
        <w:t xml:space="preserve">of </w:t>
      </w:r>
      <w:r>
        <w:t xml:space="preserve">the </w:t>
      </w:r>
      <w:r w:rsidRPr="00057E4B">
        <w:t>Stoma Appliance Scheme</w:t>
      </w:r>
      <w:bookmarkEnd w:id="15"/>
      <w:bookmarkEnd w:id="16"/>
    </w:p>
    <w:p w14:paraId="1B126960" w14:textId="50BC0558" w:rsidR="00893998" w:rsidRDefault="00DE647D" w:rsidP="00DE647D">
      <w:pPr>
        <w:pStyle w:val="Caption"/>
      </w:pPr>
      <w:r>
        <w:rPr>
          <w:noProof/>
        </w:rPr>
        <w:t xml:space="preserve"> </w:t>
      </w:r>
      <w:r>
        <w:rPr>
          <w:noProof/>
        </w:rPr>
        <w:drawing>
          <wp:inline distT="0" distB="0" distL="0" distR="0" wp14:anchorId="0EA09597" wp14:editId="211F7274">
            <wp:extent cx="3836041" cy="5550877"/>
            <wp:effectExtent l="0" t="0" r="0" b="0"/>
            <wp:docPr id="1516015632" name="Picture 1" descr="Figure 3: Overview of the Stoma Appliance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015632" name="Picture 1" descr="Figure 3: Overview of the Stoma Appliance Schem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94521" cy="5635499"/>
                    </a:xfrm>
                    <a:prstGeom prst="rect">
                      <a:avLst/>
                    </a:prstGeom>
                    <a:noFill/>
                  </pic:spPr>
                </pic:pic>
              </a:graphicData>
            </a:graphic>
          </wp:inline>
        </w:drawing>
      </w:r>
    </w:p>
    <w:p w14:paraId="2C61573A" w14:textId="77777777" w:rsidR="00893998" w:rsidRPr="002557C9" w:rsidRDefault="00893998" w:rsidP="00893998">
      <w:pPr>
        <w:pStyle w:val="Source"/>
        <w:rPr>
          <w:color w:val="auto"/>
        </w:rPr>
      </w:pPr>
      <w:r w:rsidRPr="002557C9">
        <w:rPr>
          <w:color w:val="auto"/>
        </w:rPr>
        <w:t xml:space="preserve">Source: </w:t>
      </w:r>
      <w:proofErr w:type="spellStart"/>
      <w:r w:rsidRPr="002557C9">
        <w:rPr>
          <w:color w:val="auto"/>
        </w:rPr>
        <w:t>HealthConsult</w:t>
      </w:r>
      <w:proofErr w:type="spellEnd"/>
      <w:r w:rsidRPr="002557C9">
        <w:rPr>
          <w:color w:val="auto"/>
        </w:rPr>
        <w:t xml:space="preserve"> informed by documentation review</w:t>
      </w:r>
    </w:p>
    <w:p w14:paraId="2D5C0D42" w14:textId="77777777" w:rsidR="00893998" w:rsidRPr="006261FB" w:rsidRDefault="00893998" w:rsidP="006261FB">
      <w:pPr>
        <w:pStyle w:val="Heading3"/>
      </w:pPr>
      <w:bookmarkStart w:id="17" w:name="_Ref157439946"/>
      <w:r w:rsidRPr="006261FB">
        <w:t>Clinical eligibility</w:t>
      </w:r>
      <w:bookmarkEnd w:id="17"/>
    </w:p>
    <w:p w14:paraId="3F7577DD" w14:textId="77777777" w:rsidR="00893998" w:rsidRDefault="00893998" w:rsidP="00893998">
      <w:pPr>
        <w:pStyle w:val="BodyText"/>
      </w:pPr>
      <w:r>
        <w:t xml:space="preserve">To be eligible for free stoma appliances and products under the Scheme, a person must have a stoma (definition below), be an eligible person within the meaning of the Health Insurance Act 1973, reside in Australia and have one of the following: </w:t>
      </w:r>
      <w:r w:rsidRPr="003C26CD">
        <w:t>a current Medicare or Department of Veterans’ Affairs number</w:t>
      </w:r>
      <w:r>
        <w:t xml:space="preserve">, </w:t>
      </w:r>
      <w:r w:rsidRPr="003C26CD">
        <w:t>Australian Reciprocal Medicare number, or</w:t>
      </w:r>
      <w:r>
        <w:t xml:space="preserve"> Australian </w:t>
      </w:r>
      <w:r w:rsidRPr="003C26CD">
        <w:t>passport number.</w:t>
      </w:r>
    </w:p>
    <w:p w14:paraId="18843FCA" w14:textId="77777777" w:rsidR="00893998" w:rsidRPr="002E27B9" w:rsidRDefault="00893998" w:rsidP="00893998">
      <w:pPr>
        <w:pStyle w:val="BodyText"/>
      </w:pPr>
      <w:r w:rsidRPr="002E27B9">
        <w:t>The current Ministerially approved clinical eligibility in the Scheme’s Operational Guidelines provides access to people who:</w:t>
      </w:r>
    </w:p>
    <w:p w14:paraId="248FEE71" w14:textId="3294E151" w:rsidR="00893998" w:rsidRPr="00C316C3" w:rsidRDefault="00893998" w:rsidP="00893998">
      <w:pPr>
        <w:pStyle w:val="BodyText"/>
        <w:ind w:left="397"/>
        <w:rPr>
          <w:rFonts w:cstheme="minorHAnsi"/>
          <w:color w:val="3B0083" w:themeColor="accent1"/>
        </w:rPr>
      </w:pPr>
      <w:r w:rsidRPr="00C316C3">
        <w:rPr>
          <w:rFonts w:cstheme="minorHAnsi"/>
          <w:color w:val="3B0083" w:themeColor="accent1"/>
        </w:rPr>
        <w:t xml:space="preserve">have a temporary or permanent artificial body opening (created surgically or otherwise, including a fistula that originates from the urinary or </w:t>
      </w:r>
      <w:r w:rsidR="00C316C3">
        <w:rPr>
          <w:rFonts w:cstheme="minorHAnsi"/>
          <w:color w:val="3B0083" w:themeColor="accent1"/>
        </w:rPr>
        <w:t>gastrointestinal</w:t>
      </w:r>
      <w:r w:rsidRPr="00C316C3">
        <w:rPr>
          <w:rFonts w:cstheme="minorHAnsi"/>
          <w:color w:val="3B0083" w:themeColor="accent1"/>
        </w:rPr>
        <w:t xml:space="preserve"> tract) which facilitates the removal of urine and/or products of the </w:t>
      </w:r>
      <w:r w:rsidR="00C316C3">
        <w:rPr>
          <w:rFonts w:cstheme="minorHAnsi"/>
          <w:color w:val="3B0083" w:themeColor="accent1"/>
        </w:rPr>
        <w:t>gastrointestinal</w:t>
      </w:r>
      <w:r w:rsidR="00C316C3" w:rsidRPr="00C316C3">
        <w:rPr>
          <w:rFonts w:cstheme="minorHAnsi"/>
          <w:color w:val="3B0083" w:themeColor="accent1"/>
        </w:rPr>
        <w:t xml:space="preserve"> </w:t>
      </w:r>
      <w:r w:rsidRPr="00C316C3">
        <w:rPr>
          <w:rFonts w:cstheme="minorHAnsi"/>
          <w:color w:val="3B0083" w:themeColor="accent1"/>
        </w:rPr>
        <w:t xml:space="preserve">tract from the body where the person does not have normal </w:t>
      </w:r>
      <w:r w:rsidR="00C316C3">
        <w:rPr>
          <w:rFonts w:cstheme="minorHAnsi"/>
          <w:color w:val="3B0083" w:themeColor="accent1"/>
        </w:rPr>
        <w:t>gastrointestinal</w:t>
      </w:r>
      <w:r w:rsidR="00C316C3" w:rsidRPr="00C316C3">
        <w:rPr>
          <w:rFonts w:cstheme="minorHAnsi"/>
          <w:color w:val="3B0083" w:themeColor="accent1"/>
        </w:rPr>
        <w:t xml:space="preserve"> </w:t>
      </w:r>
      <w:r w:rsidRPr="00C316C3">
        <w:rPr>
          <w:rFonts w:cstheme="minorHAnsi"/>
          <w:color w:val="3B0083" w:themeColor="accent1"/>
        </w:rPr>
        <w:t xml:space="preserve">or bladder functions, and provide evidence, </w:t>
      </w:r>
      <w:r w:rsidRPr="00C316C3">
        <w:rPr>
          <w:rFonts w:cstheme="minorHAnsi"/>
          <w:color w:val="3B0083" w:themeColor="accent1"/>
        </w:rPr>
        <w:lastRenderedPageBreak/>
        <w:t>consisting of a certificate from a registered medical practitioner or STN (Stoma Therapy Nurse) in an approved form (Services Australia form PB049)</w:t>
      </w:r>
      <w:r w:rsidRPr="00C316C3">
        <w:rPr>
          <w:rFonts w:cstheme="minorHAnsi"/>
          <w:color w:val="3B0083" w:themeColor="accent1"/>
          <w:vertAlign w:val="superscript"/>
        </w:rPr>
        <w:t>.</w:t>
      </w:r>
      <w:r w:rsidRPr="00C316C3">
        <w:rPr>
          <w:rFonts w:cstheme="minorHAnsi"/>
          <w:color w:val="3B0083" w:themeColor="accent1"/>
          <w:vertAlign w:val="superscript"/>
        </w:rPr>
        <w:footnoteReference w:id="3"/>
      </w:r>
    </w:p>
    <w:p w14:paraId="40BB3885" w14:textId="16A6615D" w:rsidR="00893998" w:rsidRDefault="00893998" w:rsidP="00893998">
      <w:pPr>
        <w:pStyle w:val="BodyText"/>
      </w:pPr>
      <w:r w:rsidRPr="00BB7E34">
        <w:t xml:space="preserve">Clinical eligibility for the Scheme has been reviewed periodically due to advances in surgery and for specific conditions. For example, in 2021, the then Minister for Health agreed that patients with a neo-anus opening created due to ARM or IA, MACE and </w:t>
      </w:r>
      <w:proofErr w:type="spellStart"/>
      <w:r w:rsidRPr="00BB7E34">
        <w:t>Mitrofanoff</w:t>
      </w:r>
      <w:proofErr w:type="spellEnd"/>
      <w:r w:rsidRPr="00BB7E34">
        <w:t xml:space="preserve"> (also known as </w:t>
      </w:r>
      <w:proofErr w:type="spellStart"/>
      <w:r w:rsidRPr="00BB7E34">
        <w:t>appendicovesicostomy</w:t>
      </w:r>
      <w:proofErr w:type="spellEnd"/>
      <w:r w:rsidRPr="00BB7E34">
        <w:t xml:space="preserve">) stoma subtypes meet the eligibility requirements for the Scheme. Additionally, in January 2022 it was agreed that patients with biliary stomas meet the eligibility for the </w:t>
      </w:r>
      <w:r w:rsidR="00C316C3">
        <w:t>Scheme</w:t>
      </w:r>
      <w:r w:rsidRPr="00BB7E34">
        <w:t>.</w:t>
      </w:r>
    </w:p>
    <w:p w14:paraId="69742D7E" w14:textId="77777777" w:rsidR="00893998" w:rsidRDefault="00893998" w:rsidP="006261FB">
      <w:pPr>
        <w:pStyle w:val="Heading3"/>
      </w:pPr>
      <w:r>
        <w:t>Access to products</w:t>
      </w:r>
    </w:p>
    <w:p w14:paraId="2902192F" w14:textId="77777777" w:rsidR="00893998" w:rsidRDefault="00893998" w:rsidP="00893998">
      <w:pPr>
        <w:pStyle w:val="BodyText"/>
      </w:pPr>
      <w:r>
        <w:t xml:space="preserve">To access subsidised products under the Scheme, ostomates must be a member of one of the 19 approved stoma associations. Stoma associations are not-for-profit organisations that order and distribute stoma-related products on behalf of ostomates. Stoma associations must be members of the </w:t>
      </w:r>
      <w:r w:rsidRPr="000359EB">
        <w:t xml:space="preserve">Australian Council of Stoma Associations </w:t>
      </w:r>
      <w:r>
        <w:t>(ACSA).</w:t>
      </w:r>
    </w:p>
    <w:p w14:paraId="508CF4D1" w14:textId="086B8B24" w:rsidR="00893998" w:rsidRPr="00133DF8" w:rsidRDefault="00893998" w:rsidP="00893998">
      <w:pPr>
        <w:pStyle w:val="BodyText"/>
      </w:pPr>
      <w:r w:rsidRPr="00133DF8">
        <w:rPr>
          <w:rFonts w:cstheme="minorHAnsi"/>
          <w:szCs w:val="21"/>
          <w:shd w:val="clear" w:color="auto" w:fill="FFFFFF"/>
        </w:rPr>
        <w:t xml:space="preserve">These stoma associations purchase stoma-related products from suppliers and distribute them to their members when products are ordered, generally monthly. Stoma associations then claim the cost of stoma products through Services Australia. An administration fee is paid to stoma associations, in addition to the cost of products, to account for distribution costs. </w:t>
      </w:r>
      <w:r w:rsidRPr="00133DF8">
        <w:t xml:space="preserve">Services Australia reimburses stoma associations for products at the listed price on the </w:t>
      </w:r>
      <w:r w:rsidR="00C316C3">
        <w:t>Scheme</w:t>
      </w:r>
      <w:r w:rsidRPr="00133DF8">
        <w:t xml:space="preserve"> Schedule, plus a 2.75% distribution fee.</w:t>
      </w:r>
    </w:p>
    <w:p w14:paraId="4A98E079" w14:textId="77777777" w:rsidR="00893998" w:rsidRDefault="00893998" w:rsidP="006261FB">
      <w:pPr>
        <w:pStyle w:val="Heading3"/>
      </w:pPr>
      <w:r>
        <w:t>The Scheme Schedule</w:t>
      </w:r>
    </w:p>
    <w:p w14:paraId="65E86709" w14:textId="19B4D169" w:rsidR="00893998" w:rsidRDefault="00AF764B" w:rsidP="00893998">
      <w:pPr>
        <w:pStyle w:val="BodyText"/>
      </w:pPr>
      <w:r>
        <w:fldChar w:fldCharType="begin"/>
      </w:r>
      <w:r>
        <w:instrText xml:space="preserve"> REF _Ref157612723 \r \h </w:instrText>
      </w:r>
      <w:r>
        <w:fldChar w:fldCharType="separate"/>
      </w:r>
      <w:r w:rsidR="00FE1418">
        <w:t>Appendix C</w:t>
      </w:r>
      <w:r>
        <w:fldChar w:fldCharType="end"/>
      </w:r>
      <w:r>
        <w:t xml:space="preserve"> </w:t>
      </w:r>
      <w:r w:rsidR="00893998" w:rsidRPr="003D0AE3">
        <w:t>summarises the main groups</w:t>
      </w:r>
      <w:r w:rsidR="00B81940">
        <w:t xml:space="preserve"> and </w:t>
      </w:r>
      <w:r w:rsidR="00893998" w:rsidRPr="003D0AE3">
        <w:t>subgroups by number of products on the Scheme.</w:t>
      </w:r>
      <w:r w:rsidR="00893998">
        <w:t xml:space="preserve"> Each product on the Schedule has a description and contains the </w:t>
      </w:r>
      <w:r w:rsidR="00C316C3">
        <w:t>Scheme</w:t>
      </w:r>
      <w:r w:rsidR="00893998">
        <w:t xml:space="preserve"> and company product codes, pack size, maximum </w:t>
      </w:r>
      <w:proofErr w:type="gramStart"/>
      <w:r w:rsidR="00893998">
        <w:t>issue</w:t>
      </w:r>
      <w:proofErr w:type="gramEnd"/>
      <w:r w:rsidR="00893998">
        <w:t xml:space="preserve"> and price that suppliers can charge.</w:t>
      </w:r>
    </w:p>
    <w:p w14:paraId="1D2F7577" w14:textId="1E1E40ED" w:rsidR="00445544" w:rsidRDefault="00445544" w:rsidP="00445544">
      <w:pPr>
        <w:pStyle w:val="BodyText"/>
      </w:pPr>
      <w:r>
        <w:t xml:space="preserve">Certain products on the Schedule are subject to restrictions. Where a product is subject to a restriction, the restriction group is identified as part of the product description on the Schedule. </w:t>
      </w:r>
      <w:r>
        <w:fldChar w:fldCharType="begin"/>
      </w:r>
      <w:r>
        <w:instrText xml:space="preserve"> REF _Ref157091744 \h </w:instrText>
      </w:r>
      <w:r>
        <w:fldChar w:fldCharType="separate"/>
      </w:r>
      <w:r w:rsidR="00FE1418">
        <w:t xml:space="preserve">Table </w:t>
      </w:r>
      <w:r w:rsidR="00FE1418">
        <w:rPr>
          <w:noProof/>
        </w:rPr>
        <w:t>2</w:t>
      </w:r>
      <w:r>
        <w:fldChar w:fldCharType="end"/>
      </w:r>
      <w:r>
        <w:t xml:space="preserve"> describes the Restriction definitions.</w:t>
      </w:r>
    </w:p>
    <w:p w14:paraId="1D8F4059" w14:textId="263CDE49" w:rsidR="00445544" w:rsidRDefault="00445544" w:rsidP="00445544">
      <w:pPr>
        <w:pStyle w:val="Caption"/>
      </w:pPr>
      <w:bookmarkStart w:id="18" w:name="_Ref157091744"/>
      <w:bookmarkStart w:id="19" w:name="_Toc161743105"/>
      <w:r>
        <w:t xml:space="preserve">Table </w:t>
      </w:r>
      <w:r>
        <w:fldChar w:fldCharType="begin"/>
      </w:r>
      <w:r>
        <w:instrText xml:space="preserve"> SEQ Table \* ARABIC </w:instrText>
      </w:r>
      <w:r>
        <w:fldChar w:fldCharType="separate"/>
      </w:r>
      <w:r w:rsidR="00FE1418">
        <w:rPr>
          <w:noProof/>
        </w:rPr>
        <w:t>2</w:t>
      </w:r>
      <w:r>
        <w:rPr>
          <w:noProof/>
        </w:rPr>
        <w:fldChar w:fldCharType="end"/>
      </w:r>
      <w:bookmarkEnd w:id="18"/>
      <w:r>
        <w:t xml:space="preserve">: </w:t>
      </w:r>
      <w:r w:rsidRPr="00855898">
        <w:t xml:space="preserve">Restrictions definitions for the </w:t>
      </w:r>
      <w:r w:rsidR="00C316C3">
        <w:t>Scheme</w:t>
      </w:r>
      <w:r w:rsidRPr="00855898">
        <w:t xml:space="preserve"> </w:t>
      </w:r>
      <w:r w:rsidR="00277DFB">
        <w:t>Schedule</w:t>
      </w:r>
      <w:bookmarkEnd w:id="19"/>
    </w:p>
    <w:tbl>
      <w:tblPr>
        <w:tblStyle w:val="TableHealthConsultPurple"/>
        <w:tblW w:w="0" w:type="auto"/>
        <w:tblLook w:val="0420" w:firstRow="1" w:lastRow="0" w:firstColumn="0" w:lastColumn="0" w:noHBand="0" w:noVBand="1"/>
      </w:tblPr>
      <w:tblGrid>
        <w:gridCol w:w="1560"/>
        <w:gridCol w:w="8068"/>
      </w:tblGrid>
      <w:tr w:rsidR="00445544" w:rsidRPr="00445544" w14:paraId="31D9C01C" w14:textId="77777777" w:rsidTr="001369EB">
        <w:trPr>
          <w:cnfStyle w:val="100000000000" w:firstRow="1" w:lastRow="0" w:firstColumn="0" w:lastColumn="0" w:oddVBand="0" w:evenVBand="0" w:oddHBand="0" w:evenHBand="0" w:firstRowFirstColumn="0" w:firstRowLastColumn="0" w:lastRowFirstColumn="0" w:lastRowLastColumn="0"/>
        </w:trPr>
        <w:tc>
          <w:tcPr>
            <w:tcW w:w="1560" w:type="dxa"/>
          </w:tcPr>
          <w:p w14:paraId="40BA219C" w14:textId="77777777" w:rsidR="00445544" w:rsidRPr="00445544" w:rsidRDefault="00445544" w:rsidP="00FB11EE">
            <w:pPr>
              <w:pStyle w:val="BodyText"/>
              <w:jc w:val="center"/>
              <w:rPr>
                <w:sz w:val="16"/>
                <w:szCs w:val="16"/>
              </w:rPr>
            </w:pPr>
            <w:r w:rsidRPr="00445544">
              <w:rPr>
                <w:sz w:val="16"/>
                <w:szCs w:val="16"/>
              </w:rPr>
              <w:t>Restriction Group</w:t>
            </w:r>
          </w:p>
        </w:tc>
        <w:tc>
          <w:tcPr>
            <w:tcW w:w="8068" w:type="dxa"/>
            <w:vAlign w:val="center"/>
          </w:tcPr>
          <w:p w14:paraId="3FA82D2C" w14:textId="77777777" w:rsidR="00445544" w:rsidRPr="00445544" w:rsidRDefault="00445544" w:rsidP="001369EB">
            <w:pPr>
              <w:pStyle w:val="BodyText"/>
              <w:jc w:val="center"/>
              <w:rPr>
                <w:sz w:val="16"/>
                <w:szCs w:val="16"/>
              </w:rPr>
            </w:pPr>
            <w:r w:rsidRPr="00445544">
              <w:rPr>
                <w:sz w:val="16"/>
                <w:szCs w:val="16"/>
              </w:rPr>
              <w:t>Definition</w:t>
            </w:r>
          </w:p>
        </w:tc>
      </w:tr>
      <w:tr w:rsidR="00445544" w:rsidRPr="00445544" w14:paraId="2E2B3CBA" w14:textId="77777777" w:rsidTr="001369EB">
        <w:tc>
          <w:tcPr>
            <w:tcW w:w="1560" w:type="dxa"/>
          </w:tcPr>
          <w:p w14:paraId="09ABC4D2" w14:textId="77777777" w:rsidR="00445544" w:rsidRPr="00445544" w:rsidRDefault="00445544" w:rsidP="00FB11EE">
            <w:pPr>
              <w:pStyle w:val="BodyText"/>
              <w:jc w:val="center"/>
              <w:rPr>
                <w:sz w:val="16"/>
                <w:szCs w:val="16"/>
              </w:rPr>
            </w:pPr>
            <w:r w:rsidRPr="00445544">
              <w:rPr>
                <w:sz w:val="16"/>
                <w:szCs w:val="16"/>
              </w:rPr>
              <w:t>R1</w:t>
            </w:r>
          </w:p>
        </w:tc>
        <w:tc>
          <w:tcPr>
            <w:tcW w:w="8068" w:type="dxa"/>
          </w:tcPr>
          <w:p w14:paraId="1DAA6D2E" w14:textId="58E831AB" w:rsidR="00445544" w:rsidRPr="00445544" w:rsidRDefault="00445544" w:rsidP="005C7AC1">
            <w:pPr>
              <w:pStyle w:val="BodyText"/>
              <w:rPr>
                <w:sz w:val="16"/>
                <w:szCs w:val="16"/>
              </w:rPr>
            </w:pPr>
            <w:r w:rsidRPr="00445544">
              <w:rPr>
                <w:sz w:val="16"/>
                <w:szCs w:val="16"/>
              </w:rPr>
              <w:t xml:space="preserve">Requires STN, Nurse Practitioner, Registered </w:t>
            </w:r>
            <w:proofErr w:type="gramStart"/>
            <w:r w:rsidRPr="00445544">
              <w:rPr>
                <w:sz w:val="16"/>
                <w:szCs w:val="16"/>
              </w:rPr>
              <w:t>Nurse</w:t>
            </w:r>
            <w:proofErr w:type="gramEnd"/>
            <w:r w:rsidRPr="00445544">
              <w:rPr>
                <w:sz w:val="16"/>
                <w:szCs w:val="16"/>
              </w:rPr>
              <w:t xml:space="preserve"> or Registered Medical Professional authorisation</w:t>
            </w:r>
          </w:p>
        </w:tc>
      </w:tr>
      <w:tr w:rsidR="00445544" w:rsidRPr="00445544" w14:paraId="41EAF0C4" w14:textId="77777777" w:rsidTr="001369EB">
        <w:trPr>
          <w:cnfStyle w:val="000000010000" w:firstRow="0" w:lastRow="0" w:firstColumn="0" w:lastColumn="0" w:oddVBand="0" w:evenVBand="0" w:oddHBand="0" w:evenHBand="1" w:firstRowFirstColumn="0" w:firstRowLastColumn="0" w:lastRowFirstColumn="0" w:lastRowLastColumn="0"/>
        </w:trPr>
        <w:tc>
          <w:tcPr>
            <w:tcW w:w="1560" w:type="dxa"/>
          </w:tcPr>
          <w:p w14:paraId="4BC57C31" w14:textId="77777777" w:rsidR="00445544" w:rsidRPr="00445544" w:rsidRDefault="00445544" w:rsidP="00FB11EE">
            <w:pPr>
              <w:pStyle w:val="BodyText"/>
              <w:jc w:val="center"/>
              <w:rPr>
                <w:sz w:val="16"/>
                <w:szCs w:val="16"/>
              </w:rPr>
            </w:pPr>
            <w:r w:rsidRPr="00445544">
              <w:rPr>
                <w:sz w:val="16"/>
                <w:szCs w:val="16"/>
              </w:rPr>
              <w:t>R2</w:t>
            </w:r>
          </w:p>
        </w:tc>
        <w:tc>
          <w:tcPr>
            <w:tcW w:w="8068" w:type="dxa"/>
          </w:tcPr>
          <w:p w14:paraId="723A4EB9" w14:textId="77777777" w:rsidR="00445544" w:rsidRPr="00445544" w:rsidRDefault="00445544" w:rsidP="005C7AC1">
            <w:pPr>
              <w:pStyle w:val="BodyText"/>
              <w:rPr>
                <w:sz w:val="16"/>
                <w:szCs w:val="16"/>
              </w:rPr>
            </w:pPr>
            <w:r w:rsidRPr="00445544">
              <w:rPr>
                <w:sz w:val="16"/>
                <w:szCs w:val="16"/>
              </w:rPr>
              <w:t>No authority for an increase in the yearly allocation can be granted</w:t>
            </w:r>
          </w:p>
        </w:tc>
      </w:tr>
      <w:tr w:rsidR="00445544" w:rsidRPr="00445544" w14:paraId="7AFA41A6" w14:textId="77777777" w:rsidTr="001369EB">
        <w:tc>
          <w:tcPr>
            <w:tcW w:w="1560" w:type="dxa"/>
          </w:tcPr>
          <w:p w14:paraId="6D2355DC" w14:textId="77777777" w:rsidR="00445544" w:rsidRPr="00445544" w:rsidRDefault="00445544" w:rsidP="00FB11EE">
            <w:pPr>
              <w:pStyle w:val="BodyText"/>
              <w:jc w:val="center"/>
              <w:rPr>
                <w:sz w:val="16"/>
                <w:szCs w:val="16"/>
              </w:rPr>
            </w:pPr>
            <w:r w:rsidRPr="00445544">
              <w:rPr>
                <w:sz w:val="16"/>
                <w:szCs w:val="16"/>
              </w:rPr>
              <w:t>R3</w:t>
            </w:r>
          </w:p>
        </w:tc>
        <w:tc>
          <w:tcPr>
            <w:tcW w:w="8068" w:type="dxa"/>
          </w:tcPr>
          <w:p w14:paraId="7FA1BDC6" w14:textId="77777777" w:rsidR="00445544" w:rsidRPr="00445544" w:rsidRDefault="00445544" w:rsidP="005C7AC1">
            <w:pPr>
              <w:pStyle w:val="BodyText"/>
              <w:rPr>
                <w:sz w:val="16"/>
                <w:szCs w:val="16"/>
              </w:rPr>
            </w:pPr>
            <w:r w:rsidRPr="00445544">
              <w:rPr>
                <w:sz w:val="16"/>
                <w:szCs w:val="16"/>
              </w:rPr>
              <w:t>Strict Usage Restriction – Requires STN, Nurse Practitioner, Registered Nurse or Registered Medical Professional authorisation including clinical justification</w:t>
            </w:r>
          </w:p>
        </w:tc>
      </w:tr>
      <w:tr w:rsidR="00445544" w:rsidRPr="00445544" w14:paraId="27614A62" w14:textId="77777777" w:rsidTr="001369EB">
        <w:trPr>
          <w:cnfStyle w:val="000000010000" w:firstRow="0" w:lastRow="0" w:firstColumn="0" w:lastColumn="0" w:oddVBand="0" w:evenVBand="0" w:oddHBand="0" w:evenHBand="1" w:firstRowFirstColumn="0" w:firstRowLastColumn="0" w:lastRowFirstColumn="0" w:lastRowLastColumn="0"/>
        </w:trPr>
        <w:tc>
          <w:tcPr>
            <w:tcW w:w="1560" w:type="dxa"/>
          </w:tcPr>
          <w:p w14:paraId="6DB56CB8" w14:textId="77777777" w:rsidR="00445544" w:rsidRPr="00445544" w:rsidRDefault="00445544" w:rsidP="00FB11EE">
            <w:pPr>
              <w:pStyle w:val="BodyText"/>
              <w:jc w:val="center"/>
              <w:rPr>
                <w:sz w:val="16"/>
                <w:szCs w:val="16"/>
              </w:rPr>
            </w:pPr>
            <w:r w:rsidRPr="00445544">
              <w:rPr>
                <w:sz w:val="16"/>
                <w:szCs w:val="16"/>
              </w:rPr>
              <w:t>R4</w:t>
            </w:r>
          </w:p>
        </w:tc>
        <w:tc>
          <w:tcPr>
            <w:tcW w:w="8068" w:type="dxa"/>
          </w:tcPr>
          <w:p w14:paraId="6418D2F1" w14:textId="77777777" w:rsidR="00445544" w:rsidRPr="00445544" w:rsidRDefault="00445544" w:rsidP="005C7AC1">
            <w:pPr>
              <w:pStyle w:val="BodyText"/>
              <w:rPr>
                <w:sz w:val="16"/>
                <w:szCs w:val="16"/>
              </w:rPr>
            </w:pPr>
            <w:r w:rsidRPr="00445544">
              <w:rPr>
                <w:sz w:val="16"/>
                <w:szCs w:val="16"/>
              </w:rPr>
              <w:t>Strict Usage Restriction – Requires Colorectal or General Surgeon authorisation</w:t>
            </w:r>
          </w:p>
        </w:tc>
      </w:tr>
    </w:tbl>
    <w:p w14:paraId="07DB769F" w14:textId="630CE39F" w:rsidR="006D1BBC" w:rsidRDefault="006D1BBC" w:rsidP="006261FB">
      <w:pPr>
        <w:pStyle w:val="Heading3"/>
      </w:pPr>
      <w:r>
        <w:lastRenderedPageBreak/>
        <w:t>Governance</w:t>
      </w:r>
    </w:p>
    <w:p w14:paraId="096265B1" w14:textId="00F871E9" w:rsidR="006D1BBC" w:rsidRPr="00A00646" w:rsidRDefault="006D1BBC" w:rsidP="006D1BBC">
      <w:pPr>
        <w:pStyle w:val="BodyText"/>
      </w:pPr>
      <w:r w:rsidRPr="00A00646">
        <w:t>Sponsors apply to have their products listed on the Scheme Schedule in line with the processes outlined in the Application and Assessment Guidelines.</w:t>
      </w:r>
      <w:r w:rsidR="00BB7FCA">
        <w:t xml:space="preserve"> </w:t>
      </w:r>
      <w:r w:rsidRPr="00A00646">
        <w:t>The S</w:t>
      </w:r>
      <w:r w:rsidR="001607C6">
        <w:t>PAP</w:t>
      </w:r>
      <w:r w:rsidRPr="00A00646">
        <w:t xml:space="preserve"> is an independent technical advice panel appointed by the Department, whose primary role is to consider applications from sponsors for the listing of new products on the Schedule and to make recommendations to Government regarding those applications.</w:t>
      </w:r>
      <w:r w:rsidR="00EC3B30">
        <w:t xml:space="preserve"> More information on SPAP and their processes for listing products is available </w:t>
      </w:r>
      <w:r w:rsidR="000466C0">
        <w:t xml:space="preserve">in </w:t>
      </w:r>
      <w:r w:rsidR="000466C0">
        <w:fldChar w:fldCharType="begin"/>
      </w:r>
      <w:r w:rsidR="000466C0">
        <w:instrText xml:space="preserve"> REF _Ref157588666 \r \h </w:instrText>
      </w:r>
      <w:r w:rsidR="000466C0">
        <w:fldChar w:fldCharType="separate"/>
      </w:r>
      <w:r w:rsidR="00FE1418">
        <w:t>Appendix C</w:t>
      </w:r>
      <w:r w:rsidR="000466C0">
        <w:fldChar w:fldCharType="end"/>
      </w:r>
      <w:r w:rsidR="000466C0">
        <w:t>.</w:t>
      </w:r>
    </w:p>
    <w:p w14:paraId="1FDDFC22" w14:textId="645D2641" w:rsidR="006D1BBC" w:rsidRDefault="006D1BBC" w:rsidP="006D1BBC">
      <w:pPr>
        <w:pStyle w:val="BodyText"/>
      </w:pPr>
      <w:r w:rsidRPr="00A00646">
        <w:t xml:space="preserve">The Department oversees and supports the SPAP and monitors </w:t>
      </w:r>
      <w:r w:rsidR="00C316C3">
        <w:t>Scheme</w:t>
      </w:r>
      <w:r w:rsidRPr="00A00646">
        <w:t xml:space="preserve"> access and compliance of stoma associations. The Department works closely with Services Australia, which administers payments made under the Scheme and liaises with the ACSA on </w:t>
      </w:r>
      <w:r w:rsidR="00C316C3">
        <w:t>Scheme</w:t>
      </w:r>
      <w:r w:rsidRPr="00A00646">
        <w:t>-related issues.</w:t>
      </w:r>
    </w:p>
    <w:p w14:paraId="61631BF5" w14:textId="77777777" w:rsidR="00C032C9" w:rsidRDefault="00C032C9" w:rsidP="006D1BBC">
      <w:pPr>
        <w:pStyle w:val="BodyText"/>
        <w:sectPr w:rsidR="00C032C9" w:rsidSect="00361225">
          <w:headerReference w:type="default" r:id="rId19"/>
          <w:footerReference w:type="default" r:id="rId20"/>
          <w:pgSz w:w="11906" w:h="16838" w:code="9"/>
          <w:pgMar w:top="1134" w:right="1134" w:bottom="1134" w:left="1134" w:header="709" w:footer="510" w:gutter="0"/>
          <w:pgNumType w:start="1"/>
          <w:cols w:space="708"/>
          <w:docGrid w:linePitch="360"/>
        </w:sectPr>
      </w:pPr>
    </w:p>
    <w:p w14:paraId="37FA02BA" w14:textId="77777777" w:rsidR="006D1BBC" w:rsidRDefault="006D1BBC" w:rsidP="006D1BBC">
      <w:pPr>
        <w:pStyle w:val="Heading2"/>
      </w:pPr>
      <w:r>
        <w:lastRenderedPageBreak/>
        <w:t xml:space="preserve">Stomas and characteristics of ostomates supported under the </w:t>
      </w:r>
      <w:proofErr w:type="gramStart"/>
      <w:r>
        <w:t>Scheme</w:t>
      </w:r>
      <w:proofErr w:type="gramEnd"/>
    </w:p>
    <w:p w14:paraId="0D475EA8" w14:textId="477400E9" w:rsidR="006D1BBC" w:rsidRPr="00C14331" w:rsidRDefault="006D1BBC" w:rsidP="006D1BBC">
      <w:pPr>
        <w:pStyle w:val="BodyText"/>
      </w:pPr>
      <w:r w:rsidRPr="00C14331">
        <w:t>Stomas come in three primary forms:</w:t>
      </w:r>
    </w:p>
    <w:p w14:paraId="060718A5" w14:textId="4853C42F" w:rsidR="006D1BBC" w:rsidRPr="00C14331" w:rsidRDefault="006D1BBC" w:rsidP="00E442CB">
      <w:pPr>
        <w:pStyle w:val="ListNumber"/>
        <w:numPr>
          <w:ilvl w:val="0"/>
          <w:numId w:val="20"/>
        </w:numPr>
      </w:pPr>
      <w:r w:rsidRPr="006D1BBC">
        <w:rPr>
          <w:b/>
          <w:bCs/>
          <w:color w:val="3B0083" w:themeColor="accent1"/>
        </w:rPr>
        <w:t>Colostomy:</w:t>
      </w:r>
      <w:r w:rsidRPr="006D1BBC">
        <w:rPr>
          <w:color w:val="3B0083" w:themeColor="accent1"/>
        </w:rPr>
        <w:t xml:space="preserve"> </w:t>
      </w:r>
      <w:r w:rsidRPr="00C14331">
        <w:t>openings made in the abdomen originating from locations throughout the large intestine (or colon).</w:t>
      </w:r>
    </w:p>
    <w:p w14:paraId="59491B9A" w14:textId="509A1B3C" w:rsidR="006D1BBC" w:rsidRPr="00C14331" w:rsidRDefault="006D1BBC" w:rsidP="00E442CB">
      <w:pPr>
        <w:pStyle w:val="ListNumber"/>
        <w:numPr>
          <w:ilvl w:val="0"/>
          <w:numId w:val="20"/>
        </w:numPr>
      </w:pPr>
      <w:r w:rsidRPr="006D1BBC">
        <w:rPr>
          <w:b/>
          <w:bCs/>
          <w:color w:val="3B0083" w:themeColor="accent1"/>
        </w:rPr>
        <w:t>Ileostomy:</w:t>
      </w:r>
      <w:r w:rsidRPr="006D1BBC">
        <w:rPr>
          <w:color w:val="3B0083" w:themeColor="accent1"/>
        </w:rPr>
        <w:t xml:space="preserve"> </w:t>
      </w:r>
      <w:r w:rsidRPr="00C14331">
        <w:t>an opening originating from the ileum of the small intestine / bowel.</w:t>
      </w:r>
    </w:p>
    <w:p w14:paraId="64B4BC7C" w14:textId="4313B6AC" w:rsidR="006D1BBC" w:rsidRDefault="006D1BBC" w:rsidP="00E442CB">
      <w:pPr>
        <w:pStyle w:val="ListNumber"/>
        <w:numPr>
          <w:ilvl w:val="0"/>
          <w:numId w:val="20"/>
        </w:numPr>
      </w:pPr>
      <w:r w:rsidRPr="006D1BBC">
        <w:rPr>
          <w:b/>
          <w:bCs/>
          <w:color w:val="3B0083" w:themeColor="accent1"/>
        </w:rPr>
        <w:t>Urostomy:</w:t>
      </w:r>
      <w:r w:rsidRPr="006D1BBC">
        <w:rPr>
          <w:color w:val="3B0083" w:themeColor="accent1"/>
        </w:rPr>
        <w:t xml:space="preserve"> </w:t>
      </w:r>
      <w:r w:rsidRPr="00C14331">
        <w:t>an opening diverting urine from the bladder via the small intestine.</w:t>
      </w:r>
    </w:p>
    <w:p w14:paraId="04AFBD36" w14:textId="19462656" w:rsidR="006D1BBC" w:rsidRDefault="006D1BBC" w:rsidP="00093A57">
      <w:r>
        <w:t xml:space="preserve">In addition to the most common types described above, </w:t>
      </w:r>
      <w:r w:rsidR="00F536BF">
        <w:fldChar w:fldCharType="begin"/>
      </w:r>
      <w:r w:rsidR="00F536BF">
        <w:instrText xml:space="preserve"> REF _Ref157092106 \h </w:instrText>
      </w:r>
      <w:r w:rsidR="00F536BF">
        <w:fldChar w:fldCharType="separate"/>
      </w:r>
      <w:r w:rsidR="00FE1418">
        <w:t xml:space="preserve">Table </w:t>
      </w:r>
      <w:r w:rsidR="00FE1418">
        <w:rPr>
          <w:noProof/>
        </w:rPr>
        <w:t>3</w:t>
      </w:r>
      <w:r w:rsidR="00F536BF">
        <w:fldChar w:fldCharType="end"/>
      </w:r>
      <w:r w:rsidR="00F536BF">
        <w:t xml:space="preserve"> </w:t>
      </w:r>
      <w:r>
        <w:t>describes each of the stoma types in scope of the Scheme, the causes for the stoma</w:t>
      </w:r>
      <w:r w:rsidR="00C316C3">
        <w:t xml:space="preserve">, </w:t>
      </w:r>
      <w:r>
        <w:t xml:space="preserve">an indication of the types of </w:t>
      </w:r>
      <w:r w:rsidR="00C316C3">
        <w:t>appliances</w:t>
      </w:r>
      <w:r>
        <w:t xml:space="preserve"> required</w:t>
      </w:r>
      <w:r w:rsidR="00C316C3">
        <w:t xml:space="preserve"> and the average expenditure per ostomate for each stoma type</w:t>
      </w:r>
      <w:r>
        <w:t xml:space="preserve">. </w:t>
      </w:r>
      <w:r w:rsidRPr="00DF175D">
        <w:rPr>
          <w:b/>
        </w:rPr>
        <w:t>At this point in time, no data is captured on the specific stoma type outside of the three primary forms outlined above</w:t>
      </w:r>
      <w:r>
        <w:t>. In the data, where the stoma type is indicated as ‘Other’, the below figures have combined them.</w:t>
      </w:r>
    </w:p>
    <w:p w14:paraId="39F00215" w14:textId="0502EBB3" w:rsidR="00F536BF" w:rsidRDefault="00F536BF" w:rsidP="00F536BF">
      <w:pPr>
        <w:pStyle w:val="Caption"/>
      </w:pPr>
      <w:bookmarkStart w:id="20" w:name="_Ref157092106"/>
      <w:bookmarkStart w:id="21" w:name="_Toc161743106"/>
      <w:r>
        <w:t xml:space="preserve">Table </w:t>
      </w:r>
      <w:r>
        <w:fldChar w:fldCharType="begin"/>
      </w:r>
      <w:r>
        <w:instrText xml:space="preserve"> SEQ Table \* ARABIC </w:instrText>
      </w:r>
      <w:r>
        <w:fldChar w:fldCharType="separate"/>
      </w:r>
      <w:r w:rsidR="00FE1418">
        <w:rPr>
          <w:noProof/>
        </w:rPr>
        <w:t>3</w:t>
      </w:r>
      <w:r>
        <w:rPr>
          <w:noProof/>
        </w:rPr>
        <w:fldChar w:fldCharType="end"/>
      </w:r>
      <w:bookmarkEnd w:id="20"/>
      <w:r>
        <w:t>: Characteristics of stoma users in Australia</w:t>
      </w:r>
      <w:bookmarkEnd w:id="21"/>
    </w:p>
    <w:tbl>
      <w:tblPr>
        <w:tblStyle w:val="TableHealthConsultPurple"/>
        <w:tblW w:w="5000" w:type="pct"/>
        <w:tblLayout w:type="fixed"/>
        <w:tblLook w:val="0420" w:firstRow="1" w:lastRow="0" w:firstColumn="0" w:lastColumn="0" w:noHBand="0" w:noVBand="1"/>
      </w:tblPr>
      <w:tblGrid>
        <w:gridCol w:w="2921"/>
        <w:gridCol w:w="3884"/>
        <w:gridCol w:w="3884"/>
        <w:gridCol w:w="3881"/>
      </w:tblGrid>
      <w:tr w:rsidR="00F154FE" w:rsidRPr="00B57B75" w14:paraId="010421CF" w14:textId="77777777" w:rsidTr="00955C84">
        <w:trPr>
          <w:cnfStyle w:val="100000000000" w:firstRow="1" w:lastRow="0" w:firstColumn="0" w:lastColumn="0" w:oddVBand="0" w:evenVBand="0" w:oddHBand="0" w:evenHBand="0" w:firstRowFirstColumn="0" w:firstRowLastColumn="0" w:lastRowFirstColumn="0" w:lastRowLastColumn="0"/>
        </w:trPr>
        <w:tc>
          <w:tcPr>
            <w:tcW w:w="1002" w:type="pct"/>
          </w:tcPr>
          <w:p w14:paraId="07CBA52E" w14:textId="77777777" w:rsidR="00F154FE" w:rsidRPr="00B57B75" w:rsidRDefault="00F154FE" w:rsidP="00B57B75">
            <w:pPr>
              <w:pStyle w:val="BodyText"/>
              <w:spacing w:before="0" w:after="0"/>
              <w:rPr>
                <w:b w:val="0"/>
                <w:sz w:val="16"/>
                <w:szCs w:val="16"/>
              </w:rPr>
            </w:pPr>
            <w:r w:rsidRPr="00B57B75">
              <w:rPr>
                <w:sz w:val="16"/>
                <w:szCs w:val="16"/>
              </w:rPr>
              <w:t>Stoma type</w:t>
            </w:r>
          </w:p>
        </w:tc>
        <w:tc>
          <w:tcPr>
            <w:tcW w:w="1333" w:type="pct"/>
            <w:vAlign w:val="center"/>
          </w:tcPr>
          <w:p w14:paraId="2A8C8BA9" w14:textId="77777777" w:rsidR="00F154FE" w:rsidRPr="00B57B75" w:rsidRDefault="00F154FE" w:rsidP="000466C0">
            <w:pPr>
              <w:pStyle w:val="BodyText"/>
              <w:spacing w:before="0" w:after="0"/>
              <w:jc w:val="center"/>
              <w:rPr>
                <w:b w:val="0"/>
                <w:sz w:val="16"/>
                <w:szCs w:val="16"/>
              </w:rPr>
            </w:pPr>
            <w:r w:rsidRPr="00B57B75">
              <w:rPr>
                <w:bCs/>
                <w:sz w:val="16"/>
                <w:szCs w:val="16"/>
              </w:rPr>
              <w:t>Causes/reasons for a stoma</w:t>
            </w:r>
          </w:p>
        </w:tc>
        <w:tc>
          <w:tcPr>
            <w:tcW w:w="1333" w:type="pct"/>
            <w:vAlign w:val="center"/>
          </w:tcPr>
          <w:p w14:paraId="015859F5" w14:textId="77777777" w:rsidR="00F154FE" w:rsidRPr="00B57B75" w:rsidRDefault="00F154FE" w:rsidP="000466C0">
            <w:pPr>
              <w:pStyle w:val="BodyText"/>
              <w:spacing w:before="0" w:after="0"/>
              <w:jc w:val="center"/>
              <w:rPr>
                <w:bCs/>
                <w:sz w:val="16"/>
                <w:szCs w:val="16"/>
                <w:vertAlign w:val="superscript"/>
              </w:rPr>
            </w:pPr>
            <w:r w:rsidRPr="00B57B75">
              <w:rPr>
                <w:bCs/>
                <w:sz w:val="16"/>
                <w:szCs w:val="16"/>
              </w:rPr>
              <w:t xml:space="preserve">Proportion of ostomates with this stoma on </w:t>
            </w:r>
            <w:proofErr w:type="spellStart"/>
            <w:r w:rsidRPr="00B57B75">
              <w:rPr>
                <w:bCs/>
                <w:sz w:val="16"/>
                <w:szCs w:val="16"/>
              </w:rPr>
              <w:t>Scheme</w:t>
            </w:r>
            <w:r w:rsidRPr="00B57B75">
              <w:rPr>
                <w:bCs/>
                <w:sz w:val="16"/>
                <w:szCs w:val="16"/>
                <w:vertAlign w:val="superscript"/>
              </w:rPr>
              <w:t>A</w:t>
            </w:r>
            <w:proofErr w:type="spellEnd"/>
          </w:p>
        </w:tc>
        <w:tc>
          <w:tcPr>
            <w:tcW w:w="1333" w:type="pct"/>
            <w:vAlign w:val="center"/>
          </w:tcPr>
          <w:p w14:paraId="357FC061" w14:textId="77777777" w:rsidR="00F154FE" w:rsidRPr="00B57B75" w:rsidRDefault="00F154FE" w:rsidP="000466C0">
            <w:pPr>
              <w:pStyle w:val="BodyText"/>
              <w:spacing w:before="0" w:after="0"/>
              <w:jc w:val="center"/>
              <w:rPr>
                <w:bCs/>
                <w:sz w:val="16"/>
                <w:szCs w:val="16"/>
                <w:vertAlign w:val="superscript"/>
              </w:rPr>
            </w:pPr>
            <w:r w:rsidRPr="00B57B75">
              <w:rPr>
                <w:bCs/>
                <w:sz w:val="16"/>
                <w:szCs w:val="16"/>
              </w:rPr>
              <w:t xml:space="preserve">Expenditure per </w:t>
            </w:r>
            <w:proofErr w:type="spellStart"/>
            <w:r w:rsidRPr="00B57B75">
              <w:rPr>
                <w:bCs/>
                <w:sz w:val="16"/>
                <w:szCs w:val="16"/>
              </w:rPr>
              <w:t>ostomate</w:t>
            </w:r>
            <w:r w:rsidRPr="00B57B75">
              <w:rPr>
                <w:bCs/>
                <w:sz w:val="16"/>
                <w:szCs w:val="16"/>
                <w:vertAlign w:val="superscript"/>
              </w:rPr>
              <w:t>A</w:t>
            </w:r>
            <w:proofErr w:type="spellEnd"/>
          </w:p>
        </w:tc>
      </w:tr>
      <w:tr w:rsidR="00F154FE" w:rsidRPr="00B57B75" w14:paraId="0638B29C" w14:textId="77777777" w:rsidTr="00955C84">
        <w:tc>
          <w:tcPr>
            <w:tcW w:w="1002" w:type="pct"/>
          </w:tcPr>
          <w:p w14:paraId="1691B59A" w14:textId="77777777" w:rsidR="00F154FE" w:rsidRPr="00B57B75" w:rsidRDefault="00F154FE" w:rsidP="00B57B75">
            <w:pPr>
              <w:pStyle w:val="BodyText"/>
              <w:spacing w:before="0" w:after="0"/>
              <w:rPr>
                <w:rFonts w:cstheme="minorHAnsi"/>
                <w:b/>
                <w:sz w:val="16"/>
                <w:szCs w:val="16"/>
              </w:rPr>
            </w:pPr>
            <w:r w:rsidRPr="00B57B75">
              <w:rPr>
                <w:rFonts w:cstheme="minorHAnsi"/>
                <w:sz w:val="16"/>
                <w:szCs w:val="16"/>
              </w:rPr>
              <w:t>Colostomy</w:t>
            </w:r>
          </w:p>
        </w:tc>
        <w:tc>
          <w:tcPr>
            <w:tcW w:w="1333" w:type="pct"/>
          </w:tcPr>
          <w:p w14:paraId="6EF09FA6" w14:textId="77777777" w:rsidR="00F154FE" w:rsidRPr="00B57B75" w:rsidRDefault="00F154FE" w:rsidP="000466C0">
            <w:pPr>
              <w:pStyle w:val="06Bulletsseriesofsentences"/>
              <w:spacing w:before="0"/>
              <w:ind w:left="227" w:hanging="227"/>
              <w:rPr>
                <w:rFonts w:asciiTheme="minorHAnsi" w:hAnsiTheme="minorHAnsi" w:cstheme="minorHAnsi"/>
                <w:color w:val="auto"/>
                <w:sz w:val="16"/>
                <w:szCs w:val="16"/>
              </w:rPr>
            </w:pPr>
            <w:r w:rsidRPr="00B57B75">
              <w:rPr>
                <w:rFonts w:asciiTheme="minorHAnsi" w:hAnsiTheme="minorHAnsi" w:cstheme="minorHAnsi"/>
                <w:color w:val="auto"/>
                <w:sz w:val="16"/>
                <w:szCs w:val="16"/>
              </w:rPr>
              <w:t>Bowel cancer</w:t>
            </w:r>
          </w:p>
          <w:p w14:paraId="20298C52" w14:textId="77777777" w:rsidR="00F154FE" w:rsidRPr="00B57B75" w:rsidRDefault="00F154FE" w:rsidP="000466C0">
            <w:pPr>
              <w:pStyle w:val="06Bulletsseriesofsentences"/>
              <w:spacing w:before="0"/>
              <w:ind w:left="227" w:hanging="227"/>
              <w:rPr>
                <w:rFonts w:asciiTheme="minorHAnsi" w:hAnsiTheme="minorHAnsi" w:cstheme="minorHAnsi"/>
                <w:color w:val="auto"/>
                <w:sz w:val="16"/>
                <w:szCs w:val="16"/>
              </w:rPr>
            </w:pPr>
            <w:r w:rsidRPr="00B57B75">
              <w:rPr>
                <w:rFonts w:asciiTheme="minorHAnsi" w:hAnsiTheme="minorHAnsi" w:cstheme="minorHAnsi"/>
                <w:color w:val="auto"/>
                <w:sz w:val="16"/>
                <w:szCs w:val="16"/>
              </w:rPr>
              <w:t>Inflammatory bowel diseases (Crohn’s Disease, Ulcerative Colitis)</w:t>
            </w:r>
          </w:p>
          <w:p w14:paraId="74F8DBF6" w14:textId="77777777" w:rsidR="00F154FE" w:rsidRPr="00B57B75" w:rsidRDefault="00F154FE" w:rsidP="000466C0">
            <w:pPr>
              <w:pStyle w:val="06Bulletsseriesofsentences"/>
              <w:spacing w:before="0"/>
              <w:ind w:left="227" w:hanging="227"/>
              <w:rPr>
                <w:rFonts w:asciiTheme="minorHAnsi" w:hAnsiTheme="minorHAnsi" w:cstheme="minorHAnsi"/>
                <w:color w:val="auto"/>
                <w:sz w:val="16"/>
                <w:szCs w:val="16"/>
              </w:rPr>
            </w:pPr>
            <w:r w:rsidRPr="00B57B75">
              <w:rPr>
                <w:rFonts w:asciiTheme="minorHAnsi" w:hAnsiTheme="minorHAnsi" w:cstheme="minorHAnsi"/>
                <w:color w:val="auto"/>
                <w:sz w:val="16"/>
                <w:szCs w:val="16"/>
              </w:rPr>
              <w:t>Diverticulitis</w:t>
            </w:r>
          </w:p>
          <w:p w14:paraId="0A1B52B9" w14:textId="77777777" w:rsidR="00F154FE" w:rsidRPr="00B57B75" w:rsidRDefault="00F154FE" w:rsidP="000466C0">
            <w:pPr>
              <w:pStyle w:val="06Bulletsseriesofsentences"/>
              <w:spacing w:before="0"/>
              <w:ind w:left="227" w:hanging="227"/>
              <w:rPr>
                <w:rFonts w:asciiTheme="minorHAnsi" w:hAnsiTheme="minorHAnsi" w:cstheme="minorHAnsi"/>
                <w:color w:val="auto"/>
                <w:sz w:val="16"/>
                <w:szCs w:val="16"/>
              </w:rPr>
            </w:pPr>
            <w:r w:rsidRPr="00B57B75">
              <w:rPr>
                <w:rFonts w:asciiTheme="minorHAnsi" w:hAnsiTheme="minorHAnsi" w:cstheme="minorHAnsi"/>
                <w:color w:val="auto"/>
                <w:sz w:val="16"/>
                <w:szCs w:val="16"/>
              </w:rPr>
              <w:t>Bowel obstruction</w:t>
            </w:r>
          </w:p>
          <w:p w14:paraId="55413B7A" w14:textId="77777777" w:rsidR="00F154FE" w:rsidRPr="00B57B75" w:rsidRDefault="00F154FE" w:rsidP="000466C0">
            <w:pPr>
              <w:pStyle w:val="06Bulletsseriesofsentences"/>
              <w:spacing w:before="0"/>
              <w:ind w:left="227" w:hanging="227"/>
              <w:rPr>
                <w:rFonts w:asciiTheme="minorHAnsi" w:hAnsiTheme="minorHAnsi" w:cstheme="minorHAnsi"/>
                <w:color w:val="auto"/>
                <w:sz w:val="16"/>
                <w:szCs w:val="16"/>
              </w:rPr>
            </w:pPr>
            <w:r w:rsidRPr="00B57B75">
              <w:rPr>
                <w:rFonts w:asciiTheme="minorHAnsi" w:hAnsiTheme="minorHAnsi" w:cstheme="minorHAnsi"/>
                <w:color w:val="auto"/>
                <w:sz w:val="16"/>
                <w:szCs w:val="16"/>
              </w:rPr>
              <w:t>Trauma</w:t>
            </w:r>
          </w:p>
          <w:p w14:paraId="4293A0F8" w14:textId="77777777" w:rsidR="00F154FE" w:rsidRPr="00B57B75" w:rsidRDefault="00F154FE" w:rsidP="000466C0">
            <w:pPr>
              <w:pStyle w:val="06Bulletsseriesofsentences"/>
              <w:spacing w:before="0"/>
              <w:ind w:left="227" w:hanging="227"/>
              <w:rPr>
                <w:rFonts w:asciiTheme="minorHAnsi" w:hAnsiTheme="minorHAnsi" w:cstheme="minorHAnsi"/>
                <w:color w:val="auto"/>
                <w:sz w:val="16"/>
                <w:szCs w:val="16"/>
              </w:rPr>
            </w:pPr>
            <w:r w:rsidRPr="00B57B75">
              <w:rPr>
                <w:rFonts w:asciiTheme="minorHAnsi" w:hAnsiTheme="minorHAnsi" w:cstheme="minorHAnsi"/>
                <w:color w:val="auto"/>
                <w:sz w:val="16"/>
                <w:szCs w:val="16"/>
              </w:rPr>
              <w:t xml:space="preserve">Birth </w:t>
            </w:r>
            <w:proofErr w:type="gramStart"/>
            <w:r w:rsidRPr="00B57B75">
              <w:rPr>
                <w:rFonts w:asciiTheme="minorHAnsi" w:hAnsiTheme="minorHAnsi" w:cstheme="minorHAnsi"/>
                <w:color w:val="auto"/>
                <w:sz w:val="16"/>
                <w:szCs w:val="16"/>
              </w:rPr>
              <w:t>abnormalities</w:t>
            </w:r>
            <w:proofErr w:type="gramEnd"/>
          </w:p>
          <w:p w14:paraId="34932848" w14:textId="6653B135" w:rsidR="00F154FE" w:rsidRPr="00B57B75" w:rsidRDefault="00F154FE" w:rsidP="000466C0">
            <w:pPr>
              <w:pStyle w:val="06Bulletsseriesofsentences"/>
              <w:spacing w:before="0"/>
              <w:ind w:left="227" w:hanging="227"/>
              <w:rPr>
                <w:rFonts w:asciiTheme="minorHAnsi" w:hAnsiTheme="minorHAnsi" w:cstheme="minorHAnsi"/>
                <w:color w:val="auto"/>
                <w:sz w:val="16"/>
                <w:szCs w:val="16"/>
              </w:rPr>
            </w:pPr>
            <w:r w:rsidRPr="00B57B75">
              <w:rPr>
                <w:rFonts w:asciiTheme="minorHAnsi" w:hAnsiTheme="minorHAnsi" w:cstheme="minorHAnsi"/>
                <w:color w:val="auto"/>
                <w:sz w:val="16"/>
                <w:szCs w:val="16"/>
              </w:rPr>
              <w:t>Genetic disorders</w:t>
            </w:r>
          </w:p>
          <w:p w14:paraId="0C7D1200" w14:textId="77777777" w:rsidR="00F154FE" w:rsidRPr="00B57B75" w:rsidRDefault="00F154FE" w:rsidP="000466C0">
            <w:pPr>
              <w:pStyle w:val="06Bulletsseriesofsentences"/>
              <w:spacing w:before="0"/>
              <w:ind w:left="227" w:hanging="227"/>
              <w:rPr>
                <w:rFonts w:asciiTheme="minorHAnsi" w:hAnsiTheme="minorHAnsi" w:cstheme="minorHAnsi"/>
                <w:sz w:val="16"/>
                <w:szCs w:val="16"/>
              </w:rPr>
            </w:pPr>
            <w:r w:rsidRPr="00B57B75">
              <w:rPr>
                <w:rFonts w:asciiTheme="minorHAnsi" w:hAnsiTheme="minorHAnsi" w:cstheme="minorHAnsi"/>
                <w:color w:val="auto"/>
                <w:sz w:val="16"/>
                <w:szCs w:val="16"/>
              </w:rPr>
              <w:t>Neurological disorders</w:t>
            </w:r>
          </w:p>
        </w:tc>
        <w:tc>
          <w:tcPr>
            <w:tcW w:w="1333" w:type="pct"/>
          </w:tcPr>
          <w:p w14:paraId="28A30F39" w14:textId="77777777" w:rsidR="00F154FE" w:rsidRPr="00C316C3" w:rsidRDefault="00F154FE" w:rsidP="00B57B75">
            <w:pPr>
              <w:pStyle w:val="06Bulletsseriesofsentences"/>
              <w:numPr>
                <w:ilvl w:val="0"/>
                <w:numId w:val="0"/>
              </w:numPr>
              <w:spacing w:before="0"/>
              <w:rPr>
                <w:rFonts w:asciiTheme="minorHAnsi" w:hAnsiTheme="minorHAnsi" w:cstheme="minorHAnsi"/>
                <w:b/>
                <w:bCs/>
                <w:color w:val="auto"/>
                <w:sz w:val="16"/>
                <w:szCs w:val="16"/>
              </w:rPr>
            </w:pPr>
            <w:r w:rsidRPr="00C316C3">
              <w:rPr>
                <w:rFonts w:asciiTheme="minorHAnsi" w:hAnsiTheme="minorHAnsi" w:cstheme="minorHAnsi"/>
                <w:b/>
                <w:bCs/>
                <w:color w:val="auto"/>
                <w:sz w:val="16"/>
                <w:szCs w:val="16"/>
              </w:rPr>
              <w:t>47.3%</w:t>
            </w:r>
          </w:p>
          <w:p w14:paraId="128BBE4C" w14:textId="77777777" w:rsidR="00F154FE" w:rsidRPr="00B57B75" w:rsidRDefault="00F154FE" w:rsidP="00B57B75">
            <w:pPr>
              <w:pStyle w:val="06Bulletsseriesofsentences"/>
              <w:numPr>
                <w:ilvl w:val="0"/>
                <w:numId w:val="0"/>
              </w:numPr>
              <w:spacing w:before="0"/>
              <w:rPr>
                <w:rFonts w:asciiTheme="minorHAnsi" w:hAnsiTheme="minorHAnsi" w:cstheme="minorHAnsi"/>
                <w:color w:val="auto"/>
                <w:sz w:val="16"/>
                <w:szCs w:val="16"/>
              </w:rPr>
            </w:pPr>
          </w:p>
          <w:p w14:paraId="1610331E" w14:textId="77777777" w:rsidR="00F154FE" w:rsidRPr="00B57B75" w:rsidRDefault="00F154FE" w:rsidP="00B57B75">
            <w:pPr>
              <w:pStyle w:val="06Bulletsseriesofsentences"/>
              <w:numPr>
                <w:ilvl w:val="0"/>
                <w:numId w:val="0"/>
              </w:numPr>
              <w:spacing w:before="0"/>
              <w:rPr>
                <w:rFonts w:asciiTheme="minorHAnsi" w:hAnsiTheme="minorHAnsi" w:cstheme="minorHAnsi"/>
                <w:color w:val="auto"/>
                <w:sz w:val="16"/>
                <w:szCs w:val="16"/>
              </w:rPr>
            </w:pPr>
            <w:r w:rsidRPr="00B57B75">
              <w:rPr>
                <w:rFonts w:asciiTheme="minorHAnsi" w:hAnsiTheme="minorHAnsi" w:cstheme="minorHAnsi"/>
                <w:color w:val="auto"/>
                <w:sz w:val="16"/>
                <w:szCs w:val="16"/>
              </w:rPr>
              <w:t>(5.2% of these have two stomas, and 0.1% of these have three stomas)</w:t>
            </w:r>
          </w:p>
        </w:tc>
        <w:tc>
          <w:tcPr>
            <w:tcW w:w="1333" w:type="pct"/>
          </w:tcPr>
          <w:p w14:paraId="47611034" w14:textId="77777777" w:rsidR="004725F2" w:rsidRDefault="004725F2" w:rsidP="00B57B75">
            <w:pPr>
              <w:pStyle w:val="06Bulletsseriesofsentences"/>
              <w:numPr>
                <w:ilvl w:val="0"/>
                <w:numId w:val="0"/>
              </w:numPr>
              <w:spacing w:before="0"/>
              <w:rPr>
                <w:rFonts w:asciiTheme="minorHAnsi" w:hAnsiTheme="minorHAnsi" w:cstheme="minorHAnsi"/>
                <w:color w:val="auto"/>
                <w:sz w:val="16"/>
                <w:szCs w:val="16"/>
              </w:rPr>
            </w:pPr>
          </w:p>
          <w:tbl>
            <w:tblPr>
              <w:tblStyle w:val="TableGrid"/>
              <w:tblW w:w="0" w:type="auto"/>
              <w:tblLayout w:type="fixed"/>
              <w:tblCellMar>
                <w:left w:w="57" w:type="dxa"/>
                <w:right w:w="57" w:type="dxa"/>
              </w:tblCellMar>
              <w:tblLook w:val="04A0" w:firstRow="1" w:lastRow="0" w:firstColumn="1" w:lastColumn="0" w:noHBand="0" w:noVBand="1"/>
            </w:tblPr>
            <w:tblGrid>
              <w:gridCol w:w="1014"/>
              <w:gridCol w:w="914"/>
              <w:gridCol w:w="914"/>
              <w:gridCol w:w="915"/>
            </w:tblGrid>
            <w:tr w:rsidR="004725F2" w:rsidRPr="004725F2" w14:paraId="6189E492" w14:textId="77777777" w:rsidTr="00902AFA">
              <w:tc>
                <w:tcPr>
                  <w:tcW w:w="1014" w:type="dxa"/>
                  <w:shd w:val="clear" w:color="auto" w:fill="00685B" w:themeFill="accent4"/>
                </w:tcPr>
                <w:p w14:paraId="1ED72F64" w14:textId="77777777" w:rsidR="004725F2" w:rsidRPr="004725F2" w:rsidRDefault="004725F2" w:rsidP="004725F2">
                  <w:pPr>
                    <w:pStyle w:val="06Bulletsseriesofsentences"/>
                    <w:numPr>
                      <w:ilvl w:val="0"/>
                      <w:numId w:val="0"/>
                    </w:numPr>
                    <w:spacing w:before="0"/>
                    <w:rPr>
                      <w:rFonts w:asciiTheme="minorHAnsi" w:hAnsiTheme="minorHAnsi" w:cstheme="minorHAnsi"/>
                      <w:b/>
                      <w:bCs/>
                      <w:color w:val="FFFFFF" w:themeColor="background1"/>
                      <w:sz w:val="14"/>
                      <w:szCs w:val="14"/>
                    </w:rPr>
                  </w:pPr>
                  <w:r w:rsidRPr="004725F2">
                    <w:rPr>
                      <w:rFonts w:asciiTheme="minorHAnsi" w:hAnsiTheme="minorHAnsi" w:cstheme="minorHAnsi"/>
                      <w:b/>
                      <w:bCs/>
                      <w:color w:val="FFFFFF" w:themeColor="background1"/>
                      <w:sz w:val="14"/>
                      <w:szCs w:val="14"/>
                    </w:rPr>
                    <w:t>Expenditure ($)</w:t>
                  </w:r>
                </w:p>
              </w:tc>
              <w:tc>
                <w:tcPr>
                  <w:tcW w:w="914" w:type="dxa"/>
                  <w:shd w:val="clear" w:color="auto" w:fill="00685B" w:themeFill="accent4"/>
                  <w:vAlign w:val="center"/>
                </w:tcPr>
                <w:p w14:paraId="4041C6DA" w14:textId="2D4389B0" w:rsidR="004725F2" w:rsidRPr="004725F2" w:rsidRDefault="004725F2" w:rsidP="00902AFA">
                  <w:pPr>
                    <w:pStyle w:val="06Bulletsseriesofsentences"/>
                    <w:numPr>
                      <w:ilvl w:val="0"/>
                      <w:numId w:val="0"/>
                    </w:numPr>
                    <w:spacing w:before="0"/>
                    <w:jc w:val="center"/>
                    <w:rPr>
                      <w:rFonts w:asciiTheme="minorHAnsi" w:hAnsiTheme="minorHAnsi" w:cstheme="minorHAnsi"/>
                      <w:b/>
                      <w:bCs/>
                      <w:color w:val="FFFFFF" w:themeColor="background1"/>
                      <w:sz w:val="14"/>
                      <w:szCs w:val="14"/>
                    </w:rPr>
                  </w:pPr>
                  <w:r w:rsidRPr="004725F2">
                    <w:rPr>
                      <w:rFonts w:asciiTheme="minorHAnsi" w:hAnsiTheme="minorHAnsi" w:cstheme="minorHAnsi"/>
                      <w:b/>
                      <w:bCs/>
                      <w:color w:val="FFFFFF" w:themeColor="background1"/>
                      <w:sz w:val="14"/>
                      <w:szCs w:val="14"/>
                    </w:rPr>
                    <w:t>One stoma</w:t>
                  </w:r>
                </w:p>
              </w:tc>
              <w:tc>
                <w:tcPr>
                  <w:tcW w:w="914" w:type="dxa"/>
                  <w:shd w:val="clear" w:color="auto" w:fill="00685B" w:themeFill="accent4"/>
                  <w:vAlign w:val="center"/>
                </w:tcPr>
                <w:p w14:paraId="36766386" w14:textId="77777777" w:rsidR="004725F2" w:rsidRPr="004725F2" w:rsidRDefault="004725F2" w:rsidP="00902AFA">
                  <w:pPr>
                    <w:pStyle w:val="06Bulletsseriesofsentences"/>
                    <w:numPr>
                      <w:ilvl w:val="0"/>
                      <w:numId w:val="0"/>
                    </w:numPr>
                    <w:spacing w:before="0"/>
                    <w:jc w:val="center"/>
                    <w:rPr>
                      <w:rFonts w:asciiTheme="minorHAnsi" w:hAnsiTheme="minorHAnsi" w:cstheme="minorHAnsi"/>
                      <w:b/>
                      <w:bCs/>
                      <w:color w:val="FFFFFF" w:themeColor="background1"/>
                      <w:sz w:val="14"/>
                      <w:szCs w:val="14"/>
                    </w:rPr>
                  </w:pPr>
                  <w:r w:rsidRPr="004725F2">
                    <w:rPr>
                      <w:rFonts w:asciiTheme="minorHAnsi" w:hAnsiTheme="minorHAnsi" w:cstheme="minorHAnsi"/>
                      <w:b/>
                      <w:bCs/>
                      <w:color w:val="FFFFFF" w:themeColor="background1"/>
                      <w:sz w:val="14"/>
                      <w:szCs w:val="14"/>
                    </w:rPr>
                    <w:t>Two stomas</w:t>
                  </w:r>
                </w:p>
              </w:tc>
              <w:tc>
                <w:tcPr>
                  <w:tcW w:w="915" w:type="dxa"/>
                  <w:shd w:val="clear" w:color="auto" w:fill="00685B" w:themeFill="accent4"/>
                  <w:vAlign w:val="center"/>
                </w:tcPr>
                <w:p w14:paraId="76D4ECB5" w14:textId="77777777" w:rsidR="004725F2" w:rsidRPr="004725F2" w:rsidRDefault="004725F2" w:rsidP="00902AFA">
                  <w:pPr>
                    <w:pStyle w:val="06Bulletsseriesofsentences"/>
                    <w:numPr>
                      <w:ilvl w:val="0"/>
                      <w:numId w:val="0"/>
                    </w:numPr>
                    <w:spacing w:before="0"/>
                    <w:jc w:val="center"/>
                    <w:rPr>
                      <w:rFonts w:asciiTheme="minorHAnsi" w:hAnsiTheme="minorHAnsi" w:cstheme="minorHAnsi"/>
                      <w:b/>
                      <w:bCs/>
                      <w:color w:val="FFFFFF" w:themeColor="background1"/>
                      <w:sz w:val="14"/>
                      <w:szCs w:val="14"/>
                    </w:rPr>
                  </w:pPr>
                  <w:r w:rsidRPr="004725F2">
                    <w:rPr>
                      <w:rFonts w:asciiTheme="minorHAnsi" w:hAnsiTheme="minorHAnsi" w:cstheme="minorHAnsi"/>
                      <w:b/>
                      <w:bCs/>
                      <w:color w:val="FFFFFF" w:themeColor="background1"/>
                      <w:sz w:val="14"/>
                      <w:szCs w:val="14"/>
                    </w:rPr>
                    <w:t>Three stomas</w:t>
                  </w:r>
                </w:p>
              </w:tc>
            </w:tr>
            <w:tr w:rsidR="007C34C6" w:rsidRPr="004725F2" w14:paraId="33AEB819" w14:textId="77777777" w:rsidTr="00902AFA">
              <w:tc>
                <w:tcPr>
                  <w:tcW w:w="1014" w:type="dxa"/>
                </w:tcPr>
                <w:p w14:paraId="0212A8F5" w14:textId="77777777" w:rsidR="007C34C6" w:rsidRPr="004725F2" w:rsidRDefault="007C34C6" w:rsidP="007C34C6">
                  <w:pPr>
                    <w:pStyle w:val="06Bulletsseriesofsentences"/>
                    <w:numPr>
                      <w:ilvl w:val="0"/>
                      <w:numId w:val="0"/>
                    </w:numPr>
                    <w:spacing w:before="0"/>
                    <w:rPr>
                      <w:rFonts w:asciiTheme="minorHAnsi" w:hAnsiTheme="minorHAnsi" w:cstheme="minorHAnsi"/>
                      <w:color w:val="auto"/>
                      <w:sz w:val="14"/>
                      <w:szCs w:val="14"/>
                    </w:rPr>
                  </w:pPr>
                  <w:r w:rsidRPr="004725F2">
                    <w:rPr>
                      <w:rFonts w:asciiTheme="minorHAnsi" w:hAnsiTheme="minorHAnsi" w:cstheme="minorHAnsi"/>
                      <w:color w:val="auto"/>
                      <w:sz w:val="14"/>
                      <w:szCs w:val="14"/>
                    </w:rPr>
                    <w:t>Min</w:t>
                  </w:r>
                </w:p>
              </w:tc>
              <w:tc>
                <w:tcPr>
                  <w:tcW w:w="914" w:type="dxa"/>
                  <w:vAlign w:val="center"/>
                </w:tcPr>
                <w:p w14:paraId="20E87268" w14:textId="013378EE" w:rsidR="007C34C6" w:rsidRPr="004725F2" w:rsidRDefault="007C34C6" w:rsidP="00902AFA">
                  <w:pPr>
                    <w:pStyle w:val="06Bulletsseriesofsentences"/>
                    <w:numPr>
                      <w:ilvl w:val="0"/>
                      <w:numId w:val="0"/>
                    </w:numPr>
                    <w:spacing w:before="0"/>
                    <w:jc w:val="center"/>
                    <w:rPr>
                      <w:rFonts w:asciiTheme="minorHAnsi" w:hAnsiTheme="minorHAnsi" w:cstheme="minorHAnsi"/>
                      <w:color w:val="auto"/>
                      <w:sz w:val="14"/>
                      <w:szCs w:val="14"/>
                    </w:rPr>
                  </w:pPr>
                  <w:r w:rsidRPr="004725F2">
                    <w:rPr>
                      <w:rFonts w:asciiTheme="minorHAnsi" w:hAnsiTheme="minorHAnsi" w:cstheme="minorHAnsi"/>
                      <w:color w:val="auto"/>
                      <w:sz w:val="14"/>
                      <w:szCs w:val="14"/>
                    </w:rPr>
                    <w:t>$</w:t>
                  </w:r>
                  <w:r>
                    <w:rPr>
                      <w:rFonts w:asciiTheme="minorHAnsi" w:hAnsiTheme="minorHAnsi" w:cstheme="minorHAnsi"/>
                      <w:color w:val="auto"/>
                      <w:sz w:val="14"/>
                      <w:szCs w:val="14"/>
                    </w:rPr>
                    <w:t>20</w:t>
                  </w:r>
                </w:p>
              </w:tc>
              <w:tc>
                <w:tcPr>
                  <w:tcW w:w="914" w:type="dxa"/>
                  <w:vAlign w:val="center"/>
                </w:tcPr>
                <w:p w14:paraId="1079CA7E" w14:textId="3E2D2F40" w:rsidR="007C34C6" w:rsidRPr="004725F2" w:rsidRDefault="007C34C6" w:rsidP="00902AFA">
                  <w:pPr>
                    <w:pStyle w:val="06Bulletsseriesofsentences"/>
                    <w:numPr>
                      <w:ilvl w:val="0"/>
                      <w:numId w:val="0"/>
                    </w:numPr>
                    <w:spacing w:before="0"/>
                    <w:jc w:val="center"/>
                    <w:rPr>
                      <w:rFonts w:asciiTheme="minorHAnsi" w:hAnsiTheme="minorHAnsi" w:cstheme="minorHAnsi"/>
                      <w:color w:val="auto"/>
                      <w:sz w:val="14"/>
                      <w:szCs w:val="14"/>
                    </w:rPr>
                  </w:pPr>
                  <w:r w:rsidRPr="005E424B">
                    <w:rPr>
                      <w:rFonts w:asciiTheme="minorHAnsi" w:hAnsiTheme="minorHAnsi" w:cstheme="minorHAnsi"/>
                      <w:color w:val="auto"/>
                      <w:sz w:val="14"/>
                      <w:szCs w:val="14"/>
                    </w:rPr>
                    <w:t>$366</w:t>
                  </w:r>
                </w:p>
              </w:tc>
              <w:tc>
                <w:tcPr>
                  <w:tcW w:w="915" w:type="dxa"/>
                  <w:vAlign w:val="center"/>
                </w:tcPr>
                <w:p w14:paraId="2B59EB90" w14:textId="50E4D1C5" w:rsidR="007C34C6" w:rsidRPr="004725F2" w:rsidRDefault="007C34C6" w:rsidP="00902AFA">
                  <w:pPr>
                    <w:pStyle w:val="06Bulletsseriesofsentences"/>
                    <w:numPr>
                      <w:ilvl w:val="0"/>
                      <w:numId w:val="0"/>
                    </w:numPr>
                    <w:spacing w:before="0"/>
                    <w:jc w:val="center"/>
                    <w:rPr>
                      <w:rFonts w:asciiTheme="minorHAnsi" w:hAnsiTheme="minorHAnsi" w:cstheme="minorHAnsi"/>
                      <w:color w:val="auto"/>
                      <w:sz w:val="14"/>
                      <w:szCs w:val="14"/>
                    </w:rPr>
                  </w:pPr>
                  <w:r w:rsidRPr="007C34C6">
                    <w:rPr>
                      <w:rFonts w:asciiTheme="minorHAnsi" w:hAnsiTheme="minorHAnsi" w:cstheme="minorHAnsi"/>
                      <w:color w:val="auto"/>
                      <w:sz w:val="14"/>
                      <w:szCs w:val="14"/>
                    </w:rPr>
                    <w:t>$921</w:t>
                  </w:r>
                </w:p>
              </w:tc>
            </w:tr>
            <w:tr w:rsidR="007C34C6" w:rsidRPr="004725F2" w14:paraId="741B1566" w14:textId="77777777" w:rsidTr="00902AFA">
              <w:tc>
                <w:tcPr>
                  <w:tcW w:w="1014" w:type="dxa"/>
                </w:tcPr>
                <w:p w14:paraId="50D9672E" w14:textId="77777777" w:rsidR="007C34C6" w:rsidRPr="004725F2" w:rsidRDefault="007C34C6" w:rsidP="007C34C6">
                  <w:pPr>
                    <w:pStyle w:val="06Bulletsseriesofsentences"/>
                    <w:numPr>
                      <w:ilvl w:val="0"/>
                      <w:numId w:val="0"/>
                    </w:numPr>
                    <w:spacing w:before="0"/>
                    <w:rPr>
                      <w:rFonts w:asciiTheme="minorHAnsi" w:hAnsiTheme="minorHAnsi" w:cstheme="minorHAnsi"/>
                      <w:color w:val="auto"/>
                      <w:sz w:val="14"/>
                      <w:szCs w:val="14"/>
                    </w:rPr>
                  </w:pPr>
                  <w:r w:rsidRPr="004725F2">
                    <w:rPr>
                      <w:rFonts w:asciiTheme="minorHAnsi" w:hAnsiTheme="minorHAnsi" w:cstheme="minorHAnsi"/>
                      <w:color w:val="auto"/>
                      <w:sz w:val="14"/>
                      <w:szCs w:val="14"/>
                    </w:rPr>
                    <w:t>Average</w:t>
                  </w:r>
                </w:p>
              </w:tc>
              <w:tc>
                <w:tcPr>
                  <w:tcW w:w="914" w:type="dxa"/>
                  <w:vAlign w:val="center"/>
                </w:tcPr>
                <w:p w14:paraId="3F583038" w14:textId="4307E5A7" w:rsidR="007C34C6" w:rsidRPr="004725F2" w:rsidRDefault="007C34C6" w:rsidP="00902AFA">
                  <w:pPr>
                    <w:pStyle w:val="06Bulletsseriesofsentences"/>
                    <w:numPr>
                      <w:ilvl w:val="0"/>
                      <w:numId w:val="0"/>
                    </w:numPr>
                    <w:spacing w:before="0"/>
                    <w:jc w:val="center"/>
                    <w:rPr>
                      <w:rFonts w:asciiTheme="minorHAnsi" w:hAnsiTheme="minorHAnsi" w:cstheme="minorHAnsi"/>
                      <w:color w:val="auto"/>
                      <w:sz w:val="14"/>
                      <w:szCs w:val="14"/>
                    </w:rPr>
                  </w:pPr>
                  <w:r w:rsidRPr="004725F2">
                    <w:rPr>
                      <w:rFonts w:asciiTheme="minorHAnsi" w:hAnsiTheme="minorHAnsi" w:cstheme="minorHAnsi"/>
                      <w:color w:val="auto"/>
                      <w:sz w:val="14"/>
                      <w:szCs w:val="14"/>
                    </w:rPr>
                    <w:t>$</w:t>
                  </w:r>
                  <w:r>
                    <w:rPr>
                      <w:rFonts w:asciiTheme="minorHAnsi" w:hAnsiTheme="minorHAnsi" w:cstheme="minorHAnsi"/>
                      <w:color w:val="auto"/>
                      <w:sz w:val="14"/>
                      <w:szCs w:val="14"/>
                    </w:rPr>
                    <w:t>2,655</w:t>
                  </w:r>
                </w:p>
              </w:tc>
              <w:tc>
                <w:tcPr>
                  <w:tcW w:w="914" w:type="dxa"/>
                  <w:vAlign w:val="center"/>
                </w:tcPr>
                <w:p w14:paraId="353EAC63" w14:textId="040AC4F7" w:rsidR="007C34C6" w:rsidRPr="004725F2" w:rsidRDefault="007C34C6" w:rsidP="00902AFA">
                  <w:pPr>
                    <w:pStyle w:val="06Bulletsseriesofsentences"/>
                    <w:numPr>
                      <w:ilvl w:val="0"/>
                      <w:numId w:val="0"/>
                    </w:numPr>
                    <w:spacing w:before="0"/>
                    <w:jc w:val="center"/>
                    <w:rPr>
                      <w:rFonts w:asciiTheme="minorHAnsi" w:hAnsiTheme="minorHAnsi" w:cstheme="minorHAnsi"/>
                      <w:color w:val="auto"/>
                      <w:sz w:val="14"/>
                      <w:szCs w:val="14"/>
                    </w:rPr>
                  </w:pPr>
                  <w:r w:rsidRPr="005E424B">
                    <w:rPr>
                      <w:rFonts w:asciiTheme="minorHAnsi" w:hAnsiTheme="minorHAnsi" w:cstheme="minorHAnsi"/>
                      <w:color w:val="auto"/>
                      <w:sz w:val="14"/>
                      <w:szCs w:val="14"/>
                    </w:rPr>
                    <w:t>$4,900</w:t>
                  </w:r>
                </w:p>
              </w:tc>
              <w:tc>
                <w:tcPr>
                  <w:tcW w:w="915" w:type="dxa"/>
                  <w:vAlign w:val="center"/>
                </w:tcPr>
                <w:p w14:paraId="406815DA" w14:textId="255C1A46" w:rsidR="007C34C6" w:rsidRPr="004725F2" w:rsidRDefault="007C34C6" w:rsidP="00902AFA">
                  <w:pPr>
                    <w:pStyle w:val="06Bulletsseriesofsentences"/>
                    <w:numPr>
                      <w:ilvl w:val="0"/>
                      <w:numId w:val="0"/>
                    </w:numPr>
                    <w:spacing w:before="0"/>
                    <w:jc w:val="center"/>
                    <w:rPr>
                      <w:rFonts w:asciiTheme="minorHAnsi" w:hAnsiTheme="minorHAnsi" w:cstheme="minorHAnsi"/>
                      <w:color w:val="auto"/>
                      <w:sz w:val="14"/>
                      <w:szCs w:val="14"/>
                    </w:rPr>
                  </w:pPr>
                  <w:r w:rsidRPr="007C34C6">
                    <w:rPr>
                      <w:rFonts w:asciiTheme="minorHAnsi" w:hAnsiTheme="minorHAnsi" w:cstheme="minorHAnsi"/>
                      <w:color w:val="auto"/>
                      <w:sz w:val="14"/>
                      <w:szCs w:val="14"/>
                    </w:rPr>
                    <w:t>$7,602</w:t>
                  </w:r>
                </w:p>
              </w:tc>
            </w:tr>
            <w:tr w:rsidR="007C34C6" w:rsidRPr="004725F2" w14:paraId="24E281DA" w14:textId="77777777" w:rsidTr="00902AFA">
              <w:tc>
                <w:tcPr>
                  <w:tcW w:w="1014" w:type="dxa"/>
                </w:tcPr>
                <w:p w14:paraId="4E10D5A7" w14:textId="77777777" w:rsidR="007C34C6" w:rsidRPr="004725F2" w:rsidRDefault="007C34C6" w:rsidP="007C34C6">
                  <w:pPr>
                    <w:pStyle w:val="06Bulletsseriesofsentences"/>
                    <w:numPr>
                      <w:ilvl w:val="0"/>
                      <w:numId w:val="0"/>
                    </w:numPr>
                    <w:spacing w:before="0"/>
                    <w:rPr>
                      <w:rFonts w:asciiTheme="minorHAnsi" w:hAnsiTheme="minorHAnsi" w:cstheme="minorHAnsi"/>
                      <w:color w:val="auto"/>
                      <w:sz w:val="14"/>
                      <w:szCs w:val="14"/>
                    </w:rPr>
                  </w:pPr>
                  <w:r w:rsidRPr="004725F2">
                    <w:rPr>
                      <w:rFonts w:asciiTheme="minorHAnsi" w:hAnsiTheme="minorHAnsi" w:cstheme="minorHAnsi"/>
                      <w:color w:val="auto"/>
                      <w:sz w:val="14"/>
                      <w:szCs w:val="14"/>
                    </w:rPr>
                    <w:t>Median</w:t>
                  </w:r>
                </w:p>
              </w:tc>
              <w:tc>
                <w:tcPr>
                  <w:tcW w:w="914" w:type="dxa"/>
                  <w:vAlign w:val="center"/>
                </w:tcPr>
                <w:p w14:paraId="76E13B36" w14:textId="4312CC7C" w:rsidR="007C34C6" w:rsidRPr="004725F2" w:rsidRDefault="007C34C6" w:rsidP="00902AFA">
                  <w:pPr>
                    <w:pStyle w:val="06Bulletsseriesofsentences"/>
                    <w:numPr>
                      <w:ilvl w:val="0"/>
                      <w:numId w:val="0"/>
                    </w:numPr>
                    <w:spacing w:before="0"/>
                    <w:jc w:val="center"/>
                    <w:rPr>
                      <w:rFonts w:asciiTheme="minorHAnsi" w:hAnsiTheme="minorHAnsi" w:cstheme="minorHAnsi"/>
                      <w:color w:val="auto"/>
                      <w:sz w:val="14"/>
                      <w:szCs w:val="14"/>
                    </w:rPr>
                  </w:pPr>
                  <w:r w:rsidRPr="004725F2">
                    <w:rPr>
                      <w:rFonts w:asciiTheme="minorHAnsi" w:hAnsiTheme="minorHAnsi" w:cstheme="minorHAnsi"/>
                      <w:color w:val="auto"/>
                      <w:sz w:val="14"/>
                      <w:szCs w:val="14"/>
                    </w:rPr>
                    <w:t>$</w:t>
                  </w:r>
                  <w:r>
                    <w:rPr>
                      <w:rFonts w:asciiTheme="minorHAnsi" w:hAnsiTheme="minorHAnsi" w:cstheme="minorHAnsi"/>
                      <w:color w:val="auto"/>
                      <w:sz w:val="14"/>
                      <w:szCs w:val="14"/>
                    </w:rPr>
                    <w:t>2,434</w:t>
                  </w:r>
                </w:p>
              </w:tc>
              <w:tc>
                <w:tcPr>
                  <w:tcW w:w="914" w:type="dxa"/>
                  <w:vAlign w:val="center"/>
                </w:tcPr>
                <w:p w14:paraId="39A974C3" w14:textId="36E973C6" w:rsidR="007C34C6" w:rsidRPr="004725F2" w:rsidRDefault="007C34C6" w:rsidP="00902AFA">
                  <w:pPr>
                    <w:pStyle w:val="06Bulletsseriesofsentences"/>
                    <w:numPr>
                      <w:ilvl w:val="0"/>
                      <w:numId w:val="0"/>
                    </w:numPr>
                    <w:spacing w:before="0"/>
                    <w:jc w:val="center"/>
                    <w:rPr>
                      <w:rFonts w:asciiTheme="minorHAnsi" w:hAnsiTheme="minorHAnsi" w:cstheme="minorHAnsi"/>
                      <w:color w:val="auto"/>
                      <w:sz w:val="14"/>
                      <w:szCs w:val="14"/>
                    </w:rPr>
                  </w:pPr>
                  <w:r w:rsidRPr="005E424B">
                    <w:rPr>
                      <w:rFonts w:asciiTheme="minorHAnsi" w:hAnsiTheme="minorHAnsi" w:cstheme="minorHAnsi"/>
                      <w:color w:val="auto"/>
                      <w:sz w:val="14"/>
                      <w:szCs w:val="14"/>
                    </w:rPr>
                    <w:t>$4,431</w:t>
                  </w:r>
                </w:p>
              </w:tc>
              <w:tc>
                <w:tcPr>
                  <w:tcW w:w="915" w:type="dxa"/>
                  <w:vAlign w:val="center"/>
                </w:tcPr>
                <w:p w14:paraId="34F13747" w14:textId="205517E7" w:rsidR="007C34C6" w:rsidRPr="004725F2" w:rsidRDefault="007C34C6" w:rsidP="00902AFA">
                  <w:pPr>
                    <w:pStyle w:val="06Bulletsseriesofsentences"/>
                    <w:numPr>
                      <w:ilvl w:val="0"/>
                      <w:numId w:val="0"/>
                    </w:numPr>
                    <w:spacing w:before="0"/>
                    <w:jc w:val="center"/>
                    <w:rPr>
                      <w:rFonts w:asciiTheme="minorHAnsi" w:hAnsiTheme="minorHAnsi" w:cstheme="minorHAnsi"/>
                      <w:color w:val="auto"/>
                      <w:sz w:val="14"/>
                      <w:szCs w:val="14"/>
                    </w:rPr>
                  </w:pPr>
                  <w:r w:rsidRPr="007C34C6">
                    <w:rPr>
                      <w:rFonts w:asciiTheme="minorHAnsi" w:hAnsiTheme="minorHAnsi" w:cstheme="minorHAnsi"/>
                      <w:color w:val="auto"/>
                      <w:sz w:val="14"/>
                      <w:szCs w:val="14"/>
                    </w:rPr>
                    <w:t>$5,168</w:t>
                  </w:r>
                </w:p>
              </w:tc>
            </w:tr>
            <w:tr w:rsidR="007C34C6" w:rsidRPr="004725F2" w14:paraId="3CDAC079" w14:textId="77777777" w:rsidTr="00902AFA">
              <w:tc>
                <w:tcPr>
                  <w:tcW w:w="1014" w:type="dxa"/>
                </w:tcPr>
                <w:p w14:paraId="209C409E" w14:textId="77777777" w:rsidR="007C34C6" w:rsidRPr="004725F2" w:rsidRDefault="007C34C6" w:rsidP="007C34C6">
                  <w:pPr>
                    <w:pStyle w:val="06Bulletsseriesofsentences"/>
                    <w:numPr>
                      <w:ilvl w:val="0"/>
                      <w:numId w:val="0"/>
                    </w:numPr>
                    <w:spacing w:before="0"/>
                    <w:rPr>
                      <w:rFonts w:asciiTheme="minorHAnsi" w:hAnsiTheme="minorHAnsi" w:cstheme="minorHAnsi"/>
                      <w:color w:val="auto"/>
                      <w:sz w:val="14"/>
                      <w:szCs w:val="14"/>
                    </w:rPr>
                  </w:pPr>
                  <w:r w:rsidRPr="004725F2">
                    <w:rPr>
                      <w:rFonts w:asciiTheme="minorHAnsi" w:hAnsiTheme="minorHAnsi" w:cstheme="minorHAnsi"/>
                      <w:color w:val="auto"/>
                      <w:sz w:val="14"/>
                      <w:szCs w:val="14"/>
                    </w:rPr>
                    <w:t>Max</w:t>
                  </w:r>
                </w:p>
              </w:tc>
              <w:tc>
                <w:tcPr>
                  <w:tcW w:w="914" w:type="dxa"/>
                  <w:vAlign w:val="center"/>
                </w:tcPr>
                <w:p w14:paraId="2567BE9F" w14:textId="1FD80FE2" w:rsidR="007C34C6" w:rsidRPr="004725F2" w:rsidRDefault="007C34C6" w:rsidP="00902AFA">
                  <w:pPr>
                    <w:pStyle w:val="06Bulletsseriesofsentences"/>
                    <w:numPr>
                      <w:ilvl w:val="0"/>
                      <w:numId w:val="0"/>
                    </w:numPr>
                    <w:spacing w:before="0"/>
                    <w:jc w:val="center"/>
                    <w:rPr>
                      <w:rFonts w:asciiTheme="minorHAnsi" w:hAnsiTheme="minorHAnsi" w:cstheme="minorHAnsi"/>
                      <w:color w:val="auto"/>
                      <w:sz w:val="14"/>
                      <w:szCs w:val="14"/>
                    </w:rPr>
                  </w:pPr>
                  <w:r w:rsidRPr="004725F2">
                    <w:rPr>
                      <w:rFonts w:asciiTheme="minorHAnsi" w:hAnsiTheme="minorHAnsi" w:cstheme="minorHAnsi"/>
                      <w:color w:val="auto"/>
                      <w:sz w:val="14"/>
                      <w:szCs w:val="14"/>
                    </w:rPr>
                    <w:t>$</w:t>
                  </w:r>
                  <w:r>
                    <w:rPr>
                      <w:rFonts w:asciiTheme="minorHAnsi" w:hAnsiTheme="minorHAnsi" w:cstheme="minorHAnsi"/>
                      <w:color w:val="auto"/>
                      <w:sz w:val="14"/>
                      <w:szCs w:val="14"/>
                    </w:rPr>
                    <w:t>16,890</w:t>
                  </w:r>
                </w:p>
              </w:tc>
              <w:tc>
                <w:tcPr>
                  <w:tcW w:w="914" w:type="dxa"/>
                  <w:vAlign w:val="center"/>
                </w:tcPr>
                <w:p w14:paraId="1808AFB5" w14:textId="0C78FFA8" w:rsidR="007C34C6" w:rsidRPr="004725F2" w:rsidRDefault="007C34C6" w:rsidP="00902AFA">
                  <w:pPr>
                    <w:pStyle w:val="06Bulletsseriesofsentences"/>
                    <w:numPr>
                      <w:ilvl w:val="0"/>
                      <w:numId w:val="0"/>
                    </w:numPr>
                    <w:spacing w:before="0"/>
                    <w:jc w:val="center"/>
                    <w:rPr>
                      <w:rFonts w:asciiTheme="minorHAnsi" w:hAnsiTheme="minorHAnsi" w:cstheme="minorHAnsi"/>
                      <w:color w:val="auto"/>
                      <w:sz w:val="14"/>
                      <w:szCs w:val="14"/>
                    </w:rPr>
                  </w:pPr>
                  <w:r w:rsidRPr="005E424B">
                    <w:rPr>
                      <w:rFonts w:asciiTheme="minorHAnsi" w:hAnsiTheme="minorHAnsi" w:cstheme="minorHAnsi"/>
                      <w:color w:val="auto"/>
                      <w:sz w:val="14"/>
                      <w:szCs w:val="14"/>
                    </w:rPr>
                    <w:t>$21,329</w:t>
                  </w:r>
                </w:p>
              </w:tc>
              <w:tc>
                <w:tcPr>
                  <w:tcW w:w="915" w:type="dxa"/>
                  <w:vAlign w:val="center"/>
                </w:tcPr>
                <w:p w14:paraId="20497358" w14:textId="5F27EFD8" w:rsidR="007C34C6" w:rsidRPr="004725F2" w:rsidRDefault="007C34C6" w:rsidP="00902AFA">
                  <w:pPr>
                    <w:pStyle w:val="06Bulletsseriesofsentences"/>
                    <w:numPr>
                      <w:ilvl w:val="0"/>
                      <w:numId w:val="0"/>
                    </w:numPr>
                    <w:spacing w:before="0"/>
                    <w:jc w:val="center"/>
                    <w:rPr>
                      <w:rFonts w:asciiTheme="minorHAnsi" w:hAnsiTheme="minorHAnsi" w:cstheme="minorHAnsi"/>
                      <w:color w:val="auto"/>
                      <w:sz w:val="14"/>
                      <w:szCs w:val="14"/>
                    </w:rPr>
                  </w:pPr>
                  <w:r w:rsidRPr="007C34C6">
                    <w:rPr>
                      <w:rFonts w:asciiTheme="minorHAnsi" w:hAnsiTheme="minorHAnsi" w:cstheme="minorHAnsi"/>
                      <w:color w:val="auto"/>
                      <w:sz w:val="14"/>
                      <w:szCs w:val="14"/>
                    </w:rPr>
                    <w:t>$39,681</w:t>
                  </w:r>
                </w:p>
              </w:tc>
            </w:tr>
          </w:tbl>
          <w:p w14:paraId="50F5F159" w14:textId="33EBACD6" w:rsidR="00F154FE" w:rsidRPr="00B57B75" w:rsidRDefault="00F154FE" w:rsidP="004725F2">
            <w:pPr>
              <w:pStyle w:val="06Bulletsseriesofsentences"/>
              <w:numPr>
                <w:ilvl w:val="0"/>
                <w:numId w:val="0"/>
              </w:numPr>
              <w:spacing w:before="0"/>
              <w:rPr>
                <w:rFonts w:asciiTheme="minorHAnsi" w:hAnsiTheme="minorHAnsi" w:cstheme="minorHAnsi"/>
                <w:color w:val="auto"/>
                <w:sz w:val="16"/>
                <w:szCs w:val="16"/>
              </w:rPr>
            </w:pPr>
            <w:r w:rsidRPr="00B57B75">
              <w:rPr>
                <w:rFonts w:asciiTheme="minorHAnsi" w:hAnsiTheme="minorHAnsi" w:cstheme="minorHAnsi"/>
                <w:color w:val="auto"/>
                <w:sz w:val="16"/>
                <w:szCs w:val="16"/>
              </w:rPr>
              <w:t xml:space="preserve"> </w:t>
            </w:r>
          </w:p>
        </w:tc>
      </w:tr>
      <w:tr w:rsidR="00F154FE" w:rsidRPr="00B57B75" w14:paraId="5AD0D507" w14:textId="77777777" w:rsidTr="00955C84">
        <w:trPr>
          <w:cnfStyle w:val="000000010000" w:firstRow="0" w:lastRow="0" w:firstColumn="0" w:lastColumn="0" w:oddVBand="0" w:evenVBand="0" w:oddHBand="0" w:evenHBand="1" w:firstRowFirstColumn="0" w:firstRowLastColumn="0" w:lastRowFirstColumn="0" w:lastRowLastColumn="0"/>
        </w:trPr>
        <w:tc>
          <w:tcPr>
            <w:tcW w:w="1002" w:type="pct"/>
          </w:tcPr>
          <w:p w14:paraId="4828C4E4" w14:textId="3B29D1EB" w:rsidR="00F154FE" w:rsidRPr="00B57B75" w:rsidRDefault="00F154FE" w:rsidP="00B57B75">
            <w:pPr>
              <w:pStyle w:val="BodyText"/>
              <w:spacing w:before="0" w:after="0"/>
              <w:rPr>
                <w:rFonts w:cstheme="minorHAnsi"/>
                <w:b/>
                <w:bCs/>
                <w:sz w:val="16"/>
                <w:szCs w:val="16"/>
              </w:rPr>
            </w:pPr>
            <w:r w:rsidRPr="00B57B75">
              <w:rPr>
                <w:rFonts w:cstheme="minorHAnsi"/>
                <w:bCs/>
                <w:sz w:val="16"/>
                <w:szCs w:val="16"/>
              </w:rPr>
              <w:t>Ileostomy</w:t>
            </w:r>
          </w:p>
        </w:tc>
        <w:tc>
          <w:tcPr>
            <w:tcW w:w="1333" w:type="pct"/>
          </w:tcPr>
          <w:p w14:paraId="5F163DD6" w14:textId="77777777"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Bowel cancer</w:t>
            </w:r>
          </w:p>
          <w:p w14:paraId="734F20DE" w14:textId="77777777"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Inflammatory bowel diseases (Crohn’s Disease, Ulcerative Colitis)</w:t>
            </w:r>
          </w:p>
          <w:p w14:paraId="3DACD497" w14:textId="77777777"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Diverticulitis</w:t>
            </w:r>
          </w:p>
          <w:p w14:paraId="2A648D15" w14:textId="77777777"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Bowel obstruction</w:t>
            </w:r>
          </w:p>
          <w:p w14:paraId="6E852B81" w14:textId="77777777"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Trauma</w:t>
            </w:r>
          </w:p>
          <w:p w14:paraId="05E2DBA5" w14:textId="77777777"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 xml:space="preserve">Birth </w:t>
            </w:r>
            <w:proofErr w:type="gramStart"/>
            <w:r w:rsidRPr="00B57B75">
              <w:rPr>
                <w:rFonts w:asciiTheme="minorHAnsi" w:hAnsiTheme="minorHAnsi" w:cstheme="minorHAnsi"/>
                <w:color w:val="auto"/>
                <w:sz w:val="16"/>
                <w:szCs w:val="16"/>
              </w:rPr>
              <w:t>abnormalities</w:t>
            </w:r>
            <w:proofErr w:type="gramEnd"/>
          </w:p>
          <w:p w14:paraId="6B10EC15" w14:textId="33C23E75"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Genetic disorders</w:t>
            </w:r>
          </w:p>
          <w:p w14:paraId="033DC2BD" w14:textId="77777777"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lastRenderedPageBreak/>
              <w:t>Neurological disorders</w:t>
            </w:r>
          </w:p>
        </w:tc>
        <w:tc>
          <w:tcPr>
            <w:tcW w:w="1333" w:type="pct"/>
          </w:tcPr>
          <w:p w14:paraId="1F9F53D6" w14:textId="77777777" w:rsidR="00F154FE" w:rsidRPr="00C316C3" w:rsidRDefault="00F154FE" w:rsidP="00B57B75">
            <w:pPr>
              <w:pStyle w:val="06Bulletsseriesofsentences"/>
              <w:numPr>
                <w:ilvl w:val="0"/>
                <w:numId w:val="0"/>
              </w:numPr>
              <w:spacing w:before="0"/>
              <w:rPr>
                <w:rFonts w:asciiTheme="minorHAnsi" w:hAnsiTheme="minorHAnsi" w:cstheme="minorHAnsi"/>
                <w:b/>
                <w:bCs/>
                <w:color w:val="auto"/>
                <w:sz w:val="16"/>
                <w:szCs w:val="16"/>
              </w:rPr>
            </w:pPr>
            <w:r w:rsidRPr="00C316C3">
              <w:rPr>
                <w:rFonts w:asciiTheme="minorHAnsi" w:hAnsiTheme="minorHAnsi" w:cstheme="minorHAnsi"/>
                <w:b/>
                <w:bCs/>
                <w:color w:val="auto"/>
                <w:sz w:val="16"/>
                <w:szCs w:val="16"/>
              </w:rPr>
              <w:lastRenderedPageBreak/>
              <w:t>31.8%</w:t>
            </w:r>
          </w:p>
          <w:p w14:paraId="3E600ADD" w14:textId="77777777" w:rsidR="00F154FE" w:rsidRPr="00B57B75" w:rsidRDefault="00F154FE" w:rsidP="00B57B75">
            <w:pPr>
              <w:pStyle w:val="06Bulletsseriesofsentences"/>
              <w:numPr>
                <w:ilvl w:val="0"/>
                <w:numId w:val="0"/>
              </w:numPr>
              <w:spacing w:before="0"/>
              <w:rPr>
                <w:rFonts w:asciiTheme="minorHAnsi" w:hAnsiTheme="minorHAnsi" w:cstheme="minorHAnsi"/>
                <w:color w:val="auto"/>
                <w:sz w:val="16"/>
                <w:szCs w:val="16"/>
              </w:rPr>
            </w:pPr>
          </w:p>
          <w:p w14:paraId="058D9D20" w14:textId="77777777" w:rsidR="00F154FE" w:rsidRPr="00B57B75" w:rsidRDefault="00F154FE" w:rsidP="00B57B75">
            <w:pPr>
              <w:pStyle w:val="06Bulletsseriesofsentences"/>
              <w:numPr>
                <w:ilvl w:val="0"/>
                <w:numId w:val="0"/>
              </w:numPr>
              <w:spacing w:before="0"/>
              <w:rPr>
                <w:rFonts w:asciiTheme="minorHAnsi" w:hAnsiTheme="minorHAnsi" w:cstheme="minorHAnsi"/>
                <w:color w:val="auto"/>
                <w:sz w:val="16"/>
                <w:szCs w:val="16"/>
              </w:rPr>
            </w:pPr>
            <w:r w:rsidRPr="00B57B75">
              <w:rPr>
                <w:rFonts w:asciiTheme="minorHAnsi" w:hAnsiTheme="minorHAnsi" w:cstheme="minorHAnsi"/>
                <w:color w:val="auto"/>
                <w:sz w:val="16"/>
                <w:szCs w:val="16"/>
              </w:rPr>
              <w:t>(3.0% of these have two stomas, and 0.1% of these have three stomas)</w:t>
            </w:r>
          </w:p>
        </w:tc>
        <w:tc>
          <w:tcPr>
            <w:tcW w:w="1333" w:type="pct"/>
          </w:tcPr>
          <w:p w14:paraId="16F07C69" w14:textId="77777777" w:rsidR="004725F2" w:rsidRDefault="004725F2" w:rsidP="00B57B75">
            <w:pPr>
              <w:spacing w:before="0" w:after="0"/>
              <w:rPr>
                <w:rFonts w:eastAsia="Calibri" w:cstheme="minorHAnsi"/>
                <w:sz w:val="16"/>
                <w:szCs w:val="16"/>
              </w:rPr>
            </w:pPr>
          </w:p>
          <w:tbl>
            <w:tblPr>
              <w:tblStyle w:val="TableGrid"/>
              <w:tblW w:w="0" w:type="auto"/>
              <w:tblLayout w:type="fixed"/>
              <w:tblCellMar>
                <w:left w:w="57" w:type="dxa"/>
                <w:right w:w="57" w:type="dxa"/>
              </w:tblCellMar>
              <w:tblLook w:val="04A0" w:firstRow="1" w:lastRow="0" w:firstColumn="1" w:lastColumn="0" w:noHBand="0" w:noVBand="1"/>
            </w:tblPr>
            <w:tblGrid>
              <w:gridCol w:w="1014"/>
              <w:gridCol w:w="914"/>
              <w:gridCol w:w="914"/>
              <w:gridCol w:w="915"/>
            </w:tblGrid>
            <w:tr w:rsidR="004725F2" w:rsidRPr="004725F2" w14:paraId="7BB96CC0" w14:textId="77777777" w:rsidTr="00902AFA">
              <w:tc>
                <w:tcPr>
                  <w:tcW w:w="1014" w:type="dxa"/>
                  <w:shd w:val="clear" w:color="auto" w:fill="00685B" w:themeFill="accent4"/>
                </w:tcPr>
                <w:p w14:paraId="4C46FFA9" w14:textId="77777777" w:rsidR="004725F2" w:rsidRPr="004725F2" w:rsidRDefault="004725F2" w:rsidP="004725F2">
                  <w:pPr>
                    <w:pStyle w:val="06Bulletsseriesofsentences"/>
                    <w:numPr>
                      <w:ilvl w:val="0"/>
                      <w:numId w:val="0"/>
                    </w:numPr>
                    <w:spacing w:before="0"/>
                    <w:rPr>
                      <w:rFonts w:asciiTheme="minorHAnsi" w:hAnsiTheme="minorHAnsi" w:cstheme="minorHAnsi"/>
                      <w:b/>
                      <w:bCs/>
                      <w:color w:val="FFFFFF" w:themeColor="background1"/>
                      <w:sz w:val="14"/>
                      <w:szCs w:val="14"/>
                    </w:rPr>
                  </w:pPr>
                  <w:r w:rsidRPr="004725F2">
                    <w:rPr>
                      <w:rFonts w:asciiTheme="minorHAnsi" w:hAnsiTheme="minorHAnsi" w:cstheme="minorHAnsi"/>
                      <w:b/>
                      <w:bCs/>
                      <w:color w:val="FFFFFF" w:themeColor="background1"/>
                      <w:sz w:val="14"/>
                      <w:szCs w:val="14"/>
                    </w:rPr>
                    <w:t>Expenditure ($)</w:t>
                  </w:r>
                </w:p>
              </w:tc>
              <w:tc>
                <w:tcPr>
                  <w:tcW w:w="914" w:type="dxa"/>
                  <w:shd w:val="clear" w:color="auto" w:fill="00685B" w:themeFill="accent4"/>
                  <w:vAlign w:val="center"/>
                </w:tcPr>
                <w:p w14:paraId="5ACACA50" w14:textId="77777777" w:rsidR="004725F2" w:rsidRPr="004725F2" w:rsidRDefault="004725F2" w:rsidP="00902AFA">
                  <w:pPr>
                    <w:pStyle w:val="06Bulletsseriesofsentences"/>
                    <w:numPr>
                      <w:ilvl w:val="0"/>
                      <w:numId w:val="0"/>
                    </w:numPr>
                    <w:spacing w:before="0"/>
                    <w:jc w:val="center"/>
                    <w:rPr>
                      <w:rFonts w:asciiTheme="minorHAnsi" w:hAnsiTheme="minorHAnsi" w:cstheme="minorHAnsi"/>
                      <w:b/>
                      <w:bCs/>
                      <w:color w:val="FFFFFF" w:themeColor="background1"/>
                      <w:sz w:val="14"/>
                      <w:szCs w:val="14"/>
                    </w:rPr>
                  </w:pPr>
                  <w:r w:rsidRPr="004725F2">
                    <w:rPr>
                      <w:rFonts w:asciiTheme="minorHAnsi" w:hAnsiTheme="minorHAnsi" w:cstheme="minorHAnsi"/>
                      <w:b/>
                      <w:bCs/>
                      <w:color w:val="FFFFFF" w:themeColor="background1"/>
                      <w:sz w:val="14"/>
                      <w:szCs w:val="14"/>
                    </w:rPr>
                    <w:t>One stoma</w:t>
                  </w:r>
                </w:p>
              </w:tc>
              <w:tc>
                <w:tcPr>
                  <w:tcW w:w="914" w:type="dxa"/>
                  <w:shd w:val="clear" w:color="auto" w:fill="00685B" w:themeFill="accent4"/>
                  <w:vAlign w:val="center"/>
                </w:tcPr>
                <w:p w14:paraId="30C049B0" w14:textId="77777777" w:rsidR="004725F2" w:rsidRPr="004725F2" w:rsidRDefault="004725F2" w:rsidP="00902AFA">
                  <w:pPr>
                    <w:pStyle w:val="06Bulletsseriesofsentences"/>
                    <w:numPr>
                      <w:ilvl w:val="0"/>
                      <w:numId w:val="0"/>
                    </w:numPr>
                    <w:spacing w:before="0"/>
                    <w:jc w:val="center"/>
                    <w:rPr>
                      <w:rFonts w:asciiTheme="minorHAnsi" w:hAnsiTheme="minorHAnsi" w:cstheme="minorHAnsi"/>
                      <w:b/>
                      <w:bCs/>
                      <w:color w:val="FFFFFF" w:themeColor="background1"/>
                      <w:sz w:val="14"/>
                      <w:szCs w:val="14"/>
                    </w:rPr>
                  </w:pPr>
                  <w:r w:rsidRPr="004725F2">
                    <w:rPr>
                      <w:rFonts w:asciiTheme="minorHAnsi" w:hAnsiTheme="minorHAnsi" w:cstheme="minorHAnsi"/>
                      <w:b/>
                      <w:bCs/>
                      <w:color w:val="FFFFFF" w:themeColor="background1"/>
                      <w:sz w:val="14"/>
                      <w:szCs w:val="14"/>
                    </w:rPr>
                    <w:t>Two stomas</w:t>
                  </w:r>
                </w:p>
              </w:tc>
              <w:tc>
                <w:tcPr>
                  <w:tcW w:w="915" w:type="dxa"/>
                  <w:shd w:val="clear" w:color="auto" w:fill="00685B" w:themeFill="accent4"/>
                  <w:vAlign w:val="center"/>
                </w:tcPr>
                <w:p w14:paraId="5BD7AA9F" w14:textId="77777777" w:rsidR="004725F2" w:rsidRPr="004725F2" w:rsidRDefault="004725F2" w:rsidP="00902AFA">
                  <w:pPr>
                    <w:pStyle w:val="06Bulletsseriesofsentences"/>
                    <w:numPr>
                      <w:ilvl w:val="0"/>
                      <w:numId w:val="0"/>
                    </w:numPr>
                    <w:spacing w:before="0"/>
                    <w:jc w:val="center"/>
                    <w:rPr>
                      <w:rFonts w:asciiTheme="minorHAnsi" w:hAnsiTheme="minorHAnsi" w:cstheme="minorHAnsi"/>
                      <w:b/>
                      <w:bCs/>
                      <w:color w:val="FFFFFF" w:themeColor="background1"/>
                      <w:sz w:val="14"/>
                      <w:szCs w:val="14"/>
                    </w:rPr>
                  </w:pPr>
                  <w:r w:rsidRPr="004725F2">
                    <w:rPr>
                      <w:rFonts w:asciiTheme="minorHAnsi" w:hAnsiTheme="minorHAnsi" w:cstheme="minorHAnsi"/>
                      <w:b/>
                      <w:bCs/>
                      <w:color w:val="FFFFFF" w:themeColor="background1"/>
                      <w:sz w:val="14"/>
                      <w:szCs w:val="14"/>
                    </w:rPr>
                    <w:t>Three stomas</w:t>
                  </w:r>
                </w:p>
              </w:tc>
            </w:tr>
            <w:tr w:rsidR="00902AFA" w:rsidRPr="004725F2" w14:paraId="4B7B7021" w14:textId="77777777" w:rsidTr="00902AFA">
              <w:tc>
                <w:tcPr>
                  <w:tcW w:w="1014" w:type="dxa"/>
                </w:tcPr>
                <w:p w14:paraId="138DFD89" w14:textId="77777777" w:rsidR="00902AFA" w:rsidRPr="004725F2" w:rsidRDefault="00902AFA" w:rsidP="00902AFA">
                  <w:pPr>
                    <w:pStyle w:val="06Bulletsseriesofsentences"/>
                    <w:numPr>
                      <w:ilvl w:val="0"/>
                      <w:numId w:val="0"/>
                    </w:numPr>
                    <w:spacing w:before="0"/>
                    <w:rPr>
                      <w:rFonts w:asciiTheme="minorHAnsi" w:hAnsiTheme="minorHAnsi" w:cstheme="minorHAnsi"/>
                      <w:color w:val="auto"/>
                      <w:sz w:val="14"/>
                      <w:szCs w:val="14"/>
                    </w:rPr>
                  </w:pPr>
                  <w:r w:rsidRPr="004725F2">
                    <w:rPr>
                      <w:rFonts w:asciiTheme="minorHAnsi" w:hAnsiTheme="minorHAnsi" w:cstheme="minorHAnsi"/>
                      <w:color w:val="auto"/>
                      <w:sz w:val="14"/>
                      <w:szCs w:val="14"/>
                    </w:rPr>
                    <w:t>Min</w:t>
                  </w:r>
                </w:p>
              </w:tc>
              <w:tc>
                <w:tcPr>
                  <w:tcW w:w="914" w:type="dxa"/>
                  <w:vAlign w:val="center"/>
                </w:tcPr>
                <w:p w14:paraId="494426F1" w14:textId="078E8CE9" w:rsidR="00902AFA" w:rsidRPr="003F00CA" w:rsidRDefault="00902AFA" w:rsidP="00902AF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$38</w:t>
                  </w:r>
                </w:p>
              </w:tc>
              <w:tc>
                <w:tcPr>
                  <w:tcW w:w="914" w:type="dxa"/>
                  <w:vAlign w:val="center"/>
                </w:tcPr>
                <w:p w14:paraId="5696D1E7" w14:textId="24415C65" w:rsidR="00902AFA" w:rsidRPr="003F00CA" w:rsidRDefault="00902AFA" w:rsidP="00902AF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$366</w:t>
                  </w:r>
                </w:p>
              </w:tc>
              <w:tc>
                <w:tcPr>
                  <w:tcW w:w="915" w:type="dxa"/>
                  <w:vAlign w:val="center"/>
                </w:tcPr>
                <w:p w14:paraId="72FF6966" w14:textId="1FF57B6A" w:rsidR="00902AFA" w:rsidRPr="003F00CA" w:rsidRDefault="00902AFA" w:rsidP="00902AF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$526</w:t>
                  </w:r>
                </w:p>
              </w:tc>
            </w:tr>
            <w:tr w:rsidR="00902AFA" w:rsidRPr="004725F2" w14:paraId="287208C5" w14:textId="77777777" w:rsidTr="00902AFA">
              <w:tc>
                <w:tcPr>
                  <w:tcW w:w="1014" w:type="dxa"/>
                </w:tcPr>
                <w:p w14:paraId="5989886A" w14:textId="77777777" w:rsidR="00902AFA" w:rsidRPr="004725F2" w:rsidRDefault="00902AFA" w:rsidP="00902AFA">
                  <w:pPr>
                    <w:pStyle w:val="06Bulletsseriesofsentences"/>
                    <w:numPr>
                      <w:ilvl w:val="0"/>
                      <w:numId w:val="0"/>
                    </w:numPr>
                    <w:spacing w:before="0"/>
                    <w:rPr>
                      <w:rFonts w:asciiTheme="minorHAnsi" w:hAnsiTheme="minorHAnsi" w:cstheme="minorHAnsi"/>
                      <w:color w:val="auto"/>
                      <w:sz w:val="14"/>
                      <w:szCs w:val="14"/>
                    </w:rPr>
                  </w:pPr>
                  <w:r w:rsidRPr="004725F2">
                    <w:rPr>
                      <w:rFonts w:asciiTheme="minorHAnsi" w:hAnsiTheme="minorHAnsi" w:cstheme="minorHAnsi"/>
                      <w:color w:val="auto"/>
                      <w:sz w:val="14"/>
                      <w:szCs w:val="14"/>
                    </w:rPr>
                    <w:t>Average</w:t>
                  </w:r>
                </w:p>
              </w:tc>
              <w:tc>
                <w:tcPr>
                  <w:tcW w:w="914" w:type="dxa"/>
                  <w:vAlign w:val="center"/>
                </w:tcPr>
                <w:p w14:paraId="0C432FF7" w14:textId="2EC8F589" w:rsidR="00902AFA" w:rsidRPr="003F00CA" w:rsidRDefault="00902AFA" w:rsidP="00902AF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$2,555</w:t>
                  </w:r>
                </w:p>
              </w:tc>
              <w:tc>
                <w:tcPr>
                  <w:tcW w:w="914" w:type="dxa"/>
                  <w:vAlign w:val="center"/>
                </w:tcPr>
                <w:p w14:paraId="0893C7F6" w14:textId="74AF6094" w:rsidR="00902AFA" w:rsidRPr="003F00CA" w:rsidRDefault="00902AFA" w:rsidP="00902AF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$4,505</w:t>
                  </w:r>
                </w:p>
              </w:tc>
              <w:tc>
                <w:tcPr>
                  <w:tcW w:w="915" w:type="dxa"/>
                  <w:vAlign w:val="center"/>
                </w:tcPr>
                <w:p w14:paraId="286AE8CF" w14:textId="50021262" w:rsidR="00902AFA" w:rsidRPr="003F00CA" w:rsidRDefault="00902AFA" w:rsidP="00902AF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$3,731</w:t>
                  </w:r>
                </w:p>
              </w:tc>
            </w:tr>
            <w:tr w:rsidR="00902AFA" w:rsidRPr="004725F2" w14:paraId="751FDB0F" w14:textId="77777777" w:rsidTr="00902AFA">
              <w:tc>
                <w:tcPr>
                  <w:tcW w:w="1014" w:type="dxa"/>
                </w:tcPr>
                <w:p w14:paraId="39C7308E" w14:textId="77777777" w:rsidR="00902AFA" w:rsidRPr="004725F2" w:rsidRDefault="00902AFA" w:rsidP="00902AFA">
                  <w:pPr>
                    <w:pStyle w:val="06Bulletsseriesofsentences"/>
                    <w:numPr>
                      <w:ilvl w:val="0"/>
                      <w:numId w:val="0"/>
                    </w:numPr>
                    <w:spacing w:before="0"/>
                    <w:rPr>
                      <w:rFonts w:asciiTheme="minorHAnsi" w:hAnsiTheme="minorHAnsi" w:cstheme="minorHAnsi"/>
                      <w:color w:val="auto"/>
                      <w:sz w:val="14"/>
                      <w:szCs w:val="14"/>
                    </w:rPr>
                  </w:pPr>
                  <w:r w:rsidRPr="004725F2">
                    <w:rPr>
                      <w:rFonts w:asciiTheme="minorHAnsi" w:hAnsiTheme="minorHAnsi" w:cstheme="minorHAnsi"/>
                      <w:color w:val="auto"/>
                      <w:sz w:val="14"/>
                      <w:szCs w:val="14"/>
                    </w:rPr>
                    <w:t>Median</w:t>
                  </w:r>
                </w:p>
              </w:tc>
              <w:tc>
                <w:tcPr>
                  <w:tcW w:w="914" w:type="dxa"/>
                  <w:vAlign w:val="center"/>
                </w:tcPr>
                <w:p w14:paraId="299E79E6" w14:textId="4D9BEBA0" w:rsidR="00902AFA" w:rsidRPr="003F00CA" w:rsidRDefault="00902AFA" w:rsidP="00902AF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$2,224</w:t>
                  </w:r>
                </w:p>
              </w:tc>
              <w:tc>
                <w:tcPr>
                  <w:tcW w:w="914" w:type="dxa"/>
                  <w:vAlign w:val="center"/>
                </w:tcPr>
                <w:p w14:paraId="3FB73CE1" w14:textId="6808AB87" w:rsidR="00902AFA" w:rsidRPr="003F00CA" w:rsidRDefault="00902AFA" w:rsidP="00902AF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$3,918</w:t>
                  </w:r>
                </w:p>
              </w:tc>
              <w:tc>
                <w:tcPr>
                  <w:tcW w:w="915" w:type="dxa"/>
                  <w:vAlign w:val="center"/>
                </w:tcPr>
                <w:p w14:paraId="73A752C9" w14:textId="53E84A7E" w:rsidR="00902AFA" w:rsidRPr="003F00CA" w:rsidRDefault="00902AFA" w:rsidP="00902AF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$3,207</w:t>
                  </w:r>
                </w:p>
              </w:tc>
            </w:tr>
            <w:tr w:rsidR="00902AFA" w:rsidRPr="004725F2" w14:paraId="55F95466" w14:textId="77777777" w:rsidTr="00902AFA">
              <w:trPr>
                <w:trHeight w:val="37"/>
              </w:trPr>
              <w:tc>
                <w:tcPr>
                  <w:tcW w:w="1014" w:type="dxa"/>
                </w:tcPr>
                <w:p w14:paraId="6223B9F8" w14:textId="77777777" w:rsidR="00902AFA" w:rsidRPr="004725F2" w:rsidRDefault="00902AFA" w:rsidP="00902AFA">
                  <w:pPr>
                    <w:pStyle w:val="06Bulletsseriesofsentences"/>
                    <w:numPr>
                      <w:ilvl w:val="0"/>
                      <w:numId w:val="0"/>
                    </w:numPr>
                    <w:spacing w:before="0"/>
                    <w:rPr>
                      <w:rFonts w:asciiTheme="minorHAnsi" w:hAnsiTheme="minorHAnsi" w:cstheme="minorHAnsi"/>
                      <w:color w:val="auto"/>
                      <w:sz w:val="14"/>
                      <w:szCs w:val="14"/>
                    </w:rPr>
                  </w:pPr>
                  <w:r w:rsidRPr="004725F2">
                    <w:rPr>
                      <w:rFonts w:asciiTheme="minorHAnsi" w:hAnsiTheme="minorHAnsi" w:cstheme="minorHAnsi"/>
                      <w:color w:val="auto"/>
                      <w:sz w:val="14"/>
                      <w:szCs w:val="14"/>
                    </w:rPr>
                    <w:t>Max</w:t>
                  </w:r>
                </w:p>
              </w:tc>
              <w:tc>
                <w:tcPr>
                  <w:tcW w:w="914" w:type="dxa"/>
                  <w:vAlign w:val="center"/>
                </w:tcPr>
                <w:p w14:paraId="0FA2521D" w14:textId="4DACD7F9" w:rsidR="00902AFA" w:rsidRPr="003F00CA" w:rsidRDefault="00902AFA" w:rsidP="00902AF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$21,797</w:t>
                  </w:r>
                </w:p>
              </w:tc>
              <w:tc>
                <w:tcPr>
                  <w:tcW w:w="914" w:type="dxa"/>
                  <w:vAlign w:val="center"/>
                </w:tcPr>
                <w:p w14:paraId="6134CF0A" w14:textId="0BB939F0" w:rsidR="00902AFA" w:rsidRPr="003F00CA" w:rsidRDefault="00902AFA" w:rsidP="00902AF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$14,431</w:t>
                  </w:r>
                </w:p>
              </w:tc>
              <w:tc>
                <w:tcPr>
                  <w:tcW w:w="915" w:type="dxa"/>
                  <w:vAlign w:val="center"/>
                </w:tcPr>
                <w:p w14:paraId="41F7AECA" w14:textId="4587B2A2" w:rsidR="00902AFA" w:rsidRPr="003F00CA" w:rsidRDefault="00902AFA" w:rsidP="00902AF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$7,795</w:t>
                  </w:r>
                </w:p>
              </w:tc>
            </w:tr>
          </w:tbl>
          <w:p w14:paraId="41C8B7FB" w14:textId="77777777" w:rsidR="004725F2" w:rsidRDefault="004725F2" w:rsidP="00B57B75">
            <w:pPr>
              <w:spacing w:before="0" w:after="0"/>
              <w:rPr>
                <w:rFonts w:eastAsia="Calibri" w:cstheme="minorHAnsi"/>
                <w:sz w:val="16"/>
                <w:szCs w:val="16"/>
              </w:rPr>
            </w:pPr>
          </w:p>
          <w:p w14:paraId="0033B5C4" w14:textId="1F53787A" w:rsidR="00F154FE" w:rsidRPr="00B57B75" w:rsidRDefault="00F154FE" w:rsidP="004725F2">
            <w:pPr>
              <w:spacing w:before="0" w:after="0"/>
              <w:rPr>
                <w:rFonts w:eastAsia="Calibri" w:cstheme="minorHAnsi"/>
                <w:sz w:val="16"/>
                <w:szCs w:val="16"/>
              </w:rPr>
            </w:pPr>
          </w:p>
        </w:tc>
      </w:tr>
      <w:tr w:rsidR="00F154FE" w:rsidRPr="00B57B75" w14:paraId="7EEA93B3" w14:textId="77777777" w:rsidTr="00955C84">
        <w:tc>
          <w:tcPr>
            <w:tcW w:w="1002" w:type="pct"/>
          </w:tcPr>
          <w:p w14:paraId="1889498F" w14:textId="77777777" w:rsidR="00F154FE" w:rsidRPr="00B57B75" w:rsidRDefault="00F154FE" w:rsidP="00B57B75">
            <w:pPr>
              <w:pStyle w:val="BodyText"/>
              <w:spacing w:before="0" w:after="0"/>
              <w:rPr>
                <w:rFonts w:cstheme="minorHAnsi"/>
                <w:b/>
                <w:sz w:val="16"/>
                <w:szCs w:val="16"/>
              </w:rPr>
            </w:pPr>
            <w:r w:rsidRPr="00B57B75">
              <w:rPr>
                <w:rFonts w:cstheme="minorHAnsi"/>
                <w:sz w:val="16"/>
                <w:szCs w:val="16"/>
              </w:rPr>
              <w:lastRenderedPageBreak/>
              <w:t>Urostomy</w:t>
            </w:r>
          </w:p>
        </w:tc>
        <w:tc>
          <w:tcPr>
            <w:tcW w:w="1333" w:type="pct"/>
          </w:tcPr>
          <w:p w14:paraId="65D7B6E8" w14:textId="77777777"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Bladder cancer</w:t>
            </w:r>
          </w:p>
          <w:p w14:paraId="1F90D8D2" w14:textId="77777777"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Bladder obstruction</w:t>
            </w:r>
          </w:p>
          <w:p w14:paraId="12DAB168" w14:textId="77777777"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Trauma</w:t>
            </w:r>
          </w:p>
          <w:p w14:paraId="6AD49056" w14:textId="77777777"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 xml:space="preserve">Birth </w:t>
            </w:r>
            <w:proofErr w:type="gramStart"/>
            <w:r w:rsidRPr="00B57B75">
              <w:rPr>
                <w:rFonts w:asciiTheme="minorHAnsi" w:hAnsiTheme="minorHAnsi" w:cstheme="minorHAnsi"/>
                <w:color w:val="auto"/>
                <w:sz w:val="16"/>
                <w:szCs w:val="16"/>
              </w:rPr>
              <w:t>abnormalities</w:t>
            </w:r>
            <w:proofErr w:type="gramEnd"/>
          </w:p>
          <w:p w14:paraId="77B21DDD" w14:textId="3DE2E02D"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Genetic disorders</w:t>
            </w:r>
          </w:p>
          <w:p w14:paraId="07309369" w14:textId="77777777"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Neurological disorders</w:t>
            </w:r>
          </w:p>
        </w:tc>
        <w:tc>
          <w:tcPr>
            <w:tcW w:w="1333" w:type="pct"/>
          </w:tcPr>
          <w:p w14:paraId="39063308" w14:textId="77777777" w:rsidR="00F154FE" w:rsidRPr="00C316C3" w:rsidRDefault="00F154FE" w:rsidP="00B57B75">
            <w:pPr>
              <w:pStyle w:val="06Bulletsseriesofsentences"/>
              <w:numPr>
                <w:ilvl w:val="0"/>
                <w:numId w:val="0"/>
              </w:numPr>
              <w:spacing w:before="0"/>
              <w:rPr>
                <w:rFonts w:asciiTheme="minorHAnsi" w:hAnsiTheme="minorHAnsi" w:cstheme="minorHAnsi"/>
                <w:b/>
                <w:bCs/>
                <w:color w:val="auto"/>
                <w:sz w:val="16"/>
                <w:szCs w:val="16"/>
              </w:rPr>
            </w:pPr>
            <w:r w:rsidRPr="00C316C3">
              <w:rPr>
                <w:rFonts w:asciiTheme="minorHAnsi" w:hAnsiTheme="minorHAnsi" w:cstheme="minorHAnsi"/>
                <w:b/>
                <w:bCs/>
                <w:color w:val="auto"/>
                <w:sz w:val="16"/>
                <w:szCs w:val="16"/>
              </w:rPr>
              <w:t>17.7%</w:t>
            </w:r>
          </w:p>
          <w:p w14:paraId="3DE08B47" w14:textId="77777777" w:rsidR="00F154FE" w:rsidRPr="00B57B75" w:rsidRDefault="00F154FE" w:rsidP="00B57B75">
            <w:pPr>
              <w:pStyle w:val="06Bulletsseriesofsentences"/>
              <w:numPr>
                <w:ilvl w:val="0"/>
                <w:numId w:val="0"/>
              </w:numPr>
              <w:spacing w:before="0"/>
              <w:rPr>
                <w:rFonts w:asciiTheme="minorHAnsi" w:hAnsiTheme="minorHAnsi" w:cstheme="minorHAnsi"/>
                <w:color w:val="auto"/>
                <w:sz w:val="16"/>
                <w:szCs w:val="16"/>
              </w:rPr>
            </w:pPr>
          </w:p>
          <w:p w14:paraId="6A4C06AC" w14:textId="77777777" w:rsidR="00F154FE" w:rsidRPr="00B57B75" w:rsidRDefault="00F154FE" w:rsidP="00B57B75">
            <w:pPr>
              <w:pStyle w:val="06Bulletsseriesofsentences"/>
              <w:numPr>
                <w:ilvl w:val="0"/>
                <w:numId w:val="0"/>
              </w:numPr>
              <w:spacing w:before="0"/>
              <w:rPr>
                <w:rFonts w:asciiTheme="minorHAnsi" w:hAnsiTheme="minorHAnsi" w:cstheme="minorHAnsi"/>
                <w:color w:val="auto"/>
                <w:sz w:val="16"/>
                <w:szCs w:val="16"/>
              </w:rPr>
            </w:pPr>
            <w:r w:rsidRPr="00B57B75">
              <w:rPr>
                <w:rFonts w:asciiTheme="minorHAnsi" w:hAnsiTheme="minorHAnsi" w:cstheme="minorHAnsi"/>
                <w:color w:val="auto"/>
                <w:sz w:val="16"/>
                <w:szCs w:val="16"/>
              </w:rPr>
              <w:t>(13.6% of these have two stomas, and 0.2% of these have three stomas)</w:t>
            </w:r>
          </w:p>
        </w:tc>
        <w:tc>
          <w:tcPr>
            <w:tcW w:w="1333" w:type="pct"/>
          </w:tcPr>
          <w:tbl>
            <w:tblPr>
              <w:tblStyle w:val="TableGrid"/>
              <w:tblW w:w="0" w:type="auto"/>
              <w:tblLayout w:type="fixed"/>
              <w:tblCellMar>
                <w:left w:w="57" w:type="dxa"/>
                <w:right w:w="57" w:type="dxa"/>
              </w:tblCellMar>
              <w:tblLook w:val="04A0" w:firstRow="1" w:lastRow="0" w:firstColumn="1" w:lastColumn="0" w:noHBand="0" w:noVBand="1"/>
            </w:tblPr>
            <w:tblGrid>
              <w:gridCol w:w="1014"/>
              <w:gridCol w:w="914"/>
              <w:gridCol w:w="914"/>
              <w:gridCol w:w="915"/>
            </w:tblGrid>
            <w:tr w:rsidR="004725F2" w:rsidRPr="004725F2" w14:paraId="78AA340E" w14:textId="77777777" w:rsidTr="005C7AC1">
              <w:tc>
                <w:tcPr>
                  <w:tcW w:w="1014" w:type="dxa"/>
                  <w:shd w:val="clear" w:color="auto" w:fill="00685B" w:themeFill="accent4"/>
                </w:tcPr>
                <w:p w14:paraId="65939A9E" w14:textId="77777777" w:rsidR="004725F2" w:rsidRPr="004725F2" w:rsidRDefault="004725F2" w:rsidP="004725F2">
                  <w:pPr>
                    <w:pStyle w:val="06Bulletsseriesofsentences"/>
                    <w:numPr>
                      <w:ilvl w:val="0"/>
                      <w:numId w:val="0"/>
                    </w:numPr>
                    <w:spacing w:before="0"/>
                    <w:rPr>
                      <w:rFonts w:asciiTheme="minorHAnsi" w:hAnsiTheme="minorHAnsi" w:cstheme="minorHAnsi"/>
                      <w:b/>
                      <w:bCs/>
                      <w:color w:val="FFFFFF" w:themeColor="background1"/>
                      <w:sz w:val="14"/>
                      <w:szCs w:val="14"/>
                    </w:rPr>
                  </w:pPr>
                  <w:r w:rsidRPr="004725F2">
                    <w:rPr>
                      <w:rFonts w:asciiTheme="minorHAnsi" w:hAnsiTheme="minorHAnsi" w:cstheme="minorHAnsi"/>
                      <w:b/>
                      <w:bCs/>
                      <w:color w:val="FFFFFF" w:themeColor="background1"/>
                      <w:sz w:val="14"/>
                      <w:szCs w:val="14"/>
                    </w:rPr>
                    <w:t>Expenditure ($)</w:t>
                  </w:r>
                </w:p>
              </w:tc>
              <w:tc>
                <w:tcPr>
                  <w:tcW w:w="914" w:type="dxa"/>
                  <w:shd w:val="clear" w:color="auto" w:fill="00685B" w:themeFill="accent4"/>
                  <w:vAlign w:val="center"/>
                </w:tcPr>
                <w:p w14:paraId="6A9F85E6" w14:textId="77777777" w:rsidR="004725F2" w:rsidRPr="004725F2" w:rsidRDefault="004725F2" w:rsidP="004725F2">
                  <w:pPr>
                    <w:pStyle w:val="06Bulletsseriesofsentences"/>
                    <w:numPr>
                      <w:ilvl w:val="0"/>
                      <w:numId w:val="0"/>
                    </w:numPr>
                    <w:spacing w:before="0"/>
                    <w:jc w:val="center"/>
                    <w:rPr>
                      <w:rFonts w:asciiTheme="minorHAnsi" w:hAnsiTheme="minorHAnsi" w:cstheme="minorHAnsi"/>
                      <w:b/>
                      <w:bCs/>
                      <w:color w:val="FFFFFF" w:themeColor="background1"/>
                      <w:sz w:val="14"/>
                      <w:szCs w:val="14"/>
                    </w:rPr>
                  </w:pPr>
                  <w:r w:rsidRPr="004725F2">
                    <w:rPr>
                      <w:rFonts w:asciiTheme="minorHAnsi" w:hAnsiTheme="minorHAnsi" w:cstheme="minorHAnsi"/>
                      <w:b/>
                      <w:bCs/>
                      <w:color w:val="FFFFFF" w:themeColor="background1"/>
                      <w:sz w:val="14"/>
                      <w:szCs w:val="14"/>
                    </w:rPr>
                    <w:t>One stoma</w:t>
                  </w:r>
                </w:p>
              </w:tc>
              <w:tc>
                <w:tcPr>
                  <w:tcW w:w="914" w:type="dxa"/>
                  <w:shd w:val="clear" w:color="auto" w:fill="00685B" w:themeFill="accent4"/>
                  <w:vAlign w:val="center"/>
                </w:tcPr>
                <w:p w14:paraId="04E0B4FB" w14:textId="77777777" w:rsidR="004725F2" w:rsidRPr="004725F2" w:rsidRDefault="004725F2" w:rsidP="004725F2">
                  <w:pPr>
                    <w:pStyle w:val="06Bulletsseriesofsentences"/>
                    <w:numPr>
                      <w:ilvl w:val="0"/>
                      <w:numId w:val="0"/>
                    </w:numPr>
                    <w:spacing w:before="0"/>
                    <w:jc w:val="center"/>
                    <w:rPr>
                      <w:rFonts w:asciiTheme="minorHAnsi" w:hAnsiTheme="minorHAnsi" w:cstheme="minorHAnsi"/>
                      <w:b/>
                      <w:bCs/>
                      <w:color w:val="FFFFFF" w:themeColor="background1"/>
                      <w:sz w:val="14"/>
                      <w:szCs w:val="14"/>
                    </w:rPr>
                  </w:pPr>
                  <w:r w:rsidRPr="004725F2">
                    <w:rPr>
                      <w:rFonts w:asciiTheme="minorHAnsi" w:hAnsiTheme="minorHAnsi" w:cstheme="minorHAnsi"/>
                      <w:b/>
                      <w:bCs/>
                      <w:color w:val="FFFFFF" w:themeColor="background1"/>
                      <w:sz w:val="14"/>
                      <w:szCs w:val="14"/>
                    </w:rPr>
                    <w:t>Two stomas</w:t>
                  </w:r>
                </w:p>
              </w:tc>
              <w:tc>
                <w:tcPr>
                  <w:tcW w:w="915" w:type="dxa"/>
                  <w:shd w:val="clear" w:color="auto" w:fill="00685B" w:themeFill="accent4"/>
                  <w:vAlign w:val="center"/>
                </w:tcPr>
                <w:p w14:paraId="3B8BAE4B" w14:textId="77777777" w:rsidR="004725F2" w:rsidRPr="004725F2" w:rsidRDefault="004725F2" w:rsidP="004725F2">
                  <w:pPr>
                    <w:pStyle w:val="06Bulletsseriesofsentences"/>
                    <w:numPr>
                      <w:ilvl w:val="0"/>
                      <w:numId w:val="0"/>
                    </w:numPr>
                    <w:spacing w:before="0"/>
                    <w:jc w:val="center"/>
                    <w:rPr>
                      <w:rFonts w:asciiTheme="minorHAnsi" w:hAnsiTheme="minorHAnsi" w:cstheme="minorHAnsi"/>
                      <w:b/>
                      <w:bCs/>
                      <w:color w:val="FFFFFF" w:themeColor="background1"/>
                      <w:sz w:val="14"/>
                      <w:szCs w:val="14"/>
                    </w:rPr>
                  </w:pPr>
                  <w:r w:rsidRPr="004725F2">
                    <w:rPr>
                      <w:rFonts w:asciiTheme="minorHAnsi" w:hAnsiTheme="minorHAnsi" w:cstheme="minorHAnsi"/>
                      <w:b/>
                      <w:bCs/>
                      <w:color w:val="FFFFFF" w:themeColor="background1"/>
                      <w:sz w:val="14"/>
                      <w:szCs w:val="14"/>
                    </w:rPr>
                    <w:t>Three stomas</w:t>
                  </w:r>
                </w:p>
              </w:tc>
            </w:tr>
            <w:tr w:rsidR="003F6793" w:rsidRPr="004725F2" w14:paraId="292A2FA0" w14:textId="77777777" w:rsidTr="003F00CA">
              <w:tc>
                <w:tcPr>
                  <w:tcW w:w="1014" w:type="dxa"/>
                </w:tcPr>
                <w:p w14:paraId="349C01DC" w14:textId="77777777" w:rsidR="003F6793" w:rsidRPr="004725F2" w:rsidRDefault="003F6793" w:rsidP="003F6793">
                  <w:pPr>
                    <w:pStyle w:val="06Bulletsseriesofsentences"/>
                    <w:numPr>
                      <w:ilvl w:val="0"/>
                      <w:numId w:val="0"/>
                    </w:numPr>
                    <w:spacing w:before="0"/>
                    <w:rPr>
                      <w:rFonts w:asciiTheme="minorHAnsi" w:hAnsiTheme="minorHAnsi" w:cstheme="minorHAnsi"/>
                      <w:color w:val="auto"/>
                      <w:sz w:val="14"/>
                      <w:szCs w:val="14"/>
                    </w:rPr>
                  </w:pPr>
                  <w:r w:rsidRPr="004725F2">
                    <w:rPr>
                      <w:rFonts w:asciiTheme="minorHAnsi" w:hAnsiTheme="minorHAnsi" w:cstheme="minorHAnsi"/>
                      <w:color w:val="auto"/>
                      <w:sz w:val="14"/>
                      <w:szCs w:val="14"/>
                    </w:rPr>
                    <w:t>Min</w:t>
                  </w:r>
                </w:p>
              </w:tc>
              <w:tc>
                <w:tcPr>
                  <w:tcW w:w="914" w:type="dxa"/>
                  <w:vAlign w:val="center"/>
                </w:tcPr>
                <w:p w14:paraId="600029AA" w14:textId="050E6188" w:rsidR="003F6793" w:rsidRPr="003F00CA" w:rsidRDefault="003F6793" w:rsidP="003F00C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$34</w:t>
                  </w:r>
                </w:p>
              </w:tc>
              <w:tc>
                <w:tcPr>
                  <w:tcW w:w="914" w:type="dxa"/>
                  <w:vAlign w:val="center"/>
                </w:tcPr>
                <w:p w14:paraId="014B494F" w14:textId="07A5FFF6" w:rsidR="003F6793" w:rsidRPr="003F00CA" w:rsidRDefault="003F6793" w:rsidP="003F00C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$490</w:t>
                  </w:r>
                </w:p>
              </w:tc>
              <w:tc>
                <w:tcPr>
                  <w:tcW w:w="915" w:type="dxa"/>
                  <w:vAlign w:val="center"/>
                </w:tcPr>
                <w:p w14:paraId="40481A6A" w14:textId="0E49867D" w:rsidR="003F6793" w:rsidRPr="003F00CA" w:rsidRDefault="003F6793" w:rsidP="003F00C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$526</w:t>
                  </w:r>
                </w:p>
              </w:tc>
            </w:tr>
            <w:tr w:rsidR="003F6793" w:rsidRPr="004725F2" w14:paraId="51E12201" w14:textId="77777777" w:rsidTr="003F00CA">
              <w:tc>
                <w:tcPr>
                  <w:tcW w:w="1014" w:type="dxa"/>
                </w:tcPr>
                <w:p w14:paraId="5271C745" w14:textId="77777777" w:rsidR="003F6793" w:rsidRPr="004725F2" w:rsidRDefault="003F6793" w:rsidP="003F6793">
                  <w:pPr>
                    <w:pStyle w:val="06Bulletsseriesofsentences"/>
                    <w:numPr>
                      <w:ilvl w:val="0"/>
                      <w:numId w:val="0"/>
                    </w:numPr>
                    <w:spacing w:before="0"/>
                    <w:rPr>
                      <w:rFonts w:asciiTheme="minorHAnsi" w:hAnsiTheme="minorHAnsi" w:cstheme="minorHAnsi"/>
                      <w:color w:val="auto"/>
                      <w:sz w:val="14"/>
                      <w:szCs w:val="14"/>
                    </w:rPr>
                  </w:pPr>
                  <w:r w:rsidRPr="004725F2">
                    <w:rPr>
                      <w:rFonts w:asciiTheme="minorHAnsi" w:hAnsiTheme="minorHAnsi" w:cstheme="minorHAnsi"/>
                      <w:color w:val="auto"/>
                      <w:sz w:val="14"/>
                      <w:szCs w:val="14"/>
                    </w:rPr>
                    <w:t>Average</w:t>
                  </w:r>
                </w:p>
              </w:tc>
              <w:tc>
                <w:tcPr>
                  <w:tcW w:w="914" w:type="dxa"/>
                  <w:vAlign w:val="center"/>
                </w:tcPr>
                <w:p w14:paraId="71F67A1B" w14:textId="54263BDE" w:rsidR="003F6793" w:rsidRPr="003F00CA" w:rsidRDefault="003F6793" w:rsidP="003F00C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$2,164</w:t>
                  </w:r>
                </w:p>
              </w:tc>
              <w:tc>
                <w:tcPr>
                  <w:tcW w:w="914" w:type="dxa"/>
                  <w:vAlign w:val="center"/>
                </w:tcPr>
                <w:p w14:paraId="17B7480F" w14:textId="2926601F" w:rsidR="003F6793" w:rsidRPr="003F00CA" w:rsidRDefault="003F6793" w:rsidP="003F00C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$5,042</w:t>
                  </w:r>
                </w:p>
              </w:tc>
              <w:tc>
                <w:tcPr>
                  <w:tcW w:w="915" w:type="dxa"/>
                  <w:vAlign w:val="center"/>
                </w:tcPr>
                <w:p w14:paraId="6D5430CD" w14:textId="1790996B" w:rsidR="003F6793" w:rsidRPr="003F00CA" w:rsidRDefault="003F6793" w:rsidP="003F00C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$8,082</w:t>
                  </w:r>
                </w:p>
              </w:tc>
            </w:tr>
            <w:tr w:rsidR="003F6793" w:rsidRPr="004725F2" w14:paraId="78F8153A" w14:textId="77777777" w:rsidTr="003F00CA">
              <w:tc>
                <w:tcPr>
                  <w:tcW w:w="1014" w:type="dxa"/>
                </w:tcPr>
                <w:p w14:paraId="44E2722E" w14:textId="77777777" w:rsidR="003F6793" w:rsidRPr="004725F2" w:rsidRDefault="003F6793" w:rsidP="003F6793">
                  <w:pPr>
                    <w:pStyle w:val="06Bulletsseriesofsentences"/>
                    <w:numPr>
                      <w:ilvl w:val="0"/>
                      <w:numId w:val="0"/>
                    </w:numPr>
                    <w:spacing w:before="0"/>
                    <w:rPr>
                      <w:rFonts w:asciiTheme="minorHAnsi" w:hAnsiTheme="minorHAnsi" w:cstheme="minorHAnsi"/>
                      <w:color w:val="auto"/>
                      <w:sz w:val="14"/>
                      <w:szCs w:val="14"/>
                    </w:rPr>
                  </w:pPr>
                  <w:r w:rsidRPr="004725F2">
                    <w:rPr>
                      <w:rFonts w:asciiTheme="minorHAnsi" w:hAnsiTheme="minorHAnsi" w:cstheme="minorHAnsi"/>
                      <w:color w:val="auto"/>
                      <w:sz w:val="14"/>
                      <w:szCs w:val="14"/>
                    </w:rPr>
                    <w:t>Median</w:t>
                  </w:r>
                </w:p>
              </w:tc>
              <w:tc>
                <w:tcPr>
                  <w:tcW w:w="914" w:type="dxa"/>
                  <w:vAlign w:val="center"/>
                </w:tcPr>
                <w:p w14:paraId="3E43252E" w14:textId="2543966F" w:rsidR="003F6793" w:rsidRPr="003F00CA" w:rsidRDefault="003F6793" w:rsidP="003F00C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$1,971</w:t>
                  </w:r>
                </w:p>
              </w:tc>
              <w:tc>
                <w:tcPr>
                  <w:tcW w:w="914" w:type="dxa"/>
                  <w:vAlign w:val="center"/>
                </w:tcPr>
                <w:p w14:paraId="30F620B7" w14:textId="4C83C2E9" w:rsidR="003F6793" w:rsidRPr="003F00CA" w:rsidRDefault="003F6793" w:rsidP="003F00C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$4,563</w:t>
                  </w:r>
                </w:p>
              </w:tc>
              <w:tc>
                <w:tcPr>
                  <w:tcW w:w="915" w:type="dxa"/>
                  <w:vAlign w:val="center"/>
                </w:tcPr>
                <w:p w14:paraId="6D51DF80" w14:textId="22CCBF8A" w:rsidR="003F6793" w:rsidRPr="003F00CA" w:rsidRDefault="003F6793" w:rsidP="003F00C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$5,484</w:t>
                  </w:r>
                </w:p>
              </w:tc>
            </w:tr>
            <w:tr w:rsidR="003F6793" w:rsidRPr="004725F2" w14:paraId="2E21BF83" w14:textId="77777777" w:rsidTr="003F00CA">
              <w:tc>
                <w:tcPr>
                  <w:tcW w:w="1014" w:type="dxa"/>
                </w:tcPr>
                <w:p w14:paraId="60534948" w14:textId="77777777" w:rsidR="003F6793" w:rsidRPr="004725F2" w:rsidRDefault="003F6793" w:rsidP="003F6793">
                  <w:pPr>
                    <w:pStyle w:val="06Bulletsseriesofsentences"/>
                    <w:numPr>
                      <w:ilvl w:val="0"/>
                      <w:numId w:val="0"/>
                    </w:numPr>
                    <w:spacing w:before="0"/>
                    <w:rPr>
                      <w:rFonts w:asciiTheme="minorHAnsi" w:hAnsiTheme="minorHAnsi" w:cstheme="minorHAnsi"/>
                      <w:color w:val="auto"/>
                      <w:sz w:val="14"/>
                      <w:szCs w:val="14"/>
                    </w:rPr>
                  </w:pPr>
                  <w:r w:rsidRPr="004725F2">
                    <w:rPr>
                      <w:rFonts w:asciiTheme="minorHAnsi" w:hAnsiTheme="minorHAnsi" w:cstheme="minorHAnsi"/>
                      <w:color w:val="auto"/>
                      <w:sz w:val="14"/>
                      <w:szCs w:val="14"/>
                    </w:rPr>
                    <w:t>Max</w:t>
                  </w:r>
                </w:p>
              </w:tc>
              <w:tc>
                <w:tcPr>
                  <w:tcW w:w="914" w:type="dxa"/>
                  <w:vAlign w:val="center"/>
                </w:tcPr>
                <w:p w14:paraId="762F28B1" w14:textId="66F18F93" w:rsidR="003F6793" w:rsidRPr="003F00CA" w:rsidRDefault="003F6793" w:rsidP="003F00C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$9,352</w:t>
                  </w:r>
                </w:p>
              </w:tc>
              <w:tc>
                <w:tcPr>
                  <w:tcW w:w="914" w:type="dxa"/>
                  <w:vAlign w:val="center"/>
                </w:tcPr>
                <w:p w14:paraId="0A3910D4" w14:textId="2BEE1952" w:rsidR="003F6793" w:rsidRPr="003F00CA" w:rsidRDefault="003F6793" w:rsidP="003F00C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$21,329</w:t>
                  </w:r>
                </w:p>
              </w:tc>
              <w:tc>
                <w:tcPr>
                  <w:tcW w:w="915" w:type="dxa"/>
                  <w:vAlign w:val="center"/>
                </w:tcPr>
                <w:p w14:paraId="4A4758AD" w14:textId="68555BFF" w:rsidR="003F6793" w:rsidRPr="003F00CA" w:rsidRDefault="003F6793" w:rsidP="003F00CA">
                  <w:pPr>
                    <w:pStyle w:val="06Bulletsseriesofsentences"/>
                    <w:numPr>
                      <w:ilvl w:val="0"/>
                      <w:numId w:val="0"/>
                    </w:numPr>
                    <w:spacing w:before="0"/>
                    <w:jc w:val="center"/>
                    <w:rPr>
                      <w:rFonts w:asciiTheme="minorHAnsi" w:hAnsiTheme="minorHAnsi" w:cstheme="minorHAnsi"/>
                      <w:color w:val="auto"/>
                      <w:sz w:val="14"/>
                      <w:szCs w:val="14"/>
                    </w:rPr>
                  </w:pPr>
                  <w:r w:rsidRPr="003F00CA">
                    <w:rPr>
                      <w:rFonts w:asciiTheme="minorHAnsi" w:hAnsiTheme="minorHAnsi" w:cstheme="minorHAnsi"/>
                      <w:color w:val="auto"/>
                      <w:sz w:val="14"/>
                      <w:szCs w:val="14"/>
                    </w:rPr>
                    <w:t>$39,681</w:t>
                  </w:r>
                </w:p>
              </w:tc>
            </w:tr>
          </w:tbl>
          <w:p w14:paraId="2EE41446" w14:textId="38E53D02" w:rsidR="00F154FE" w:rsidRPr="00B57B75" w:rsidRDefault="00F154FE" w:rsidP="004725F2">
            <w:pPr>
              <w:spacing w:before="0" w:after="0"/>
              <w:rPr>
                <w:rFonts w:eastAsia="Calibri" w:cstheme="minorHAnsi"/>
                <w:sz w:val="16"/>
                <w:szCs w:val="16"/>
              </w:rPr>
            </w:pPr>
          </w:p>
        </w:tc>
      </w:tr>
      <w:tr w:rsidR="00F154FE" w:rsidRPr="00B57B75" w14:paraId="776EDCAE" w14:textId="77777777" w:rsidTr="00955C84">
        <w:trPr>
          <w:cnfStyle w:val="000000010000" w:firstRow="0" w:lastRow="0" w:firstColumn="0" w:lastColumn="0" w:oddVBand="0" w:evenVBand="0" w:oddHBand="0" w:evenHBand="1" w:firstRowFirstColumn="0" w:firstRowLastColumn="0" w:lastRowFirstColumn="0" w:lastRowLastColumn="0"/>
        </w:trPr>
        <w:tc>
          <w:tcPr>
            <w:tcW w:w="1002" w:type="pct"/>
          </w:tcPr>
          <w:p w14:paraId="083124CE" w14:textId="77777777" w:rsidR="00F154FE" w:rsidRPr="00B57B75" w:rsidRDefault="00F154FE" w:rsidP="00B57B75">
            <w:pPr>
              <w:pStyle w:val="BodyText"/>
              <w:spacing w:before="0" w:after="0"/>
              <w:rPr>
                <w:rFonts w:cstheme="minorHAnsi"/>
                <w:b/>
                <w:bCs/>
                <w:sz w:val="16"/>
                <w:szCs w:val="16"/>
              </w:rPr>
            </w:pPr>
            <w:r w:rsidRPr="00B57B75">
              <w:rPr>
                <w:rFonts w:cstheme="minorHAnsi"/>
                <w:bCs/>
                <w:sz w:val="16"/>
                <w:szCs w:val="16"/>
              </w:rPr>
              <w:t>Biliary stomas (cholecystostomy)</w:t>
            </w:r>
          </w:p>
        </w:tc>
        <w:tc>
          <w:tcPr>
            <w:tcW w:w="1333" w:type="pct"/>
          </w:tcPr>
          <w:p w14:paraId="605DA02A" w14:textId="77777777"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Biliary duct obstruction</w:t>
            </w:r>
          </w:p>
        </w:tc>
        <w:tc>
          <w:tcPr>
            <w:tcW w:w="1333" w:type="pct"/>
            <w:vMerge w:val="restart"/>
          </w:tcPr>
          <w:p w14:paraId="3DEF1EB8" w14:textId="77777777" w:rsidR="00F154FE" w:rsidRDefault="00F154FE" w:rsidP="00B57B75">
            <w:pPr>
              <w:pStyle w:val="06Bulletsseriesofsentences"/>
              <w:numPr>
                <w:ilvl w:val="0"/>
                <w:numId w:val="0"/>
              </w:numPr>
              <w:spacing w:before="0"/>
              <w:rPr>
                <w:rFonts w:asciiTheme="minorHAnsi" w:hAnsiTheme="minorHAnsi" w:cstheme="minorHAnsi"/>
                <w:b/>
                <w:bCs/>
                <w:color w:val="auto"/>
                <w:sz w:val="16"/>
                <w:szCs w:val="16"/>
              </w:rPr>
            </w:pPr>
            <w:r w:rsidRPr="00C316C3">
              <w:rPr>
                <w:rFonts w:asciiTheme="minorHAnsi" w:hAnsiTheme="minorHAnsi" w:cstheme="minorHAnsi"/>
                <w:b/>
                <w:bCs/>
                <w:color w:val="auto"/>
                <w:sz w:val="16"/>
                <w:szCs w:val="16"/>
              </w:rPr>
              <w:t>6.5%</w:t>
            </w:r>
          </w:p>
          <w:p w14:paraId="48AB1946" w14:textId="77777777" w:rsidR="00F154FE" w:rsidRPr="00C316C3" w:rsidRDefault="00F154FE" w:rsidP="00B57B75">
            <w:pPr>
              <w:pStyle w:val="06Bulletsseriesofsentences"/>
              <w:numPr>
                <w:ilvl w:val="0"/>
                <w:numId w:val="0"/>
              </w:numPr>
              <w:spacing w:before="0"/>
              <w:rPr>
                <w:rFonts w:asciiTheme="minorHAnsi" w:hAnsiTheme="minorHAnsi" w:cstheme="minorHAnsi"/>
                <w:b/>
                <w:bCs/>
                <w:color w:val="auto"/>
                <w:sz w:val="16"/>
                <w:szCs w:val="16"/>
              </w:rPr>
            </w:pPr>
          </w:p>
          <w:p w14:paraId="0441DFDE" w14:textId="29142791" w:rsidR="00F154FE" w:rsidRPr="00C316C3" w:rsidRDefault="00F154FE" w:rsidP="00B57B75">
            <w:pPr>
              <w:pStyle w:val="06Bulletsseriesofsentences"/>
              <w:numPr>
                <w:ilvl w:val="0"/>
                <w:numId w:val="0"/>
              </w:numPr>
              <w:spacing w:before="0"/>
              <w:rPr>
                <w:rFonts w:asciiTheme="minorHAnsi" w:hAnsiTheme="minorHAnsi" w:cstheme="minorHAnsi"/>
                <w:color w:val="auto"/>
                <w:sz w:val="16"/>
                <w:szCs w:val="16"/>
              </w:rPr>
            </w:pPr>
            <w:r w:rsidRPr="00B57B75">
              <w:rPr>
                <w:rFonts w:asciiTheme="minorHAnsi" w:hAnsiTheme="minorHAnsi" w:cstheme="minorHAnsi"/>
                <w:color w:val="auto"/>
                <w:sz w:val="16"/>
                <w:szCs w:val="16"/>
              </w:rPr>
              <w:t>(Combined in ‘Other’)</w:t>
            </w:r>
          </w:p>
          <w:p w14:paraId="197A4D37" w14:textId="77777777" w:rsidR="00F154FE" w:rsidRPr="00B57B75" w:rsidRDefault="00F154FE" w:rsidP="00B57B75">
            <w:pPr>
              <w:pStyle w:val="06Bulletsseriesofsentences"/>
              <w:numPr>
                <w:ilvl w:val="0"/>
                <w:numId w:val="0"/>
              </w:numPr>
              <w:spacing w:before="0"/>
              <w:rPr>
                <w:rFonts w:asciiTheme="minorHAnsi" w:hAnsiTheme="minorHAnsi" w:cstheme="minorHAnsi"/>
                <w:color w:val="auto"/>
                <w:sz w:val="16"/>
                <w:szCs w:val="16"/>
              </w:rPr>
            </w:pPr>
          </w:p>
          <w:p w14:paraId="03F0FEB1" w14:textId="77777777" w:rsidR="00F154FE" w:rsidRPr="00B57B75" w:rsidRDefault="00F154FE" w:rsidP="00B57B75">
            <w:pPr>
              <w:pStyle w:val="06Bulletsseriesofsentences"/>
              <w:numPr>
                <w:ilvl w:val="0"/>
                <w:numId w:val="0"/>
              </w:numPr>
              <w:spacing w:before="0"/>
              <w:rPr>
                <w:rFonts w:asciiTheme="minorHAnsi" w:hAnsiTheme="minorHAnsi" w:cstheme="minorHAnsi"/>
                <w:color w:val="auto"/>
                <w:sz w:val="16"/>
                <w:szCs w:val="16"/>
              </w:rPr>
            </w:pPr>
            <w:r w:rsidRPr="00B57B75">
              <w:rPr>
                <w:rFonts w:asciiTheme="minorHAnsi" w:hAnsiTheme="minorHAnsi" w:cstheme="minorHAnsi"/>
                <w:color w:val="auto"/>
                <w:sz w:val="16"/>
                <w:szCs w:val="16"/>
              </w:rPr>
              <w:t>(8.8% of these have two stomas, and 0.6% of these have three stomas)</w:t>
            </w:r>
          </w:p>
        </w:tc>
        <w:tc>
          <w:tcPr>
            <w:tcW w:w="1333" w:type="pct"/>
            <w:vMerge w:val="restart"/>
          </w:tcPr>
          <w:p w14:paraId="63591E87" w14:textId="77777777" w:rsidR="004725F2" w:rsidRDefault="004725F2" w:rsidP="00B57B75">
            <w:pPr>
              <w:spacing w:before="0" w:after="0"/>
              <w:rPr>
                <w:rFonts w:eastAsia="Calibri" w:cstheme="minorHAnsi"/>
                <w:sz w:val="16"/>
                <w:szCs w:val="16"/>
              </w:rPr>
            </w:pPr>
          </w:p>
          <w:tbl>
            <w:tblPr>
              <w:tblStyle w:val="TableGrid"/>
              <w:tblW w:w="0" w:type="auto"/>
              <w:tblLayout w:type="fixed"/>
              <w:tblCellMar>
                <w:left w:w="57" w:type="dxa"/>
                <w:right w:w="57" w:type="dxa"/>
              </w:tblCellMar>
              <w:tblLook w:val="04A0" w:firstRow="1" w:lastRow="0" w:firstColumn="1" w:lastColumn="0" w:noHBand="0" w:noVBand="1"/>
            </w:tblPr>
            <w:tblGrid>
              <w:gridCol w:w="1014"/>
              <w:gridCol w:w="914"/>
              <w:gridCol w:w="914"/>
              <w:gridCol w:w="915"/>
            </w:tblGrid>
            <w:tr w:rsidR="004725F2" w:rsidRPr="004725F2" w14:paraId="753F6AC7" w14:textId="77777777" w:rsidTr="005C7AC1">
              <w:tc>
                <w:tcPr>
                  <w:tcW w:w="1014" w:type="dxa"/>
                  <w:shd w:val="clear" w:color="auto" w:fill="00685B" w:themeFill="accent4"/>
                </w:tcPr>
                <w:p w14:paraId="06C1C9E5" w14:textId="77777777" w:rsidR="004725F2" w:rsidRPr="004725F2" w:rsidRDefault="004725F2" w:rsidP="004725F2">
                  <w:pPr>
                    <w:pStyle w:val="06Bulletsseriesofsentences"/>
                    <w:numPr>
                      <w:ilvl w:val="0"/>
                      <w:numId w:val="0"/>
                    </w:numPr>
                    <w:spacing w:before="0"/>
                    <w:rPr>
                      <w:rFonts w:asciiTheme="minorHAnsi" w:hAnsiTheme="minorHAnsi" w:cstheme="minorHAnsi"/>
                      <w:b/>
                      <w:bCs/>
                      <w:color w:val="FFFFFF" w:themeColor="background1"/>
                      <w:sz w:val="14"/>
                      <w:szCs w:val="14"/>
                    </w:rPr>
                  </w:pPr>
                  <w:r w:rsidRPr="004725F2">
                    <w:rPr>
                      <w:rFonts w:asciiTheme="minorHAnsi" w:hAnsiTheme="minorHAnsi" w:cstheme="minorHAnsi"/>
                      <w:b/>
                      <w:bCs/>
                      <w:color w:val="FFFFFF" w:themeColor="background1"/>
                      <w:sz w:val="14"/>
                      <w:szCs w:val="14"/>
                    </w:rPr>
                    <w:t>Expenditure ($)</w:t>
                  </w:r>
                </w:p>
              </w:tc>
              <w:tc>
                <w:tcPr>
                  <w:tcW w:w="914" w:type="dxa"/>
                  <w:shd w:val="clear" w:color="auto" w:fill="00685B" w:themeFill="accent4"/>
                  <w:vAlign w:val="center"/>
                </w:tcPr>
                <w:p w14:paraId="536AFA75" w14:textId="77777777" w:rsidR="004725F2" w:rsidRPr="004725F2" w:rsidRDefault="004725F2" w:rsidP="004725F2">
                  <w:pPr>
                    <w:pStyle w:val="06Bulletsseriesofsentences"/>
                    <w:numPr>
                      <w:ilvl w:val="0"/>
                      <w:numId w:val="0"/>
                    </w:numPr>
                    <w:spacing w:before="0"/>
                    <w:jc w:val="center"/>
                    <w:rPr>
                      <w:rFonts w:asciiTheme="minorHAnsi" w:hAnsiTheme="minorHAnsi" w:cstheme="minorHAnsi"/>
                      <w:b/>
                      <w:bCs/>
                      <w:color w:val="FFFFFF" w:themeColor="background1"/>
                      <w:sz w:val="14"/>
                      <w:szCs w:val="14"/>
                    </w:rPr>
                  </w:pPr>
                  <w:r w:rsidRPr="004725F2">
                    <w:rPr>
                      <w:rFonts w:asciiTheme="minorHAnsi" w:hAnsiTheme="minorHAnsi" w:cstheme="minorHAnsi"/>
                      <w:b/>
                      <w:bCs/>
                      <w:color w:val="FFFFFF" w:themeColor="background1"/>
                      <w:sz w:val="14"/>
                      <w:szCs w:val="14"/>
                    </w:rPr>
                    <w:t>One stoma</w:t>
                  </w:r>
                </w:p>
              </w:tc>
              <w:tc>
                <w:tcPr>
                  <w:tcW w:w="914" w:type="dxa"/>
                  <w:shd w:val="clear" w:color="auto" w:fill="00685B" w:themeFill="accent4"/>
                  <w:vAlign w:val="center"/>
                </w:tcPr>
                <w:p w14:paraId="4A17310C" w14:textId="77777777" w:rsidR="004725F2" w:rsidRPr="004725F2" w:rsidRDefault="004725F2" w:rsidP="004725F2">
                  <w:pPr>
                    <w:pStyle w:val="06Bulletsseriesofsentences"/>
                    <w:numPr>
                      <w:ilvl w:val="0"/>
                      <w:numId w:val="0"/>
                    </w:numPr>
                    <w:spacing w:before="0"/>
                    <w:jc w:val="center"/>
                    <w:rPr>
                      <w:rFonts w:asciiTheme="minorHAnsi" w:hAnsiTheme="minorHAnsi" w:cstheme="minorHAnsi"/>
                      <w:b/>
                      <w:bCs/>
                      <w:color w:val="FFFFFF" w:themeColor="background1"/>
                      <w:sz w:val="14"/>
                      <w:szCs w:val="14"/>
                    </w:rPr>
                  </w:pPr>
                  <w:r w:rsidRPr="004725F2">
                    <w:rPr>
                      <w:rFonts w:asciiTheme="minorHAnsi" w:hAnsiTheme="minorHAnsi" w:cstheme="minorHAnsi"/>
                      <w:b/>
                      <w:bCs/>
                      <w:color w:val="FFFFFF" w:themeColor="background1"/>
                      <w:sz w:val="14"/>
                      <w:szCs w:val="14"/>
                    </w:rPr>
                    <w:t>Two stomas</w:t>
                  </w:r>
                </w:p>
              </w:tc>
              <w:tc>
                <w:tcPr>
                  <w:tcW w:w="915" w:type="dxa"/>
                  <w:shd w:val="clear" w:color="auto" w:fill="00685B" w:themeFill="accent4"/>
                  <w:vAlign w:val="center"/>
                </w:tcPr>
                <w:p w14:paraId="76C16B54" w14:textId="77777777" w:rsidR="004725F2" w:rsidRPr="004725F2" w:rsidRDefault="004725F2" w:rsidP="004725F2">
                  <w:pPr>
                    <w:pStyle w:val="06Bulletsseriesofsentences"/>
                    <w:numPr>
                      <w:ilvl w:val="0"/>
                      <w:numId w:val="0"/>
                    </w:numPr>
                    <w:spacing w:before="0"/>
                    <w:jc w:val="center"/>
                    <w:rPr>
                      <w:rFonts w:asciiTheme="minorHAnsi" w:hAnsiTheme="minorHAnsi" w:cstheme="minorHAnsi"/>
                      <w:b/>
                      <w:bCs/>
                      <w:color w:val="FFFFFF" w:themeColor="background1"/>
                      <w:sz w:val="14"/>
                      <w:szCs w:val="14"/>
                    </w:rPr>
                  </w:pPr>
                  <w:r w:rsidRPr="004725F2">
                    <w:rPr>
                      <w:rFonts w:asciiTheme="minorHAnsi" w:hAnsiTheme="minorHAnsi" w:cstheme="minorHAnsi"/>
                      <w:b/>
                      <w:bCs/>
                      <w:color w:val="FFFFFF" w:themeColor="background1"/>
                      <w:sz w:val="14"/>
                      <w:szCs w:val="14"/>
                    </w:rPr>
                    <w:t>Three stomas</w:t>
                  </w:r>
                </w:p>
              </w:tc>
            </w:tr>
            <w:tr w:rsidR="00DD3980" w:rsidRPr="004725F2" w14:paraId="7E3A0F94" w14:textId="77777777">
              <w:tc>
                <w:tcPr>
                  <w:tcW w:w="1014" w:type="dxa"/>
                </w:tcPr>
                <w:p w14:paraId="1CF03879" w14:textId="77777777" w:rsidR="00DD3980" w:rsidRPr="004725F2" w:rsidRDefault="00DD3980" w:rsidP="00DD3980">
                  <w:pPr>
                    <w:pStyle w:val="06Bulletsseriesofsentences"/>
                    <w:numPr>
                      <w:ilvl w:val="0"/>
                      <w:numId w:val="0"/>
                    </w:numPr>
                    <w:spacing w:before="0"/>
                    <w:rPr>
                      <w:rFonts w:asciiTheme="minorHAnsi" w:hAnsiTheme="minorHAnsi" w:cstheme="minorHAnsi"/>
                      <w:color w:val="auto"/>
                      <w:sz w:val="14"/>
                      <w:szCs w:val="14"/>
                    </w:rPr>
                  </w:pPr>
                  <w:r w:rsidRPr="004725F2">
                    <w:rPr>
                      <w:rFonts w:asciiTheme="minorHAnsi" w:hAnsiTheme="minorHAnsi" w:cstheme="minorHAnsi"/>
                      <w:color w:val="auto"/>
                      <w:sz w:val="14"/>
                      <w:szCs w:val="14"/>
                    </w:rPr>
                    <w:t>Min</w:t>
                  </w:r>
                </w:p>
              </w:tc>
              <w:tc>
                <w:tcPr>
                  <w:tcW w:w="914" w:type="dxa"/>
                  <w:vAlign w:val="bottom"/>
                </w:tcPr>
                <w:p w14:paraId="46B34E40" w14:textId="10DF48FB" w:rsidR="00DD3980" w:rsidRPr="004725F2" w:rsidRDefault="00DD3980" w:rsidP="00DD3980">
                  <w:pPr>
                    <w:pStyle w:val="06Bulletsseriesofsentences"/>
                    <w:numPr>
                      <w:ilvl w:val="0"/>
                      <w:numId w:val="0"/>
                    </w:numPr>
                    <w:spacing w:before="0"/>
                    <w:jc w:val="center"/>
                    <w:rPr>
                      <w:rFonts w:asciiTheme="minorHAnsi" w:hAnsiTheme="minorHAnsi" w:cstheme="minorHAnsi"/>
                      <w:color w:val="auto"/>
                      <w:sz w:val="14"/>
                      <w:szCs w:val="14"/>
                    </w:rPr>
                  </w:pPr>
                  <w:r w:rsidRPr="00DD3980">
                    <w:rPr>
                      <w:rFonts w:asciiTheme="minorHAnsi" w:hAnsiTheme="minorHAnsi" w:cstheme="minorHAnsi"/>
                      <w:color w:val="auto"/>
                      <w:sz w:val="14"/>
                      <w:szCs w:val="14"/>
                    </w:rPr>
                    <w:t>$27</w:t>
                  </w:r>
                </w:p>
              </w:tc>
              <w:tc>
                <w:tcPr>
                  <w:tcW w:w="914" w:type="dxa"/>
                  <w:vAlign w:val="bottom"/>
                </w:tcPr>
                <w:p w14:paraId="67CDD459" w14:textId="6A21ECA6" w:rsidR="00DD3980" w:rsidRPr="004725F2" w:rsidRDefault="00DD3980" w:rsidP="00DD3980">
                  <w:pPr>
                    <w:pStyle w:val="06Bulletsseriesofsentences"/>
                    <w:numPr>
                      <w:ilvl w:val="0"/>
                      <w:numId w:val="0"/>
                    </w:numPr>
                    <w:spacing w:before="0"/>
                    <w:jc w:val="center"/>
                    <w:rPr>
                      <w:rFonts w:asciiTheme="minorHAnsi" w:hAnsiTheme="minorHAnsi" w:cstheme="minorHAnsi"/>
                      <w:color w:val="auto"/>
                      <w:sz w:val="14"/>
                      <w:szCs w:val="14"/>
                    </w:rPr>
                  </w:pPr>
                  <w:r w:rsidRPr="00DD3980">
                    <w:rPr>
                      <w:rFonts w:asciiTheme="minorHAnsi" w:hAnsiTheme="minorHAnsi" w:cstheme="minorHAnsi"/>
                      <w:color w:val="auto"/>
                      <w:sz w:val="14"/>
                      <w:szCs w:val="14"/>
                    </w:rPr>
                    <w:t>$447</w:t>
                  </w:r>
                </w:p>
              </w:tc>
              <w:tc>
                <w:tcPr>
                  <w:tcW w:w="915" w:type="dxa"/>
                  <w:vAlign w:val="bottom"/>
                </w:tcPr>
                <w:p w14:paraId="5E585823" w14:textId="3B361639" w:rsidR="00DD3980" w:rsidRPr="004725F2" w:rsidRDefault="00DD3980" w:rsidP="00DD3980">
                  <w:pPr>
                    <w:pStyle w:val="06Bulletsseriesofsentences"/>
                    <w:numPr>
                      <w:ilvl w:val="0"/>
                      <w:numId w:val="0"/>
                    </w:numPr>
                    <w:spacing w:before="0"/>
                    <w:jc w:val="center"/>
                    <w:rPr>
                      <w:rFonts w:asciiTheme="minorHAnsi" w:hAnsiTheme="minorHAnsi" w:cstheme="minorHAnsi"/>
                      <w:color w:val="auto"/>
                      <w:sz w:val="14"/>
                      <w:szCs w:val="14"/>
                    </w:rPr>
                  </w:pPr>
                  <w:r w:rsidRPr="00DD3980">
                    <w:rPr>
                      <w:rFonts w:asciiTheme="minorHAnsi" w:hAnsiTheme="minorHAnsi" w:cstheme="minorHAnsi"/>
                      <w:color w:val="auto"/>
                      <w:sz w:val="14"/>
                      <w:szCs w:val="14"/>
                    </w:rPr>
                    <w:t>$526</w:t>
                  </w:r>
                </w:p>
              </w:tc>
            </w:tr>
            <w:tr w:rsidR="00DD3980" w:rsidRPr="004725F2" w14:paraId="01E47AE4" w14:textId="77777777">
              <w:tc>
                <w:tcPr>
                  <w:tcW w:w="1014" w:type="dxa"/>
                </w:tcPr>
                <w:p w14:paraId="14748AF1" w14:textId="77777777" w:rsidR="00DD3980" w:rsidRPr="004725F2" w:rsidRDefault="00DD3980" w:rsidP="00DD3980">
                  <w:pPr>
                    <w:pStyle w:val="06Bulletsseriesofsentences"/>
                    <w:numPr>
                      <w:ilvl w:val="0"/>
                      <w:numId w:val="0"/>
                    </w:numPr>
                    <w:spacing w:before="0"/>
                    <w:rPr>
                      <w:rFonts w:asciiTheme="minorHAnsi" w:hAnsiTheme="minorHAnsi" w:cstheme="minorHAnsi"/>
                      <w:color w:val="auto"/>
                      <w:sz w:val="14"/>
                      <w:szCs w:val="14"/>
                    </w:rPr>
                  </w:pPr>
                  <w:r w:rsidRPr="004725F2">
                    <w:rPr>
                      <w:rFonts w:asciiTheme="minorHAnsi" w:hAnsiTheme="minorHAnsi" w:cstheme="minorHAnsi"/>
                      <w:color w:val="auto"/>
                      <w:sz w:val="14"/>
                      <w:szCs w:val="14"/>
                    </w:rPr>
                    <w:t>Average</w:t>
                  </w:r>
                </w:p>
              </w:tc>
              <w:tc>
                <w:tcPr>
                  <w:tcW w:w="914" w:type="dxa"/>
                  <w:vAlign w:val="bottom"/>
                </w:tcPr>
                <w:p w14:paraId="560301DC" w14:textId="45F263FA" w:rsidR="00DD3980" w:rsidRPr="004725F2" w:rsidRDefault="00DD3980" w:rsidP="00DD3980">
                  <w:pPr>
                    <w:pStyle w:val="06Bulletsseriesofsentences"/>
                    <w:numPr>
                      <w:ilvl w:val="0"/>
                      <w:numId w:val="0"/>
                    </w:numPr>
                    <w:spacing w:before="0"/>
                    <w:jc w:val="center"/>
                    <w:rPr>
                      <w:rFonts w:asciiTheme="minorHAnsi" w:hAnsiTheme="minorHAnsi" w:cstheme="minorHAnsi"/>
                      <w:color w:val="auto"/>
                      <w:sz w:val="14"/>
                      <w:szCs w:val="14"/>
                    </w:rPr>
                  </w:pPr>
                  <w:r w:rsidRPr="00DD3980">
                    <w:rPr>
                      <w:rFonts w:asciiTheme="minorHAnsi" w:hAnsiTheme="minorHAnsi" w:cstheme="minorHAnsi"/>
                      <w:color w:val="auto"/>
                      <w:sz w:val="14"/>
                      <w:szCs w:val="14"/>
                    </w:rPr>
                    <w:t>$2,475</w:t>
                  </w:r>
                </w:p>
              </w:tc>
              <w:tc>
                <w:tcPr>
                  <w:tcW w:w="914" w:type="dxa"/>
                  <w:vAlign w:val="bottom"/>
                </w:tcPr>
                <w:p w14:paraId="4C6B4B9C" w14:textId="0A6B7FA0" w:rsidR="00DD3980" w:rsidRPr="004725F2" w:rsidRDefault="00DD3980" w:rsidP="00DD3980">
                  <w:pPr>
                    <w:pStyle w:val="06Bulletsseriesofsentences"/>
                    <w:numPr>
                      <w:ilvl w:val="0"/>
                      <w:numId w:val="0"/>
                    </w:numPr>
                    <w:spacing w:before="0"/>
                    <w:jc w:val="center"/>
                    <w:rPr>
                      <w:rFonts w:asciiTheme="minorHAnsi" w:hAnsiTheme="minorHAnsi" w:cstheme="minorHAnsi"/>
                      <w:color w:val="auto"/>
                      <w:sz w:val="14"/>
                      <w:szCs w:val="14"/>
                    </w:rPr>
                  </w:pPr>
                  <w:r w:rsidRPr="00DD3980">
                    <w:rPr>
                      <w:rFonts w:asciiTheme="minorHAnsi" w:hAnsiTheme="minorHAnsi" w:cstheme="minorHAnsi"/>
                      <w:color w:val="auto"/>
                      <w:sz w:val="14"/>
                      <w:szCs w:val="14"/>
                    </w:rPr>
                    <w:t>$4,531</w:t>
                  </w:r>
                </w:p>
              </w:tc>
              <w:tc>
                <w:tcPr>
                  <w:tcW w:w="915" w:type="dxa"/>
                  <w:vAlign w:val="bottom"/>
                </w:tcPr>
                <w:p w14:paraId="4B406EB9" w14:textId="730D16B2" w:rsidR="00DD3980" w:rsidRPr="004725F2" w:rsidRDefault="00DD3980" w:rsidP="00DD3980">
                  <w:pPr>
                    <w:pStyle w:val="06Bulletsseriesofsentences"/>
                    <w:numPr>
                      <w:ilvl w:val="0"/>
                      <w:numId w:val="0"/>
                    </w:numPr>
                    <w:spacing w:before="0"/>
                    <w:jc w:val="center"/>
                    <w:rPr>
                      <w:rFonts w:asciiTheme="minorHAnsi" w:hAnsiTheme="minorHAnsi" w:cstheme="minorHAnsi"/>
                      <w:color w:val="auto"/>
                      <w:sz w:val="14"/>
                      <w:szCs w:val="14"/>
                    </w:rPr>
                  </w:pPr>
                  <w:r w:rsidRPr="00DD3980">
                    <w:rPr>
                      <w:rFonts w:asciiTheme="minorHAnsi" w:hAnsiTheme="minorHAnsi" w:cstheme="minorHAnsi"/>
                      <w:color w:val="auto"/>
                      <w:sz w:val="14"/>
                      <w:szCs w:val="14"/>
                    </w:rPr>
                    <w:t>$7,649</w:t>
                  </w:r>
                </w:p>
              </w:tc>
            </w:tr>
            <w:tr w:rsidR="00DD3980" w:rsidRPr="004725F2" w14:paraId="6FAD3C3B" w14:textId="77777777">
              <w:tc>
                <w:tcPr>
                  <w:tcW w:w="1014" w:type="dxa"/>
                </w:tcPr>
                <w:p w14:paraId="354B1B7A" w14:textId="77777777" w:rsidR="00DD3980" w:rsidRPr="004725F2" w:rsidRDefault="00DD3980" w:rsidP="00DD3980">
                  <w:pPr>
                    <w:pStyle w:val="06Bulletsseriesofsentences"/>
                    <w:numPr>
                      <w:ilvl w:val="0"/>
                      <w:numId w:val="0"/>
                    </w:numPr>
                    <w:spacing w:before="0"/>
                    <w:rPr>
                      <w:rFonts w:asciiTheme="minorHAnsi" w:hAnsiTheme="minorHAnsi" w:cstheme="minorHAnsi"/>
                      <w:color w:val="auto"/>
                      <w:sz w:val="14"/>
                      <w:szCs w:val="14"/>
                    </w:rPr>
                  </w:pPr>
                  <w:r w:rsidRPr="004725F2">
                    <w:rPr>
                      <w:rFonts w:asciiTheme="minorHAnsi" w:hAnsiTheme="minorHAnsi" w:cstheme="minorHAnsi"/>
                      <w:color w:val="auto"/>
                      <w:sz w:val="14"/>
                      <w:szCs w:val="14"/>
                    </w:rPr>
                    <w:t>Median</w:t>
                  </w:r>
                </w:p>
              </w:tc>
              <w:tc>
                <w:tcPr>
                  <w:tcW w:w="914" w:type="dxa"/>
                  <w:vAlign w:val="bottom"/>
                </w:tcPr>
                <w:p w14:paraId="1D69D5F7" w14:textId="308E663D" w:rsidR="00DD3980" w:rsidRPr="004725F2" w:rsidRDefault="00DD3980" w:rsidP="00DD3980">
                  <w:pPr>
                    <w:pStyle w:val="06Bulletsseriesofsentences"/>
                    <w:numPr>
                      <w:ilvl w:val="0"/>
                      <w:numId w:val="0"/>
                    </w:numPr>
                    <w:spacing w:before="0"/>
                    <w:jc w:val="center"/>
                    <w:rPr>
                      <w:rFonts w:asciiTheme="minorHAnsi" w:hAnsiTheme="minorHAnsi" w:cstheme="minorHAnsi"/>
                      <w:color w:val="auto"/>
                      <w:sz w:val="14"/>
                      <w:szCs w:val="14"/>
                    </w:rPr>
                  </w:pPr>
                  <w:r w:rsidRPr="00DD3980">
                    <w:rPr>
                      <w:rFonts w:asciiTheme="minorHAnsi" w:hAnsiTheme="minorHAnsi" w:cstheme="minorHAnsi"/>
                      <w:color w:val="auto"/>
                      <w:sz w:val="14"/>
                      <w:szCs w:val="14"/>
                    </w:rPr>
                    <w:t>$2,087</w:t>
                  </w:r>
                </w:p>
              </w:tc>
              <w:tc>
                <w:tcPr>
                  <w:tcW w:w="914" w:type="dxa"/>
                  <w:vAlign w:val="bottom"/>
                </w:tcPr>
                <w:p w14:paraId="00422985" w14:textId="389B8F99" w:rsidR="00DD3980" w:rsidRPr="004725F2" w:rsidRDefault="00DD3980" w:rsidP="00DD3980">
                  <w:pPr>
                    <w:pStyle w:val="06Bulletsseriesofsentences"/>
                    <w:numPr>
                      <w:ilvl w:val="0"/>
                      <w:numId w:val="0"/>
                    </w:numPr>
                    <w:spacing w:before="0"/>
                    <w:jc w:val="center"/>
                    <w:rPr>
                      <w:rFonts w:asciiTheme="minorHAnsi" w:hAnsiTheme="minorHAnsi" w:cstheme="minorHAnsi"/>
                      <w:color w:val="auto"/>
                      <w:sz w:val="14"/>
                      <w:szCs w:val="14"/>
                    </w:rPr>
                  </w:pPr>
                  <w:r w:rsidRPr="00DD3980">
                    <w:rPr>
                      <w:rFonts w:asciiTheme="minorHAnsi" w:hAnsiTheme="minorHAnsi" w:cstheme="minorHAnsi"/>
                      <w:color w:val="auto"/>
                      <w:sz w:val="14"/>
                      <w:szCs w:val="14"/>
                    </w:rPr>
                    <w:t>$3,844</w:t>
                  </w:r>
                </w:p>
              </w:tc>
              <w:tc>
                <w:tcPr>
                  <w:tcW w:w="915" w:type="dxa"/>
                  <w:vAlign w:val="bottom"/>
                </w:tcPr>
                <w:p w14:paraId="053F7D0E" w14:textId="41485EFD" w:rsidR="00DD3980" w:rsidRPr="004725F2" w:rsidRDefault="00DD3980" w:rsidP="00DD3980">
                  <w:pPr>
                    <w:pStyle w:val="06Bulletsseriesofsentences"/>
                    <w:numPr>
                      <w:ilvl w:val="0"/>
                      <w:numId w:val="0"/>
                    </w:numPr>
                    <w:spacing w:before="0"/>
                    <w:jc w:val="center"/>
                    <w:rPr>
                      <w:rFonts w:asciiTheme="minorHAnsi" w:hAnsiTheme="minorHAnsi" w:cstheme="minorHAnsi"/>
                      <w:color w:val="auto"/>
                      <w:sz w:val="14"/>
                      <w:szCs w:val="14"/>
                    </w:rPr>
                  </w:pPr>
                  <w:r w:rsidRPr="00DD3980">
                    <w:rPr>
                      <w:rFonts w:asciiTheme="minorHAnsi" w:hAnsiTheme="minorHAnsi" w:cstheme="minorHAnsi"/>
                      <w:color w:val="auto"/>
                      <w:sz w:val="14"/>
                      <w:szCs w:val="14"/>
                    </w:rPr>
                    <w:t>$5,188</w:t>
                  </w:r>
                </w:p>
              </w:tc>
            </w:tr>
            <w:tr w:rsidR="00DD3980" w:rsidRPr="004725F2" w14:paraId="584E4F8C" w14:textId="77777777">
              <w:tc>
                <w:tcPr>
                  <w:tcW w:w="1014" w:type="dxa"/>
                </w:tcPr>
                <w:p w14:paraId="63EC89D8" w14:textId="77777777" w:rsidR="00DD3980" w:rsidRPr="004725F2" w:rsidRDefault="00DD3980" w:rsidP="00DD3980">
                  <w:pPr>
                    <w:pStyle w:val="06Bulletsseriesofsentences"/>
                    <w:numPr>
                      <w:ilvl w:val="0"/>
                      <w:numId w:val="0"/>
                    </w:numPr>
                    <w:spacing w:before="0"/>
                    <w:rPr>
                      <w:rFonts w:asciiTheme="minorHAnsi" w:hAnsiTheme="minorHAnsi" w:cstheme="minorHAnsi"/>
                      <w:color w:val="auto"/>
                      <w:sz w:val="14"/>
                      <w:szCs w:val="14"/>
                    </w:rPr>
                  </w:pPr>
                  <w:r w:rsidRPr="004725F2">
                    <w:rPr>
                      <w:rFonts w:asciiTheme="minorHAnsi" w:hAnsiTheme="minorHAnsi" w:cstheme="minorHAnsi"/>
                      <w:color w:val="auto"/>
                      <w:sz w:val="14"/>
                      <w:szCs w:val="14"/>
                    </w:rPr>
                    <w:t>Max</w:t>
                  </w:r>
                </w:p>
              </w:tc>
              <w:tc>
                <w:tcPr>
                  <w:tcW w:w="914" w:type="dxa"/>
                  <w:vAlign w:val="bottom"/>
                </w:tcPr>
                <w:p w14:paraId="04711870" w14:textId="0FDD390E" w:rsidR="00DD3980" w:rsidRPr="004725F2" w:rsidRDefault="00DD3980" w:rsidP="00DD3980">
                  <w:pPr>
                    <w:pStyle w:val="06Bulletsseriesofsentences"/>
                    <w:numPr>
                      <w:ilvl w:val="0"/>
                      <w:numId w:val="0"/>
                    </w:numPr>
                    <w:spacing w:before="0"/>
                    <w:jc w:val="center"/>
                    <w:rPr>
                      <w:rFonts w:asciiTheme="minorHAnsi" w:hAnsiTheme="minorHAnsi" w:cstheme="minorHAnsi"/>
                      <w:color w:val="auto"/>
                      <w:sz w:val="14"/>
                      <w:szCs w:val="14"/>
                    </w:rPr>
                  </w:pPr>
                  <w:r w:rsidRPr="00DD3980">
                    <w:rPr>
                      <w:rFonts w:asciiTheme="minorHAnsi" w:hAnsiTheme="minorHAnsi" w:cstheme="minorHAnsi"/>
                      <w:color w:val="auto"/>
                      <w:sz w:val="14"/>
                      <w:szCs w:val="14"/>
                    </w:rPr>
                    <w:t>$22,531</w:t>
                  </w:r>
                </w:p>
              </w:tc>
              <w:tc>
                <w:tcPr>
                  <w:tcW w:w="914" w:type="dxa"/>
                  <w:vAlign w:val="bottom"/>
                </w:tcPr>
                <w:p w14:paraId="01C3228F" w14:textId="3EF2BA39" w:rsidR="00DD3980" w:rsidRPr="004725F2" w:rsidRDefault="00DD3980" w:rsidP="00DD3980">
                  <w:pPr>
                    <w:pStyle w:val="06Bulletsseriesofsentences"/>
                    <w:numPr>
                      <w:ilvl w:val="0"/>
                      <w:numId w:val="0"/>
                    </w:numPr>
                    <w:spacing w:before="0"/>
                    <w:jc w:val="center"/>
                    <w:rPr>
                      <w:rFonts w:asciiTheme="minorHAnsi" w:hAnsiTheme="minorHAnsi" w:cstheme="minorHAnsi"/>
                      <w:color w:val="auto"/>
                      <w:sz w:val="14"/>
                      <w:szCs w:val="14"/>
                    </w:rPr>
                  </w:pPr>
                  <w:r w:rsidRPr="00DD3980">
                    <w:rPr>
                      <w:rFonts w:asciiTheme="minorHAnsi" w:hAnsiTheme="minorHAnsi" w:cstheme="minorHAnsi"/>
                      <w:color w:val="auto"/>
                      <w:sz w:val="14"/>
                      <w:szCs w:val="14"/>
                    </w:rPr>
                    <w:t>$14,207</w:t>
                  </w:r>
                </w:p>
              </w:tc>
              <w:tc>
                <w:tcPr>
                  <w:tcW w:w="915" w:type="dxa"/>
                  <w:vAlign w:val="bottom"/>
                </w:tcPr>
                <w:p w14:paraId="36117F52" w14:textId="5762554F" w:rsidR="00DD3980" w:rsidRPr="004725F2" w:rsidRDefault="00DD3980" w:rsidP="00DD3980">
                  <w:pPr>
                    <w:pStyle w:val="06Bulletsseriesofsentences"/>
                    <w:numPr>
                      <w:ilvl w:val="0"/>
                      <w:numId w:val="0"/>
                    </w:numPr>
                    <w:spacing w:before="0"/>
                    <w:jc w:val="center"/>
                    <w:rPr>
                      <w:rFonts w:asciiTheme="minorHAnsi" w:hAnsiTheme="minorHAnsi" w:cstheme="minorHAnsi"/>
                      <w:color w:val="auto"/>
                      <w:sz w:val="14"/>
                      <w:szCs w:val="14"/>
                    </w:rPr>
                  </w:pPr>
                  <w:r w:rsidRPr="00DD3980">
                    <w:rPr>
                      <w:rFonts w:asciiTheme="minorHAnsi" w:hAnsiTheme="minorHAnsi" w:cstheme="minorHAnsi"/>
                      <w:color w:val="auto"/>
                      <w:sz w:val="14"/>
                      <w:szCs w:val="14"/>
                    </w:rPr>
                    <w:t>$39,681</w:t>
                  </w:r>
                </w:p>
              </w:tc>
            </w:tr>
          </w:tbl>
          <w:p w14:paraId="44C93E7B" w14:textId="690E6A03" w:rsidR="00F154FE" w:rsidRPr="00B57B75" w:rsidRDefault="00F154FE" w:rsidP="004725F2">
            <w:pPr>
              <w:spacing w:before="0" w:after="0"/>
              <w:ind w:left="284"/>
              <w:rPr>
                <w:rFonts w:eastAsia="Calibri" w:cstheme="minorHAnsi"/>
                <w:sz w:val="16"/>
                <w:szCs w:val="16"/>
              </w:rPr>
            </w:pPr>
          </w:p>
        </w:tc>
      </w:tr>
      <w:tr w:rsidR="00F154FE" w:rsidRPr="00B57B75" w14:paraId="77005958" w14:textId="77777777" w:rsidTr="008D0438">
        <w:tc>
          <w:tcPr>
            <w:tcW w:w="1002" w:type="pct"/>
            <w:shd w:val="clear" w:color="auto" w:fill="EBE5F2" w:themeFill="accent5" w:themeFillTint="33"/>
          </w:tcPr>
          <w:p w14:paraId="731503E8" w14:textId="77777777" w:rsidR="00F154FE" w:rsidRPr="00B57B75" w:rsidRDefault="00F154FE" w:rsidP="00B57B75">
            <w:pPr>
              <w:pStyle w:val="BodyText"/>
              <w:spacing w:before="0" w:after="0"/>
              <w:rPr>
                <w:rFonts w:cstheme="minorHAnsi"/>
                <w:b/>
                <w:bCs/>
                <w:sz w:val="16"/>
                <w:szCs w:val="16"/>
              </w:rPr>
            </w:pPr>
            <w:r w:rsidRPr="00B57B75">
              <w:rPr>
                <w:rFonts w:cstheme="minorHAnsi"/>
                <w:bCs/>
                <w:sz w:val="16"/>
                <w:szCs w:val="16"/>
              </w:rPr>
              <w:t xml:space="preserve">Neo-anus openings </w:t>
            </w:r>
          </w:p>
        </w:tc>
        <w:tc>
          <w:tcPr>
            <w:tcW w:w="1333" w:type="pct"/>
            <w:shd w:val="clear" w:color="auto" w:fill="EBE5F2" w:themeFill="accent5" w:themeFillTint="33"/>
          </w:tcPr>
          <w:p w14:paraId="0843CF80" w14:textId="43BEF7BD"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A</w:t>
            </w:r>
            <w:r w:rsidR="00023694">
              <w:rPr>
                <w:rFonts w:asciiTheme="minorHAnsi" w:hAnsiTheme="minorHAnsi" w:cstheme="minorHAnsi"/>
                <w:color w:val="auto"/>
                <w:sz w:val="16"/>
                <w:szCs w:val="16"/>
              </w:rPr>
              <w:t>RM</w:t>
            </w:r>
          </w:p>
          <w:p w14:paraId="2C7C0A7D" w14:textId="1032DBE3"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I</w:t>
            </w:r>
            <w:r w:rsidR="00C545F7">
              <w:rPr>
                <w:rFonts w:asciiTheme="minorHAnsi" w:hAnsiTheme="minorHAnsi" w:cstheme="minorHAnsi"/>
                <w:color w:val="auto"/>
                <w:sz w:val="16"/>
                <w:szCs w:val="16"/>
              </w:rPr>
              <w:t>A</w:t>
            </w:r>
          </w:p>
          <w:p w14:paraId="2DAB1E99" w14:textId="77777777"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Bowel obstruction</w:t>
            </w:r>
          </w:p>
          <w:p w14:paraId="18C1AE79" w14:textId="77777777"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Trauma</w:t>
            </w:r>
          </w:p>
          <w:p w14:paraId="594F1818" w14:textId="77777777"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 xml:space="preserve">Birth </w:t>
            </w:r>
            <w:proofErr w:type="gramStart"/>
            <w:r w:rsidRPr="00B57B75">
              <w:rPr>
                <w:rFonts w:asciiTheme="minorHAnsi" w:hAnsiTheme="minorHAnsi" w:cstheme="minorHAnsi"/>
                <w:color w:val="auto"/>
                <w:sz w:val="16"/>
                <w:szCs w:val="16"/>
              </w:rPr>
              <w:t>abnormalities</w:t>
            </w:r>
            <w:proofErr w:type="gramEnd"/>
          </w:p>
          <w:p w14:paraId="4A5C3D24" w14:textId="0A2A5F39"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Genetic disorders</w:t>
            </w:r>
          </w:p>
          <w:p w14:paraId="4FA2618C" w14:textId="77777777"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Neurological disorders</w:t>
            </w:r>
          </w:p>
        </w:tc>
        <w:tc>
          <w:tcPr>
            <w:tcW w:w="1333" w:type="pct"/>
            <w:vMerge/>
            <w:shd w:val="clear" w:color="auto" w:fill="EBE5F2" w:themeFill="accent5" w:themeFillTint="33"/>
          </w:tcPr>
          <w:p w14:paraId="507CB603" w14:textId="77777777" w:rsidR="00F154FE" w:rsidRPr="00B57B75" w:rsidRDefault="00F154FE" w:rsidP="00B57B75">
            <w:pPr>
              <w:pStyle w:val="06Bulletsseriesofsentences"/>
              <w:numPr>
                <w:ilvl w:val="0"/>
                <w:numId w:val="0"/>
              </w:numPr>
              <w:spacing w:before="0"/>
              <w:rPr>
                <w:rFonts w:asciiTheme="minorHAnsi" w:hAnsiTheme="minorHAnsi" w:cstheme="minorHAnsi"/>
                <w:color w:val="auto"/>
                <w:sz w:val="16"/>
                <w:szCs w:val="16"/>
              </w:rPr>
            </w:pPr>
          </w:p>
        </w:tc>
        <w:tc>
          <w:tcPr>
            <w:tcW w:w="1333" w:type="pct"/>
            <w:vMerge/>
            <w:shd w:val="clear" w:color="auto" w:fill="EBE5F2" w:themeFill="accent5" w:themeFillTint="33"/>
          </w:tcPr>
          <w:p w14:paraId="5B5F6DB3" w14:textId="77777777" w:rsidR="00F154FE" w:rsidRPr="00B57B75" w:rsidRDefault="00F154FE" w:rsidP="00B57B75">
            <w:pPr>
              <w:pStyle w:val="06Bulletsseriesofsentences"/>
              <w:numPr>
                <w:ilvl w:val="0"/>
                <w:numId w:val="0"/>
              </w:numPr>
              <w:spacing w:before="0"/>
              <w:rPr>
                <w:rFonts w:asciiTheme="minorHAnsi" w:hAnsiTheme="minorHAnsi" w:cstheme="minorHAnsi"/>
                <w:color w:val="auto"/>
                <w:sz w:val="16"/>
                <w:szCs w:val="16"/>
              </w:rPr>
            </w:pPr>
          </w:p>
        </w:tc>
      </w:tr>
      <w:tr w:rsidR="00F154FE" w:rsidRPr="00B57B75" w14:paraId="0BDE973E" w14:textId="77777777" w:rsidTr="00955C84">
        <w:trPr>
          <w:cnfStyle w:val="000000010000" w:firstRow="0" w:lastRow="0" w:firstColumn="0" w:lastColumn="0" w:oddVBand="0" w:evenVBand="0" w:oddHBand="0" w:evenHBand="1" w:firstRowFirstColumn="0" w:firstRowLastColumn="0" w:lastRowFirstColumn="0" w:lastRowLastColumn="0"/>
        </w:trPr>
        <w:tc>
          <w:tcPr>
            <w:tcW w:w="1002" w:type="pct"/>
          </w:tcPr>
          <w:p w14:paraId="637085B2" w14:textId="77777777" w:rsidR="00F154FE" w:rsidRPr="00B57B75" w:rsidRDefault="00F154FE" w:rsidP="00B57B75">
            <w:pPr>
              <w:pStyle w:val="BodyText"/>
              <w:spacing w:before="0" w:after="0"/>
              <w:rPr>
                <w:rFonts w:cstheme="minorHAnsi"/>
                <w:b/>
                <w:bCs/>
                <w:sz w:val="16"/>
                <w:szCs w:val="16"/>
              </w:rPr>
            </w:pPr>
            <w:r w:rsidRPr="00B57B75">
              <w:rPr>
                <w:rFonts w:cstheme="minorHAnsi"/>
                <w:bCs/>
                <w:sz w:val="16"/>
                <w:szCs w:val="16"/>
              </w:rPr>
              <w:t>Malone Antegrade Continence Enema</w:t>
            </w:r>
          </w:p>
        </w:tc>
        <w:tc>
          <w:tcPr>
            <w:tcW w:w="1333" w:type="pct"/>
          </w:tcPr>
          <w:p w14:paraId="6EC5D9E6" w14:textId="65AD0B8E"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Faecal incontinence</w:t>
            </w:r>
          </w:p>
          <w:p w14:paraId="37453D66" w14:textId="77777777"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Spina bifida</w:t>
            </w:r>
          </w:p>
          <w:p w14:paraId="76513ACF" w14:textId="77777777"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 xml:space="preserve">Birth </w:t>
            </w:r>
            <w:proofErr w:type="gramStart"/>
            <w:r w:rsidRPr="00B57B75">
              <w:rPr>
                <w:rFonts w:asciiTheme="minorHAnsi" w:hAnsiTheme="minorHAnsi" w:cstheme="minorHAnsi"/>
                <w:color w:val="auto"/>
                <w:sz w:val="16"/>
                <w:szCs w:val="16"/>
              </w:rPr>
              <w:t>abnormalities</w:t>
            </w:r>
            <w:proofErr w:type="gramEnd"/>
          </w:p>
          <w:p w14:paraId="2549FF5A" w14:textId="1693B353"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Genetic disorders</w:t>
            </w:r>
          </w:p>
          <w:p w14:paraId="22D5E5C1" w14:textId="77777777" w:rsidR="00F154FE" w:rsidRPr="00B57B75" w:rsidRDefault="00F154FE" w:rsidP="000056D9">
            <w:pPr>
              <w:pStyle w:val="06Bulletsseriesofsentences"/>
              <w:spacing w:before="0"/>
              <w:ind w:left="284" w:hanging="284"/>
              <w:rPr>
                <w:rFonts w:asciiTheme="minorHAnsi" w:hAnsiTheme="minorHAnsi" w:cstheme="minorHAnsi"/>
                <w:color w:val="auto"/>
                <w:sz w:val="16"/>
                <w:szCs w:val="16"/>
              </w:rPr>
            </w:pPr>
            <w:r w:rsidRPr="00B57B75">
              <w:rPr>
                <w:rFonts w:asciiTheme="minorHAnsi" w:hAnsiTheme="minorHAnsi" w:cstheme="minorHAnsi"/>
                <w:color w:val="auto"/>
                <w:sz w:val="16"/>
                <w:szCs w:val="16"/>
              </w:rPr>
              <w:t>Neurological disorders</w:t>
            </w:r>
          </w:p>
        </w:tc>
        <w:tc>
          <w:tcPr>
            <w:tcW w:w="1333" w:type="pct"/>
            <w:vMerge/>
          </w:tcPr>
          <w:p w14:paraId="0EAF8A49" w14:textId="77777777" w:rsidR="00F154FE" w:rsidRPr="00B57B75" w:rsidRDefault="00F154FE" w:rsidP="00B57B75">
            <w:pPr>
              <w:pStyle w:val="06Bulletsseriesofsentences"/>
              <w:numPr>
                <w:ilvl w:val="0"/>
                <w:numId w:val="0"/>
              </w:numPr>
              <w:spacing w:before="0"/>
              <w:rPr>
                <w:rFonts w:asciiTheme="minorHAnsi" w:hAnsiTheme="minorHAnsi" w:cstheme="minorHAnsi"/>
                <w:color w:val="auto"/>
                <w:sz w:val="16"/>
                <w:szCs w:val="16"/>
              </w:rPr>
            </w:pPr>
          </w:p>
        </w:tc>
        <w:tc>
          <w:tcPr>
            <w:tcW w:w="1333" w:type="pct"/>
            <w:vMerge/>
          </w:tcPr>
          <w:p w14:paraId="7F58C731" w14:textId="77777777" w:rsidR="00F154FE" w:rsidRPr="00B57B75" w:rsidRDefault="00F154FE" w:rsidP="00B57B75">
            <w:pPr>
              <w:pStyle w:val="06Bulletsseriesofsentences"/>
              <w:numPr>
                <w:ilvl w:val="0"/>
                <w:numId w:val="0"/>
              </w:numPr>
              <w:spacing w:before="0"/>
              <w:rPr>
                <w:rFonts w:asciiTheme="minorHAnsi" w:hAnsiTheme="minorHAnsi" w:cstheme="minorHAnsi"/>
                <w:color w:val="auto"/>
                <w:sz w:val="16"/>
                <w:szCs w:val="16"/>
              </w:rPr>
            </w:pPr>
          </w:p>
        </w:tc>
      </w:tr>
      <w:tr w:rsidR="00F154FE" w:rsidRPr="00B57B75" w14:paraId="1A81C44B" w14:textId="77777777" w:rsidTr="008D0438">
        <w:tc>
          <w:tcPr>
            <w:tcW w:w="1002" w:type="pct"/>
            <w:shd w:val="clear" w:color="auto" w:fill="EBE5F2" w:themeFill="accent5" w:themeFillTint="33"/>
          </w:tcPr>
          <w:p w14:paraId="755CE37C" w14:textId="77777777" w:rsidR="00F154FE" w:rsidRPr="00B57B75" w:rsidRDefault="00F154FE" w:rsidP="00B57B75">
            <w:pPr>
              <w:pStyle w:val="BodyText"/>
              <w:spacing w:before="0" w:after="0"/>
              <w:rPr>
                <w:rFonts w:cstheme="minorHAnsi"/>
                <w:b/>
                <w:bCs/>
                <w:sz w:val="16"/>
                <w:szCs w:val="16"/>
              </w:rPr>
            </w:pPr>
            <w:proofErr w:type="spellStart"/>
            <w:r w:rsidRPr="00B57B75">
              <w:rPr>
                <w:rFonts w:cstheme="minorHAnsi"/>
                <w:bCs/>
                <w:sz w:val="16"/>
                <w:szCs w:val="16"/>
              </w:rPr>
              <w:t>Mitrofanoff</w:t>
            </w:r>
            <w:proofErr w:type="spellEnd"/>
            <w:r w:rsidRPr="00B57B75">
              <w:rPr>
                <w:rFonts w:cstheme="minorHAnsi"/>
                <w:bCs/>
                <w:sz w:val="16"/>
                <w:szCs w:val="16"/>
              </w:rPr>
              <w:t xml:space="preserve"> stoma (</w:t>
            </w:r>
            <w:proofErr w:type="spellStart"/>
            <w:r w:rsidRPr="00B57B75">
              <w:rPr>
                <w:rFonts w:cstheme="minorHAnsi"/>
                <w:bCs/>
                <w:sz w:val="16"/>
                <w:szCs w:val="16"/>
              </w:rPr>
              <w:t>appendicovesicostomy</w:t>
            </w:r>
            <w:proofErr w:type="spellEnd"/>
            <w:r w:rsidRPr="00B57B75">
              <w:rPr>
                <w:rFonts w:cstheme="minorHAnsi"/>
                <w:bCs/>
                <w:sz w:val="16"/>
                <w:szCs w:val="16"/>
              </w:rPr>
              <w:t>)</w:t>
            </w:r>
          </w:p>
        </w:tc>
        <w:tc>
          <w:tcPr>
            <w:tcW w:w="1333" w:type="pct"/>
            <w:shd w:val="clear" w:color="auto" w:fill="EBE5F2" w:themeFill="accent5" w:themeFillTint="33"/>
          </w:tcPr>
          <w:p w14:paraId="07901492" w14:textId="77777777" w:rsidR="00F154FE" w:rsidRPr="00B57B75" w:rsidRDefault="00F154FE" w:rsidP="00B57B75">
            <w:pPr>
              <w:pStyle w:val="06Bulletsseriesofsentences"/>
              <w:spacing w:before="0"/>
              <w:ind w:left="357" w:hanging="357"/>
              <w:rPr>
                <w:rFonts w:asciiTheme="minorHAnsi" w:hAnsiTheme="minorHAnsi" w:cstheme="minorHAnsi"/>
                <w:color w:val="auto"/>
                <w:sz w:val="16"/>
                <w:szCs w:val="16"/>
              </w:rPr>
            </w:pPr>
            <w:r w:rsidRPr="00B57B75">
              <w:rPr>
                <w:rFonts w:asciiTheme="minorHAnsi" w:hAnsiTheme="minorHAnsi" w:cstheme="minorHAnsi"/>
                <w:color w:val="auto"/>
                <w:sz w:val="16"/>
                <w:szCs w:val="16"/>
              </w:rPr>
              <w:t>Spina bifida</w:t>
            </w:r>
          </w:p>
          <w:p w14:paraId="3D71D6B8" w14:textId="3B5331AC" w:rsidR="00F154FE" w:rsidRPr="00B57B75" w:rsidRDefault="00F154FE" w:rsidP="00B57B75">
            <w:pPr>
              <w:pStyle w:val="06Bulletsseriesofsentences"/>
              <w:spacing w:before="0"/>
              <w:ind w:left="357" w:hanging="357"/>
              <w:rPr>
                <w:rFonts w:asciiTheme="minorHAnsi" w:hAnsiTheme="minorHAnsi" w:cstheme="minorHAnsi"/>
                <w:color w:val="auto"/>
                <w:sz w:val="16"/>
                <w:szCs w:val="16"/>
              </w:rPr>
            </w:pPr>
            <w:r w:rsidRPr="00B57B75">
              <w:rPr>
                <w:rFonts w:asciiTheme="minorHAnsi" w:hAnsiTheme="minorHAnsi" w:cstheme="minorHAnsi"/>
                <w:color w:val="auto"/>
                <w:sz w:val="16"/>
                <w:szCs w:val="16"/>
              </w:rPr>
              <w:t>Bladder exstrophy</w:t>
            </w:r>
          </w:p>
          <w:p w14:paraId="534714BA" w14:textId="77777777" w:rsidR="00F154FE" w:rsidRPr="00B57B75" w:rsidRDefault="00F154FE" w:rsidP="00B57B75">
            <w:pPr>
              <w:pStyle w:val="06Bulletsseriesofsentences"/>
              <w:spacing w:before="0"/>
              <w:ind w:left="357" w:hanging="357"/>
              <w:rPr>
                <w:rFonts w:asciiTheme="minorHAnsi" w:hAnsiTheme="minorHAnsi" w:cstheme="minorHAnsi"/>
                <w:color w:val="auto"/>
                <w:sz w:val="16"/>
                <w:szCs w:val="16"/>
              </w:rPr>
            </w:pPr>
            <w:r w:rsidRPr="00B57B75">
              <w:rPr>
                <w:rFonts w:asciiTheme="minorHAnsi" w:hAnsiTheme="minorHAnsi" w:cstheme="minorHAnsi"/>
                <w:color w:val="auto"/>
                <w:sz w:val="16"/>
                <w:szCs w:val="16"/>
              </w:rPr>
              <w:t>Bladder obstruction</w:t>
            </w:r>
          </w:p>
        </w:tc>
        <w:tc>
          <w:tcPr>
            <w:tcW w:w="1333" w:type="pct"/>
            <w:vMerge/>
            <w:shd w:val="clear" w:color="auto" w:fill="EBE5F2" w:themeFill="accent5" w:themeFillTint="33"/>
          </w:tcPr>
          <w:p w14:paraId="4E7E696E" w14:textId="77777777" w:rsidR="00F154FE" w:rsidRPr="00B57B75" w:rsidRDefault="00F154FE" w:rsidP="00B57B75">
            <w:pPr>
              <w:pStyle w:val="06Bulletsseriesofsentences"/>
              <w:numPr>
                <w:ilvl w:val="0"/>
                <w:numId w:val="0"/>
              </w:numPr>
              <w:spacing w:before="0"/>
              <w:rPr>
                <w:rFonts w:asciiTheme="minorHAnsi" w:hAnsiTheme="minorHAnsi" w:cstheme="minorHAnsi"/>
                <w:color w:val="auto"/>
                <w:sz w:val="16"/>
                <w:szCs w:val="16"/>
              </w:rPr>
            </w:pPr>
          </w:p>
        </w:tc>
        <w:tc>
          <w:tcPr>
            <w:tcW w:w="1333" w:type="pct"/>
            <w:vMerge/>
            <w:shd w:val="clear" w:color="auto" w:fill="EBE5F2" w:themeFill="accent5" w:themeFillTint="33"/>
          </w:tcPr>
          <w:p w14:paraId="629F7614" w14:textId="77777777" w:rsidR="00F154FE" w:rsidRPr="00B57B75" w:rsidRDefault="00F154FE" w:rsidP="00B57B75">
            <w:pPr>
              <w:pStyle w:val="06Bulletsseriesofsentences"/>
              <w:numPr>
                <w:ilvl w:val="0"/>
                <w:numId w:val="0"/>
              </w:numPr>
              <w:spacing w:before="0"/>
              <w:rPr>
                <w:rFonts w:asciiTheme="minorHAnsi" w:hAnsiTheme="minorHAnsi" w:cstheme="minorHAnsi"/>
                <w:color w:val="auto"/>
                <w:sz w:val="16"/>
                <w:szCs w:val="16"/>
              </w:rPr>
            </w:pPr>
          </w:p>
        </w:tc>
      </w:tr>
      <w:tr w:rsidR="00F154FE" w:rsidRPr="00B57B75" w14:paraId="4D35FD3E" w14:textId="77777777" w:rsidTr="00955C84">
        <w:trPr>
          <w:cnfStyle w:val="000000010000" w:firstRow="0" w:lastRow="0" w:firstColumn="0" w:lastColumn="0" w:oddVBand="0" w:evenVBand="0" w:oddHBand="0" w:evenHBand="1" w:firstRowFirstColumn="0" w:firstRowLastColumn="0" w:lastRowFirstColumn="0" w:lastRowLastColumn="0"/>
        </w:trPr>
        <w:tc>
          <w:tcPr>
            <w:tcW w:w="1002" w:type="pct"/>
          </w:tcPr>
          <w:p w14:paraId="7F5441B7" w14:textId="5459F0C4" w:rsidR="00F154FE" w:rsidRPr="00B57B75" w:rsidRDefault="00F154FE" w:rsidP="00B57B75">
            <w:pPr>
              <w:pStyle w:val="BodyText"/>
              <w:spacing w:before="0" w:after="0"/>
              <w:rPr>
                <w:rFonts w:cstheme="minorHAnsi"/>
                <w:b/>
                <w:bCs/>
                <w:sz w:val="16"/>
                <w:szCs w:val="16"/>
              </w:rPr>
            </w:pPr>
            <w:r w:rsidRPr="00B57B75">
              <w:rPr>
                <w:rFonts w:cstheme="minorHAnsi"/>
                <w:bCs/>
                <w:sz w:val="16"/>
                <w:szCs w:val="16"/>
              </w:rPr>
              <w:t xml:space="preserve">Fistulae (enterocutaneous, </w:t>
            </w:r>
            <w:proofErr w:type="spellStart"/>
            <w:r w:rsidRPr="00B57B75">
              <w:rPr>
                <w:rFonts w:cstheme="minorHAnsi"/>
                <w:bCs/>
                <w:sz w:val="16"/>
                <w:szCs w:val="16"/>
              </w:rPr>
              <w:t>enteroatmospheric</w:t>
            </w:r>
            <w:proofErr w:type="spellEnd"/>
            <w:r w:rsidRPr="00B57B75">
              <w:rPr>
                <w:rFonts w:cstheme="minorHAnsi"/>
                <w:bCs/>
                <w:sz w:val="16"/>
                <w:szCs w:val="16"/>
              </w:rPr>
              <w:t xml:space="preserve">, </w:t>
            </w:r>
            <w:proofErr w:type="spellStart"/>
            <w:r w:rsidRPr="00B57B75">
              <w:rPr>
                <w:rFonts w:cstheme="minorHAnsi"/>
                <w:bCs/>
                <w:sz w:val="16"/>
                <w:szCs w:val="16"/>
              </w:rPr>
              <w:t>urocutaneous</w:t>
            </w:r>
            <w:proofErr w:type="spellEnd"/>
            <w:r w:rsidRPr="00B57B75">
              <w:rPr>
                <w:rFonts w:cstheme="minorHAnsi"/>
                <w:bCs/>
                <w:sz w:val="16"/>
                <w:szCs w:val="16"/>
              </w:rPr>
              <w:t>)</w:t>
            </w:r>
          </w:p>
        </w:tc>
        <w:tc>
          <w:tcPr>
            <w:tcW w:w="1333" w:type="pct"/>
          </w:tcPr>
          <w:p w14:paraId="5E6A0CD4" w14:textId="77777777" w:rsidR="00F154FE" w:rsidRPr="00B57B75" w:rsidRDefault="00F154FE" w:rsidP="00B57B75">
            <w:pPr>
              <w:pStyle w:val="06Bulletsseriesofsentences"/>
              <w:spacing w:before="0"/>
              <w:ind w:left="357" w:hanging="357"/>
              <w:rPr>
                <w:rFonts w:asciiTheme="minorHAnsi" w:hAnsiTheme="minorHAnsi" w:cstheme="minorHAnsi"/>
                <w:color w:val="auto"/>
                <w:sz w:val="16"/>
                <w:szCs w:val="16"/>
              </w:rPr>
            </w:pPr>
            <w:r w:rsidRPr="00B57B75">
              <w:rPr>
                <w:rFonts w:asciiTheme="minorHAnsi" w:hAnsiTheme="minorHAnsi" w:cstheme="minorHAnsi"/>
                <w:color w:val="auto"/>
                <w:sz w:val="16"/>
                <w:szCs w:val="16"/>
              </w:rPr>
              <w:t>Inflammatory bowel diseases (Crohn’s Disease, Ulcerative Colitis)</w:t>
            </w:r>
          </w:p>
          <w:p w14:paraId="7C5D998D" w14:textId="4FFE284E" w:rsidR="00F154FE" w:rsidRPr="00B57B75" w:rsidRDefault="00F154FE" w:rsidP="00C032C9">
            <w:pPr>
              <w:pStyle w:val="06Bulletsseriesofsentences"/>
              <w:spacing w:before="0"/>
              <w:ind w:left="357" w:hanging="357"/>
              <w:rPr>
                <w:rFonts w:asciiTheme="minorHAnsi" w:hAnsiTheme="minorHAnsi" w:cstheme="minorHAnsi"/>
                <w:color w:val="auto"/>
                <w:sz w:val="16"/>
                <w:szCs w:val="16"/>
              </w:rPr>
            </w:pPr>
            <w:r w:rsidRPr="00B57B75">
              <w:rPr>
                <w:rFonts w:asciiTheme="minorHAnsi" w:hAnsiTheme="minorHAnsi" w:cstheme="minorHAnsi"/>
                <w:color w:val="auto"/>
                <w:sz w:val="16"/>
                <w:szCs w:val="16"/>
              </w:rPr>
              <w:t>Trauma</w:t>
            </w:r>
          </w:p>
        </w:tc>
        <w:tc>
          <w:tcPr>
            <w:tcW w:w="1333" w:type="pct"/>
            <w:vMerge/>
          </w:tcPr>
          <w:p w14:paraId="0D68E9E6" w14:textId="77777777" w:rsidR="00F154FE" w:rsidRPr="00B57B75" w:rsidRDefault="00F154FE" w:rsidP="00B57B75">
            <w:pPr>
              <w:pStyle w:val="06Bulletsseriesofsentences"/>
              <w:numPr>
                <w:ilvl w:val="0"/>
                <w:numId w:val="0"/>
              </w:numPr>
              <w:spacing w:before="0"/>
              <w:rPr>
                <w:rFonts w:asciiTheme="minorHAnsi" w:hAnsiTheme="minorHAnsi" w:cstheme="minorHAnsi"/>
                <w:color w:val="auto"/>
                <w:sz w:val="16"/>
                <w:szCs w:val="16"/>
              </w:rPr>
            </w:pPr>
          </w:p>
        </w:tc>
        <w:tc>
          <w:tcPr>
            <w:tcW w:w="1333" w:type="pct"/>
            <w:vMerge/>
          </w:tcPr>
          <w:p w14:paraId="0CE1CB04" w14:textId="77777777" w:rsidR="00F154FE" w:rsidRPr="00B57B75" w:rsidRDefault="00F154FE" w:rsidP="00B57B75">
            <w:pPr>
              <w:pStyle w:val="06Bulletsseriesofsentences"/>
              <w:numPr>
                <w:ilvl w:val="0"/>
                <w:numId w:val="0"/>
              </w:numPr>
              <w:spacing w:before="0"/>
              <w:rPr>
                <w:rFonts w:asciiTheme="minorHAnsi" w:hAnsiTheme="minorHAnsi" w:cstheme="minorHAnsi"/>
                <w:color w:val="auto"/>
                <w:sz w:val="16"/>
                <w:szCs w:val="16"/>
              </w:rPr>
            </w:pPr>
          </w:p>
        </w:tc>
      </w:tr>
    </w:tbl>
    <w:p w14:paraId="1A2F97ED" w14:textId="55DD1625" w:rsidR="00C032C9" w:rsidRPr="002557C9" w:rsidRDefault="0011149D" w:rsidP="0054024D">
      <w:pPr>
        <w:pStyle w:val="Source"/>
        <w:rPr>
          <w:color w:val="auto"/>
        </w:rPr>
      </w:pPr>
      <w:r w:rsidRPr="002557C9">
        <w:rPr>
          <w:color w:val="auto"/>
        </w:rPr>
        <w:t xml:space="preserve">Source: </w:t>
      </w:r>
      <w:r w:rsidR="0054024D" w:rsidRPr="002557C9">
        <w:rPr>
          <w:color w:val="auto"/>
        </w:rPr>
        <w:t xml:space="preserve">A: </w:t>
      </w:r>
      <w:r w:rsidR="004F6B47" w:rsidRPr="002557C9">
        <w:rPr>
          <w:color w:val="auto"/>
        </w:rPr>
        <w:t xml:space="preserve">based on </w:t>
      </w:r>
      <w:r w:rsidR="00820DC2" w:rsidRPr="002557C9">
        <w:rPr>
          <w:color w:val="auto"/>
        </w:rPr>
        <w:t>FY</w:t>
      </w:r>
      <w:r w:rsidR="004F6B47" w:rsidRPr="002557C9">
        <w:rPr>
          <w:color w:val="auto"/>
        </w:rPr>
        <w:t>22-23 PBS data</w:t>
      </w:r>
      <w:r w:rsidR="00825033" w:rsidRPr="002557C9">
        <w:rPr>
          <w:color w:val="auto"/>
        </w:rPr>
        <w:t>.</w:t>
      </w:r>
      <w:r w:rsidR="004F6B47" w:rsidRPr="002557C9">
        <w:rPr>
          <w:color w:val="auto"/>
        </w:rPr>
        <w:t xml:space="preserve"> </w:t>
      </w:r>
      <w:r w:rsidR="00825033" w:rsidRPr="002557C9">
        <w:rPr>
          <w:color w:val="auto"/>
        </w:rPr>
        <w:t>T</w:t>
      </w:r>
      <w:r w:rsidR="004F6B47" w:rsidRPr="002557C9">
        <w:rPr>
          <w:color w:val="auto"/>
        </w:rPr>
        <w:t xml:space="preserve">here were </w:t>
      </w:r>
      <w:r w:rsidR="00DE36FF" w:rsidRPr="002557C9">
        <w:rPr>
          <w:color w:val="auto"/>
        </w:rPr>
        <w:t>1,011,5</w:t>
      </w:r>
      <w:r w:rsidR="00EA1FE9" w:rsidRPr="002557C9">
        <w:rPr>
          <w:color w:val="auto"/>
        </w:rPr>
        <w:t xml:space="preserve">78 </w:t>
      </w:r>
      <w:r w:rsidR="00820DC2" w:rsidRPr="002557C9">
        <w:rPr>
          <w:color w:val="auto"/>
        </w:rPr>
        <w:t>data entries</w:t>
      </w:r>
      <w:r w:rsidR="00B25761" w:rsidRPr="002557C9">
        <w:rPr>
          <w:color w:val="auto"/>
        </w:rPr>
        <w:t xml:space="preserve"> </w:t>
      </w:r>
      <w:r w:rsidR="000C1DB6" w:rsidRPr="002557C9">
        <w:rPr>
          <w:color w:val="auto"/>
        </w:rPr>
        <w:t>and</w:t>
      </w:r>
      <w:r w:rsidR="00B25761" w:rsidRPr="002557C9">
        <w:rPr>
          <w:color w:val="auto"/>
        </w:rPr>
        <w:t xml:space="preserve"> 48,770 unique ostomate IDS.</w:t>
      </w:r>
      <w:r w:rsidR="00820DC2" w:rsidRPr="002557C9">
        <w:rPr>
          <w:color w:val="auto"/>
        </w:rPr>
        <w:t xml:space="preserve"> 169,900</w:t>
      </w:r>
      <w:r w:rsidR="00A53316" w:rsidRPr="002557C9">
        <w:rPr>
          <w:color w:val="auto"/>
        </w:rPr>
        <w:t xml:space="preserve"> </w:t>
      </w:r>
      <w:r w:rsidR="00825033" w:rsidRPr="002557C9">
        <w:rPr>
          <w:color w:val="auto"/>
        </w:rPr>
        <w:t xml:space="preserve">orders </w:t>
      </w:r>
      <w:r w:rsidR="00A53316" w:rsidRPr="002557C9">
        <w:rPr>
          <w:color w:val="auto"/>
        </w:rPr>
        <w:t>(16.8%</w:t>
      </w:r>
      <w:r w:rsidR="00825033" w:rsidRPr="002557C9">
        <w:rPr>
          <w:color w:val="auto"/>
        </w:rPr>
        <w:t xml:space="preserve">) </w:t>
      </w:r>
      <w:r w:rsidR="00820DC2" w:rsidRPr="002557C9">
        <w:rPr>
          <w:color w:val="auto"/>
        </w:rPr>
        <w:t xml:space="preserve">had </w:t>
      </w:r>
      <w:r w:rsidR="00E40B3D" w:rsidRPr="002557C9">
        <w:rPr>
          <w:color w:val="auto"/>
        </w:rPr>
        <w:t>information regarding stoma type</w:t>
      </w:r>
      <w:r w:rsidR="00D511E3" w:rsidRPr="002557C9">
        <w:rPr>
          <w:color w:val="auto"/>
        </w:rPr>
        <w:t xml:space="preserve">, as this data was </w:t>
      </w:r>
      <w:r w:rsidR="0015344D" w:rsidRPr="002557C9">
        <w:rPr>
          <w:color w:val="auto"/>
        </w:rPr>
        <w:t xml:space="preserve">only available </w:t>
      </w:r>
      <w:r w:rsidR="00BC14EC" w:rsidRPr="002557C9">
        <w:rPr>
          <w:color w:val="auto"/>
        </w:rPr>
        <w:t>from</w:t>
      </w:r>
      <w:r w:rsidR="0015344D" w:rsidRPr="002557C9">
        <w:rPr>
          <w:color w:val="auto"/>
        </w:rPr>
        <w:t xml:space="preserve"> March 2023 onwards.</w:t>
      </w:r>
      <w:r w:rsidR="00E40B3D" w:rsidRPr="002557C9">
        <w:rPr>
          <w:color w:val="auto"/>
        </w:rPr>
        <w:t xml:space="preserve"> </w:t>
      </w:r>
      <w:r w:rsidR="009627C4" w:rsidRPr="002557C9">
        <w:rPr>
          <w:color w:val="auto"/>
        </w:rPr>
        <w:t xml:space="preserve">As such, </w:t>
      </w:r>
      <w:r w:rsidR="00830308" w:rsidRPr="002557C9">
        <w:rPr>
          <w:color w:val="auto"/>
        </w:rPr>
        <w:t xml:space="preserve">it was assumed that the stoma type seen </w:t>
      </w:r>
      <w:r w:rsidR="007C5659" w:rsidRPr="002557C9">
        <w:rPr>
          <w:color w:val="auto"/>
        </w:rPr>
        <w:t xml:space="preserve">from March 2023 </w:t>
      </w:r>
      <w:r w:rsidR="00162BBF" w:rsidRPr="002557C9">
        <w:rPr>
          <w:color w:val="auto"/>
        </w:rPr>
        <w:t xml:space="preserve">was the same </w:t>
      </w:r>
      <w:r w:rsidR="007C143A" w:rsidRPr="002557C9">
        <w:rPr>
          <w:color w:val="auto"/>
        </w:rPr>
        <w:t>for all blank entries before th</w:t>
      </w:r>
      <w:r w:rsidR="00DF5CD1" w:rsidRPr="002557C9">
        <w:rPr>
          <w:color w:val="auto"/>
        </w:rPr>
        <w:t>is date.</w:t>
      </w:r>
      <w:r w:rsidR="00830308" w:rsidRPr="002557C9">
        <w:rPr>
          <w:color w:val="auto"/>
        </w:rPr>
        <w:t xml:space="preserve"> </w:t>
      </w:r>
      <w:r w:rsidR="003E47E6" w:rsidRPr="002557C9">
        <w:rPr>
          <w:color w:val="auto"/>
        </w:rPr>
        <w:t xml:space="preserve">For example, an ostomate </w:t>
      </w:r>
      <w:r w:rsidR="0085653A" w:rsidRPr="002557C9">
        <w:rPr>
          <w:color w:val="auto"/>
        </w:rPr>
        <w:t>with</w:t>
      </w:r>
      <w:r w:rsidR="003E47E6" w:rsidRPr="002557C9">
        <w:rPr>
          <w:color w:val="auto"/>
        </w:rPr>
        <w:t xml:space="preserve"> 5 </w:t>
      </w:r>
      <w:r w:rsidR="00A9299D" w:rsidRPr="002557C9">
        <w:rPr>
          <w:color w:val="auto"/>
        </w:rPr>
        <w:t xml:space="preserve">orders </w:t>
      </w:r>
      <w:r w:rsidR="0085653A" w:rsidRPr="002557C9">
        <w:rPr>
          <w:color w:val="auto"/>
        </w:rPr>
        <w:t xml:space="preserve">after March 2023 </w:t>
      </w:r>
      <w:r w:rsidR="00E3295A" w:rsidRPr="002557C9">
        <w:rPr>
          <w:color w:val="auto"/>
        </w:rPr>
        <w:t xml:space="preserve">listed as stoma type </w:t>
      </w:r>
      <w:r w:rsidR="0085653A" w:rsidRPr="002557C9">
        <w:rPr>
          <w:color w:val="auto"/>
        </w:rPr>
        <w:t xml:space="preserve">Colostomy </w:t>
      </w:r>
      <w:r w:rsidR="00390696" w:rsidRPr="002557C9">
        <w:rPr>
          <w:color w:val="auto"/>
        </w:rPr>
        <w:t>but 13 orders before March 2023 with blank stoma type data</w:t>
      </w:r>
      <w:r w:rsidR="0085653A" w:rsidRPr="002557C9">
        <w:rPr>
          <w:color w:val="auto"/>
        </w:rPr>
        <w:t xml:space="preserve"> would be assumed to have </w:t>
      </w:r>
      <w:r w:rsidR="00D012AC" w:rsidRPr="002557C9">
        <w:rPr>
          <w:color w:val="auto"/>
        </w:rPr>
        <w:t>18 orders with Colostomy type across FY22-23</w:t>
      </w:r>
      <w:r w:rsidR="00191963" w:rsidRPr="002557C9">
        <w:rPr>
          <w:color w:val="auto"/>
        </w:rPr>
        <w:t xml:space="preserve">, and the </w:t>
      </w:r>
      <w:r w:rsidR="001752BC" w:rsidRPr="002557C9">
        <w:rPr>
          <w:color w:val="auto"/>
        </w:rPr>
        <w:t>annual expenditure for this ostomate would include all 18 orders</w:t>
      </w:r>
      <w:r w:rsidR="00D012AC" w:rsidRPr="002557C9">
        <w:rPr>
          <w:color w:val="auto"/>
        </w:rPr>
        <w:t>.</w:t>
      </w:r>
      <w:r w:rsidR="008B0ABA" w:rsidRPr="002557C9">
        <w:rPr>
          <w:color w:val="auto"/>
        </w:rPr>
        <w:t xml:space="preserve"> </w:t>
      </w:r>
      <w:r w:rsidR="00396DD7" w:rsidRPr="002557C9">
        <w:rPr>
          <w:color w:val="auto"/>
        </w:rPr>
        <w:t>This assumption meant that stoma type was imputed for</w:t>
      </w:r>
      <w:r w:rsidR="004F6B47" w:rsidRPr="002557C9">
        <w:rPr>
          <w:color w:val="auto"/>
        </w:rPr>
        <w:t xml:space="preserve"> 33,446 </w:t>
      </w:r>
      <w:r w:rsidR="00396DD7" w:rsidRPr="002557C9">
        <w:rPr>
          <w:color w:val="auto"/>
        </w:rPr>
        <w:t xml:space="preserve">or </w:t>
      </w:r>
      <w:r w:rsidR="00BE712A" w:rsidRPr="002557C9">
        <w:rPr>
          <w:color w:val="auto"/>
        </w:rPr>
        <w:t>68.6% of ostomate I</w:t>
      </w:r>
      <w:r w:rsidR="00A72F15" w:rsidRPr="002557C9">
        <w:rPr>
          <w:color w:val="auto"/>
        </w:rPr>
        <w:t>Ds</w:t>
      </w:r>
      <w:r w:rsidR="004F6B47" w:rsidRPr="002557C9">
        <w:rPr>
          <w:color w:val="auto"/>
        </w:rPr>
        <w:t xml:space="preserve">. The average cost of </w:t>
      </w:r>
      <w:r w:rsidR="00CB0CBC" w:rsidRPr="002557C9">
        <w:rPr>
          <w:color w:val="auto"/>
        </w:rPr>
        <w:t xml:space="preserve">the remaining </w:t>
      </w:r>
      <w:r w:rsidR="00633F51" w:rsidRPr="002557C9">
        <w:rPr>
          <w:color w:val="auto"/>
        </w:rPr>
        <w:t xml:space="preserve">15,324 </w:t>
      </w:r>
      <w:r w:rsidR="004F6B47" w:rsidRPr="002557C9">
        <w:rPr>
          <w:color w:val="auto"/>
        </w:rPr>
        <w:t>ostomate</w:t>
      </w:r>
      <w:r w:rsidR="00E114E0" w:rsidRPr="002557C9">
        <w:rPr>
          <w:color w:val="auto"/>
        </w:rPr>
        <w:t xml:space="preserve">s </w:t>
      </w:r>
      <w:r w:rsidR="004F6B47" w:rsidRPr="002557C9">
        <w:rPr>
          <w:color w:val="auto"/>
        </w:rPr>
        <w:t>without stoma type information was $1,</w:t>
      </w:r>
      <w:r w:rsidR="00E305EC" w:rsidRPr="002557C9">
        <w:rPr>
          <w:color w:val="auto"/>
        </w:rPr>
        <w:t>364</w:t>
      </w:r>
      <w:r w:rsidR="004F6B47" w:rsidRPr="002557C9">
        <w:rPr>
          <w:color w:val="auto"/>
        </w:rPr>
        <w:t>.</w:t>
      </w:r>
    </w:p>
    <w:p w14:paraId="21DD7E3F" w14:textId="77777777" w:rsidR="0054024D" w:rsidRDefault="0054024D" w:rsidP="005B14AF">
      <w:pPr>
        <w:spacing w:before="0" w:after="0"/>
        <w:rPr>
          <w:rFonts w:cstheme="minorHAnsi"/>
          <w:sz w:val="16"/>
          <w:szCs w:val="16"/>
        </w:rPr>
      </w:pPr>
    </w:p>
    <w:p w14:paraId="7A7231AB" w14:textId="77777777" w:rsidR="0054024D" w:rsidRDefault="0054024D" w:rsidP="005B14AF">
      <w:pPr>
        <w:spacing w:before="0" w:after="0"/>
        <w:rPr>
          <w:rFonts w:cstheme="minorHAnsi"/>
          <w:sz w:val="16"/>
          <w:szCs w:val="16"/>
        </w:rPr>
        <w:sectPr w:rsidR="0054024D" w:rsidSect="00361225">
          <w:pgSz w:w="16838" w:h="11906" w:orient="landscape" w:code="9"/>
          <w:pgMar w:top="1134" w:right="1134" w:bottom="1134" w:left="1134" w:header="709" w:footer="510" w:gutter="0"/>
          <w:cols w:space="708"/>
          <w:docGrid w:linePitch="360"/>
        </w:sectPr>
      </w:pPr>
    </w:p>
    <w:p w14:paraId="7E841A1B" w14:textId="77777777" w:rsidR="00C92072" w:rsidRDefault="00C92072" w:rsidP="00C92072">
      <w:pPr>
        <w:pStyle w:val="Heading1"/>
      </w:pPr>
      <w:bookmarkStart w:id="22" w:name="_Toc156898586"/>
      <w:bookmarkStart w:id="23" w:name="_Toc161743090"/>
      <w:r w:rsidRPr="00DF19C1">
        <w:lastRenderedPageBreak/>
        <w:t>Clinical Eligibility</w:t>
      </w:r>
      <w:bookmarkEnd w:id="22"/>
      <w:bookmarkEnd w:id="23"/>
    </w:p>
    <w:p w14:paraId="0376728A" w14:textId="77777777" w:rsidR="00D61409" w:rsidRDefault="00D61409" w:rsidP="00D61409">
      <w:pPr>
        <w:pStyle w:val="BodyText"/>
      </w:pPr>
      <w:r>
        <w:t>This Chapters provides a summary of the key clinical eligibility themes that emerged during the situational analysis and stakeholder consultations throughout the Review.</w:t>
      </w:r>
    </w:p>
    <w:p w14:paraId="733C4E3B" w14:textId="77777777" w:rsidR="00C92072" w:rsidRDefault="00C92072" w:rsidP="00C92072">
      <w:pPr>
        <w:pStyle w:val="Heading2"/>
      </w:pPr>
      <w:bookmarkStart w:id="24" w:name="_Ref156809706"/>
      <w:r>
        <w:t>Current clinical eligibility</w:t>
      </w:r>
      <w:bookmarkEnd w:id="24"/>
    </w:p>
    <w:p w14:paraId="5F4CF639" w14:textId="407A033C" w:rsidR="00C92072" w:rsidRPr="002E27B9" w:rsidRDefault="00C92072" w:rsidP="002B285C">
      <w:pPr>
        <w:pStyle w:val="BodyText"/>
      </w:pPr>
      <w:r>
        <w:t xml:space="preserve">To be eligible for free stoma appliances and products under the Scheme, a person must have a stoma </w:t>
      </w:r>
      <w:r w:rsidR="00E14569">
        <w:t xml:space="preserve">as defined by the </w:t>
      </w:r>
      <w:r w:rsidRPr="002E27B9">
        <w:t xml:space="preserve">current </w:t>
      </w:r>
      <w:r w:rsidRPr="002B285C">
        <w:t>Ministerially</w:t>
      </w:r>
      <w:r w:rsidRPr="002E27B9">
        <w:t xml:space="preserve"> approved clinical eligibility in the Scheme’s Operational Guidelines</w:t>
      </w:r>
      <w:r w:rsidR="00E14569">
        <w:t xml:space="preserve"> (see</w:t>
      </w:r>
      <w:r w:rsidR="007470AB">
        <w:t xml:space="preserve"> Section</w:t>
      </w:r>
      <w:r w:rsidR="00E14569">
        <w:t xml:space="preserve"> </w:t>
      </w:r>
      <w:r w:rsidR="007470AB">
        <w:fldChar w:fldCharType="begin"/>
      </w:r>
      <w:r w:rsidR="007470AB">
        <w:instrText xml:space="preserve"> REF _Ref157439946 \r \h </w:instrText>
      </w:r>
      <w:r w:rsidR="007470AB">
        <w:fldChar w:fldCharType="separate"/>
      </w:r>
      <w:r w:rsidR="00FE1418">
        <w:t>2.1.1</w:t>
      </w:r>
      <w:r w:rsidR="007470AB">
        <w:fldChar w:fldCharType="end"/>
      </w:r>
      <w:r w:rsidR="007470AB">
        <w:t>).</w:t>
      </w:r>
    </w:p>
    <w:p w14:paraId="4F907219" w14:textId="0ACBC62B" w:rsidR="00C92072" w:rsidRDefault="00074038" w:rsidP="002B285C">
      <w:pPr>
        <w:pStyle w:val="BodyText"/>
      </w:pPr>
      <w:r>
        <w:t>C</w:t>
      </w:r>
      <w:r w:rsidR="00C92072" w:rsidRPr="00DB3123">
        <w:t xml:space="preserve">linical eligibility for the Scheme has been reviewed periodically due to advances in surgery and for specific conditions. </w:t>
      </w:r>
      <w:r w:rsidR="003A063C">
        <w:t>R</w:t>
      </w:r>
      <w:r w:rsidR="00C92072">
        <w:t>ecent changes include:</w:t>
      </w:r>
    </w:p>
    <w:p w14:paraId="73760385" w14:textId="56F563AF" w:rsidR="00C92072" w:rsidRPr="00C316C3" w:rsidRDefault="00C92072" w:rsidP="00C316C3">
      <w:pPr>
        <w:pStyle w:val="ListBullet"/>
      </w:pPr>
      <w:r w:rsidRPr="00C316C3">
        <w:t xml:space="preserve">2021: addition of patients with a neo-anus opening created due to ARM or </w:t>
      </w:r>
      <w:r w:rsidR="007F3D17">
        <w:t>IA</w:t>
      </w:r>
      <w:r w:rsidRPr="00C316C3">
        <w:rPr>
          <w:rStyle w:val="FootnoteReference"/>
          <w:b w:val="0"/>
          <w:color w:val="auto"/>
        </w:rPr>
        <w:footnoteReference w:id="4"/>
      </w:r>
      <w:r w:rsidRPr="00C316C3">
        <w:t>,MACE</w:t>
      </w:r>
      <w:r w:rsidRPr="00C316C3">
        <w:rPr>
          <w:rStyle w:val="FootnoteReference"/>
          <w:b w:val="0"/>
          <w:color w:val="auto"/>
        </w:rPr>
        <w:footnoteReference w:id="5"/>
      </w:r>
      <w:r w:rsidRPr="00C316C3">
        <w:t xml:space="preserve"> and </w:t>
      </w:r>
      <w:proofErr w:type="spellStart"/>
      <w:r w:rsidRPr="00C316C3">
        <w:t>Mitrofanoff</w:t>
      </w:r>
      <w:proofErr w:type="spellEnd"/>
      <w:r w:rsidRPr="00C316C3">
        <w:t xml:space="preserve"> stoma</w:t>
      </w:r>
      <w:r w:rsidRPr="00C316C3">
        <w:rPr>
          <w:rStyle w:val="FootnoteReference"/>
          <w:b w:val="0"/>
          <w:color w:val="auto"/>
        </w:rPr>
        <w:footnoteReference w:id="6"/>
      </w:r>
      <w:r w:rsidRPr="00C316C3">
        <w:t xml:space="preserve"> subtypes.</w:t>
      </w:r>
    </w:p>
    <w:p w14:paraId="1171E860" w14:textId="77777777" w:rsidR="00C92072" w:rsidRPr="00C316C3" w:rsidRDefault="00C92072" w:rsidP="00C316C3">
      <w:pPr>
        <w:pStyle w:val="ListBullet"/>
      </w:pPr>
      <w:r w:rsidRPr="00C316C3">
        <w:t>January 2022: addition of patients with biliary stomas.</w:t>
      </w:r>
    </w:p>
    <w:p w14:paraId="59EC6372" w14:textId="5221CAC6" w:rsidR="00C92072" w:rsidRDefault="00C92072" w:rsidP="002B285C">
      <w:pPr>
        <w:pStyle w:val="BodyText"/>
      </w:pPr>
      <w:r w:rsidRPr="00E900BF">
        <w:t xml:space="preserve">To understand whether </w:t>
      </w:r>
      <w:r w:rsidRPr="00E900BF">
        <w:rPr>
          <w:szCs w:val="21"/>
        </w:rPr>
        <w:t>previous changes to eligibility</w:t>
      </w:r>
      <w:r w:rsidRPr="00E900BF">
        <w:t xml:space="preserve"> have</w:t>
      </w:r>
      <w:r w:rsidRPr="00E900BF">
        <w:rPr>
          <w:szCs w:val="21"/>
        </w:rPr>
        <w:t xml:space="preserve"> impacted the number of products</w:t>
      </w:r>
      <w:r w:rsidRPr="00E900BF">
        <w:t xml:space="preserve"> and</w:t>
      </w:r>
      <w:r w:rsidRPr="00E900BF">
        <w:rPr>
          <w:szCs w:val="21"/>
        </w:rPr>
        <w:t xml:space="preserve"> the volume of </w:t>
      </w:r>
      <w:r w:rsidRPr="002B285C">
        <w:t>products</w:t>
      </w:r>
      <w:r w:rsidRPr="00E900BF">
        <w:rPr>
          <w:szCs w:val="21"/>
        </w:rPr>
        <w:t xml:space="preserve"> used</w:t>
      </w:r>
      <w:r w:rsidR="00C316C3">
        <w:rPr>
          <w:szCs w:val="21"/>
        </w:rPr>
        <w:t xml:space="preserve">, </w:t>
      </w:r>
      <w:r w:rsidRPr="00E900BF">
        <w:t>the Review looked to see if the introduction of new stoma types has had a significant impact on the utilisation and expenditure (</w:t>
      </w:r>
      <w:r w:rsidR="002C66C5">
        <w:fldChar w:fldCharType="begin"/>
      </w:r>
      <w:r w:rsidR="002C66C5">
        <w:instrText xml:space="preserve"> REF _Ref157092319 \h </w:instrText>
      </w:r>
      <w:r w:rsidR="002C66C5">
        <w:fldChar w:fldCharType="separate"/>
      </w:r>
      <w:r w:rsidR="00FE1418">
        <w:t xml:space="preserve">Figure </w:t>
      </w:r>
      <w:r w:rsidR="00FE1418">
        <w:rPr>
          <w:noProof/>
        </w:rPr>
        <w:t>4</w:t>
      </w:r>
      <w:r w:rsidR="002C66C5">
        <w:fldChar w:fldCharType="end"/>
      </w:r>
      <w:r w:rsidR="002C66C5">
        <w:t xml:space="preserve"> and </w:t>
      </w:r>
      <w:r w:rsidR="002C66C5">
        <w:fldChar w:fldCharType="begin"/>
      </w:r>
      <w:r w:rsidR="002C66C5">
        <w:instrText xml:space="preserve"> REF _Ref157092350 \h </w:instrText>
      </w:r>
      <w:r w:rsidR="002C66C5">
        <w:fldChar w:fldCharType="separate"/>
      </w:r>
      <w:r w:rsidR="00FE1418">
        <w:t xml:space="preserve">Figure </w:t>
      </w:r>
      <w:r w:rsidR="00FE1418">
        <w:rPr>
          <w:noProof/>
        </w:rPr>
        <w:t>5</w:t>
      </w:r>
      <w:r w:rsidR="002C66C5">
        <w:fldChar w:fldCharType="end"/>
      </w:r>
      <w:r w:rsidRPr="00E900BF">
        <w:t>).</w:t>
      </w:r>
    </w:p>
    <w:p w14:paraId="7442651B" w14:textId="211900CE" w:rsidR="00D97B1E" w:rsidRDefault="00D97B1E" w:rsidP="00C316C3">
      <w:pPr>
        <w:pStyle w:val="Caption"/>
      </w:pPr>
      <w:bookmarkStart w:id="25" w:name="_Ref157092319"/>
      <w:bookmarkStart w:id="26" w:name="_Toc161743128"/>
      <w:r>
        <w:t xml:space="preserve">Figure </w:t>
      </w:r>
      <w:r>
        <w:fldChar w:fldCharType="begin"/>
      </w:r>
      <w:r>
        <w:instrText xml:space="preserve"> SEQ Figure \* ARABIC </w:instrText>
      </w:r>
      <w:r>
        <w:fldChar w:fldCharType="separate"/>
      </w:r>
      <w:r w:rsidR="00FE1418">
        <w:rPr>
          <w:noProof/>
        </w:rPr>
        <w:t>4</w:t>
      </w:r>
      <w:r>
        <w:rPr>
          <w:noProof/>
        </w:rPr>
        <w:fldChar w:fldCharType="end"/>
      </w:r>
      <w:bookmarkEnd w:id="25"/>
      <w:r>
        <w:t xml:space="preserve">: </w:t>
      </w:r>
      <w:r w:rsidRPr="00121F02">
        <w:t xml:space="preserve">Quantity by month and </w:t>
      </w:r>
      <w:proofErr w:type="gramStart"/>
      <w:r w:rsidRPr="00121F02">
        <w:t>year</w:t>
      </w:r>
      <w:bookmarkEnd w:id="26"/>
      <w:proofErr w:type="gramEnd"/>
    </w:p>
    <w:p w14:paraId="2DE6398C" w14:textId="5AB2EE14" w:rsidR="00C316C3" w:rsidRPr="00C316C3" w:rsidRDefault="00C316C3" w:rsidP="003A063C">
      <w:pPr>
        <w:pStyle w:val="BodyText"/>
        <w:spacing w:after="0"/>
        <w:jc w:val="center"/>
      </w:pPr>
      <w:r>
        <w:rPr>
          <w:noProof/>
        </w:rPr>
        <w:drawing>
          <wp:inline distT="0" distB="0" distL="0" distR="0" wp14:anchorId="0E25460C" wp14:editId="40B624A6">
            <wp:extent cx="5314950" cy="3003550"/>
            <wp:effectExtent l="0" t="0" r="0" b="6350"/>
            <wp:docPr id="1165099388" name="Picture 1" descr="Figure 4: Quantity by month and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99388" name="Picture 1" descr="Figure 4: Quantity by month and yea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6402" cy="3026975"/>
                    </a:xfrm>
                    <a:prstGeom prst="rect">
                      <a:avLst/>
                    </a:prstGeom>
                    <a:noFill/>
                  </pic:spPr>
                </pic:pic>
              </a:graphicData>
            </a:graphic>
          </wp:inline>
        </w:drawing>
      </w:r>
    </w:p>
    <w:p w14:paraId="212A34DF" w14:textId="7F6BE0D6" w:rsidR="00CB126F" w:rsidRDefault="00CB126F" w:rsidP="00CB126F">
      <w:pPr>
        <w:pStyle w:val="Source"/>
      </w:pPr>
      <w:r w:rsidRPr="002557C9">
        <w:rPr>
          <w:color w:val="auto"/>
        </w:rPr>
        <w:t>Source: P</w:t>
      </w:r>
      <w:r w:rsidR="00EF36DF" w:rsidRPr="002557C9">
        <w:rPr>
          <w:color w:val="auto"/>
        </w:rPr>
        <w:t>harmaceutical Benefits Scheme (PBS)</w:t>
      </w:r>
      <w:r w:rsidRPr="002557C9">
        <w:rPr>
          <w:color w:val="auto"/>
        </w:rPr>
        <w:t xml:space="preserve"> data</w:t>
      </w:r>
    </w:p>
    <w:p w14:paraId="187232DB" w14:textId="073406B2" w:rsidR="002C66C5" w:rsidRDefault="002C66C5" w:rsidP="00C316C3">
      <w:pPr>
        <w:pStyle w:val="Caption"/>
      </w:pPr>
      <w:bookmarkStart w:id="27" w:name="_Ref157092350"/>
      <w:bookmarkStart w:id="28" w:name="_Ref157092346"/>
      <w:bookmarkStart w:id="29" w:name="_Toc161743129"/>
      <w:r>
        <w:lastRenderedPageBreak/>
        <w:t xml:space="preserve">Figure </w:t>
      </w:r>
      <w:r>
        <w:fldChar w:fldCharType="begin"/>
      </w:r>
      <w:r>
        <w:instrText xml:space="preserve"> SEQ Figure \* ARABIC </w:instrText>
      </w:r>
      <w:r>
        <w:fldChar w:fldCharType="separate"/>
      </w:r>
      <w:r w:rsidR="00FE1418">
        <w:rPr>
          <w:noProof/>
        </w:rPr>
        <w:t>5</w:t>
      </w:r>
      <w:r>
        <w:rPr>
          <w:noProof/>
        </w:rPr>
        <w:fldChar w:fldCharType="end"/>
      </w:r>
      <w:bookmarkEnd w:id="27"/>
      <w:r>
        <w:t xml:space="preserve">: Expenditure by month and </w:t>
      </w:r>
      <w:proofErr w:type="gramStart"/>
      <w:r>
        <w:t>year</w:t>
      </w:r>
      <w:bookmarkEnd w:id="28"/>
      <w:bookmarkEnd w:id="29"/>
      <w:proofErr w:type="gramEnd"/>
    </w:p>
    <w:p w14:paraId="701391D8" w14:textId="77777777" w:rsidR="00C316C3" w:rsidRDefault="00C316C3" w:rsidP="003A063C">
      <w:pPr>
        <w:pStyle w:val="Source"/>
        <w:spacing w:after="0"/>
      </w:pPr>
      <w:r>
        <w:rPr>
          <w:noProof/>
        </w:rPr>
        <w:drawing>
          <wp:inline distT="0" distB="0" distL="0" distR="0" wp14:anchorId="30306600" wp14:editId="3E898828">
            <wp:extent cx="5220865" cy="2708031"/>
            <wp:effectExtent l="0" t="0" r="0" b="0"/>
            <wp:docPr id="970706210" name="Picture 2" descr="Figure 5: Expenditure by month and y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06210" name="Picture 2" descr="Figure 5: Expenditure by month and year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1198" cy="2718578"/>
                    </a:xfrm>
                    <a:prstGeom prst="rect">
                      <a:avLst/>
                    </a:prstGeom>
                    <a:noFill/>
                  </pic:spPr>
                </pic:pic>
              </a:graphicData>
            </a:graphic>
          </wp:inline>
        </w:drawing>
      </w:r>
    </w:p>
    <w:p w14:paraId="65CC56D6" w14:textId="4A9E4392" w:rsidR="00CB126F" w:rsidRDefault="00CB126F" w:rsidP="003A063C">
      <w:pPr>
        <w:pStyle w:val="Source"/>
        <w:spacing w:before="0"/>
      </w:pPr>
      <w:r w:rsidRPr="002557C9">
        <w:rPr>
          <w:color w:val="auto"/>
        </w:rPr>
        <w:t>Source: P</w:t>
      </w:r>
      <w:r w:rsidR="00EF36DF" w:rsidRPr="002557C9">
        <w:rPr>
          <w:color w:val="auto"/>
        </w:rPr>
        <w:t>BS</w:t>
      </w:r>
      <w:r w:rsidRPr="002557C9">
        <w:rPr>
          <w:color w:val="auto"/>
        </w:rPr>
        <w:t xml:space="preserve"> data</w:t>
      </w:r>
    </w:p>
    <w:p w14:paraId="076FDDFC" w14:textId="77777777" w:rsidR="003A063C" w:rsidRPr="007F3D17" w:rsidRDefault="003A063C" w:rsidP="003A063C">
      <w:pPr>
        <w:pStyle w:val="BodyText"/>
      </w:pPr>
      <w:r w:rsidRPr="007F3D17">
        <w:t xml:space="preserve">In the analysis, there does not appear to be significant increase in expenditure or usage at the time of introducing new stoma types to the Scheme. </w:t>
      </w:r>
      <w:r w:rsidRPr="007F3D17">
        <w:rPr>
          <w:b/>
        </w:rPr>
        <w:t xml:space="preserve">Due to limitations in the data, it was more difficult to ascertain whether the introduction of these new stoma types affected the number of participants in the Scheme; </w:t>
      </w:r>
      <w:r w:rsidRPr="007F3D17">
        <w:t>however, based on feedback from stakeholders and the available data there has not been a significant increase in number of ostomates reported year-on-year. This is because of the temporary nature of some stomas, with those being reversed transitioning off the Scheme whilst new ostomates join.</w:t>
      </w:r>
      <w:r w:rsidRPr="009A287F">
        <w:rPr>
          <w:rStyle w:val="FootnoteReference"/>
          <w:b w:val="0"/>
          <w:bCs/>
          <w:color w:val="auto"/>
        </w:rPr>
        <w:footnoteReference w:id="7"/>
      </w:r>
    </w:p>
    <w:p w14:paraId="7697F4DB" w14:textId="4E5B0579" w:rsidR="007C70C7" w:rsidRDefault="007C70C7" w:rsidP="007C70C7">
      <w:pPr>
        <w:pStyle w:val="Heading2"/>
      </w:pPr>
      <w:r w:rsidRPr="00172A63">
        <w:t>Comparison of current clinical eligibility with international schemes</w:t>
      </w:r>
    </w:p>
    <w:p w14:paraId="3E997DB4" w14:textId="25ED7897" w:rsidR="007C70C7" w:rsidRDefault="007C70C7" w:rsidP="002B285C">
      <w:pPr>
        <w:pStyle w:val="BodyText"/>
      </w:pPr>
      <w:r>
        <w:t xml:space="preserve">The </w:t>
      </w:r>
      <w:r w:rsidR="00C316C3">
        <w:t>Scheme</w:t>
      </w:r>
      <w:r>
        <w:t xml:space="preserve"> is reliant on a set clinical definition of a stoma which determines eligibility and the outcome of an individual’s application to access the </w:t>
      </w:r>
      <w:r w:rsidR="00C316C3">
        <w:t>S</w:t>
      </w:r>
      <w:r>
        <w:t>cheme.</w:t>
      </w:r>
    </w:p>
    <w:p w14:paraId="21783DE1" w14:textId="7D3B2CF5" w:rsidR="007C70C7" w:rsidRPr="007F3D17" w:rsidRDefault="007C70C7" w:rsidP="002B285C">
      <w:pPr>
        <w:pStyle w:val="BodyText"/>
      </w:pPr>
      <w:r>
        <w:t xml:space="preserve">Comparative analysis of the </w:t>
      </w:r>
      <w:r w:rsidR="00C316C3">
        <w:t>Scheme</w:t>
      </w:r>
      <w:r>
        <w:t xml:space="preserve"> and similar international stoma </w:t>
      </w:r>
      <w:r w:rsidR="00C316C3">
        <w:t>programs</w:t>
      </w:r>
      <w:r>
        <w:t xml:space="preserve"> in the U</w:t>
      </w:r>
      <w:r w:rsidR="00AD6AD8">
        <w:t>nited Kingdom (UK)</w:t>
      </w:r>
      <w:r>
        <w:t xml:space="preserve">, USA and Switzerland show that eligibility criteria for accessing stoma appliances is largely similar. </w:t>
      </w:r>
      <w:r w:rsidRPr="007F3D17">
        <w:t xml:space="preserve">Within these schemes, a combination of clinical judgement and a </w:t>
      </w:r>
      <w:r w:rsidR="00C316C3" w:rsidRPr="007F3D17">
        <w:t xml:space="preserve">set criterion </w:t>
      </w:r>
      <w:r w:rsidRPr="007F3D17">
        <w:t>is used</w:t>
      </w:r>
      <w:r w:rsidR="00C316C3" w:rsidRPr="007F3D17">
        <w:t xml:space="preserve"> to </w:t>
      </w:r>
      <w:r w:rsidRPr="007F3D17">
        <w:t>determine the products an ostomate require</w:t>
      </w:r>
      <w:r w:rsidR="00C316C3" w:rsidRPr="007F3D17">
        <w:t xml:space="preserve"> and every much decided</w:t>
      </w:r>
      <w:r w:rsidRPr="007F3D17">
        <w:t xml:space="preserve"> on an individual basis:</w:t>
      </w:r>
    </w:p>
    <w:p w14:paraId="1CEAB243" w14:textId="5F9CA979" w:rsidR="007C70C7" w:rsidRPr="007F3D17" w:rsidRDefault="007C70C7" w:rsidP="00C316C3">
      <w:pPr>
        <w:pStyle w:val="ListBullet"/>
      </w:pPr>
      <w:r w:rsidRPr="007F3D17">
        <w:t>In the UK, practitioners prescribe individuals with access to appliances approved by N</w:t>
      </w:r>
      <w:r w:rsidR="00EF36DF">
        <w:t>ational Health Service (NHS)</w:t>
      </w:r>
      <w:r w:rsidRPr="007F3D17">
        <w:t xml:space="preserve"> Prescription Services on behalf of the Secretary of State for Health and Social Care. Individuals with a permanent fistula (including, a laryngostomy, colostomy, </w:t>
      </w:r>
      <w:proofErr w:type="gramStart"/>
      <w:r w:rsidRPr="007F3D17">
        <w:t>ileostomy</w:t>
      </w:r>
      <w:proofErr w:type="gramEnd"/>
      <w:r w:rsidRPr="007F3D17">
        <w:t xml:space="preserve"> or some renal dialysis fistulas) requiring continuous surgical dressing or an appliance are eligible to apply for a medical exemption certificate which permits access to prescriptions for required equipment free of charge.</w:t>
      </w:r>
      <w:r w:rsidRPr="009A287F">
        <w:rPr>
          <w:rStyle w:val="FootnoteReference"/>
          <w:b w:val="0"/>
          <w:bCs/>
          <w:color w:val="auto"/>
        </w:rPr>
        <w:footnoteReference w:id="8"/>
      </w:r>
    </w:p>
    <w:p w14:paraId="72C57FCA" w14:textId="03C7C969" w:rsidR="007C70C7" w:rsidRPr="007F3D17" w:rsidRDefault="007C70C7" w:rsidP="00C316C3">
      <w:pPr>
        <w:pStyle w:val="ListBullet"/>
      </w:pPr>
      <w:r w:rsidRPr="007F3D17">
        <w:lastRenderedPageBreak/>
        <w:t>In Switzerland, all individuals are required to have private health insurance which make them eligible to access products when required.</w:t>
      </w:r>
    </w:p>
    <w:p w14:paraId="1DC46537" w14:textId="77777777" w:rsidR="007C70C7" w:rsidRPr="007F3D17" w:rsidRDefault="007C70C7" w:rsidP="00C316C3">
      <w:pPr>
        <w:pStyle w:val="ListBullet"/>
      </w:pPr>
      <w:r w:rsidRPr="007F3D17">
        <w:t xml:space="preserve">In the US, stoma nurses determine the appliances necessary, then a physician confirms the order. To access stoma supplies, the individual must meet Medicare criteria, and have a surgically created opening (stoma) to divert urine, or faecal contents outside the body. Subsidised ostomy supplies are used for colostomies, </w:t>
      </w:r>
      <w:proofErr w:type="gramStart"/>
      <w:r w:rsidRPr="007F3D17">
        <w:t>ileostomies</w:t>
      </w:r>
      <w:proofErr w:type="gramEnd"/>
      <w:r w:rsidRPr="007F3D17">
        <w:t xml:space="preserve"> or urinary ostomies.</w:t>
      </w:r>
      <w:r w:rsidRPr="009A287F">
        <w:rPr>
          <w:rStyle w:val="FootnoteReference"/>
          <w:b w:val="0"/>
          <w:bCs/>
          <w:color w:val="auto"/>
        </w:rPr>
        <w:footnoteReference w:id="9"/>
      </w:r>
    </w:p>
    <w:p w14:paraId="126BBA23" w14:textId="7560F03B" w:rsidR="007C70C7" w:rsidRPr="007F3D17" w:rsidRDefault="007C70C7" w:rsidP="002B285C">
      <w:pPr>
        <w:pStyle w:val="BodyText"/>
      </w:pPr>
      <w:r w:rsidRPr="007F3D17">
        <w:t>This comparative analysis underscores the commonality in eligibility criteria across Australia’s Scheme and similar schemes. The importance of medical professionals, such as STNs and other medical professionals, in guiding this process remains consistent across these healthcare systems.</w:t>
      </w:r>
    </w:p>
    <w:p w14:paraId="49D08B4F" w14:textId="77777777" w:rsidR="007C70C7" w:rsidRDefault="007C70C7" w:rsidP="007C70C7">
      <w:pPr>
        <w:pStyle w:val="Heading2"/>
      </w:pPr>
      <w:r>
        <w:t>Feedback and gaps in the current clinical eligibility</w:t>
      </w:r>
    </w:p>
    <w:p w14:paraId="607D312F" w14:textId="58ED0E38" w:rsidR="007C70C7" w:rsidRDefault="007C70C7" w:rsidP="002B285C">
      <w:pPr>
        <w:pStyle w:val="BodyText"/>
      </w:pPr>
      <w:r>
        <w:t xml:space="preserve">Stakeholders </w:t>
      </w:r>
      <w:r w:rsidR="00C316C3">
        <w:t>confirmed</w:t>
      </w:r>
      <w:r>
        <w:t xml:space="preserve"> that the Scheme does not have any major gaps regarding clinical eligibility. The inclusion of </w:t>
      </w:r>
      <w:r w:rsidRPr="00D524F8">
        <w:t>neo-anus opening created due to ARM o</w:t>
      </w:r>
      <w:r>
        <w:t xml:space="preserve">r </w:t>
      </w:r>
      <w:r w:rsidRPr="00D524F8">
        <w:t>IA, MACE</w:t>
      </w:r>
      <w:r>
        <w:t xml:space="preserve">, </w:t>
      </w:r>
      <w:proofErr w:type="spellStart"/>
      <w:r w:rsidRPr="00D524F8">
        <w:t>Mitrofanoff</w:t>
      </w:r>
      <w:proofErr w:type="spellEnd"/>
      <w:r w:rsidRPr="00D524F8">
        <w:t xml:space="preserve"> stoma</w:t>
      </w:r>
      <w:r>
        <w:t xml:space="preserve"> and biliary stomas has meant that the </w:t>
      </w:r>
      <w:r w:rsidR="00C316C3">
        <w:t>Scheme</w:t>
      </w:r>
      <w:r>
        <w:t xml:space="preserve"> caters to a more appropriate range people than previously.</w:t>
      </w:r>
      <w:r w:rsidR="00511531">
        <w:t xml:space="preserve"> There was agreement amongst stakeholders that neo-anus openings should remain within the clinical eligibility of the Scheme. </w:t>
      </w:r>
    </w:p>
    <w:p w14:paraId="3DD4CFF6" w14:textId="239D837D" w:rsidR="007C70C7" w:rsidRDefault="007C70C7" w:rsidP="002B285C">
      <w:pPr>
        <w:pStyle w:val="BodyText"/>
      </w:pPr>
      <w:r>
        <w:t xml:space="preserve">Whilst the </w:t>
      </w:r>
      <w:r w:rsidR="00C316C3">
        <w:t>Scheme</w:t>
      </w:r>
      <w:r>
        <w:t xml:space="preserve"> is largely available to its intended participants, there are conditions which technically meet the clinical eligibility (being stomas in the </w:t>
      </w:r>
      <w:r w:rsidR="002C631E">
        <w:t>GI</w:t>
      </w:r>
      <w:r>
        <w:t xml:space="preserve"> tract), align with the aims of the Scheme but are not always formally recognised by the Scheme when applying to participate. STNs conveyed that these eligibility gaps often require additional letters of support which leads to added</w:t>
      </w:r>
      <w:r w:rsidRPr="00B22DD8">
        <w:t xml:space="preserve"> administrative burden for </w:t>
      </w:r>
      <w:r w:rsidR="009C7940">
        <w:t>ostomates</w:t>
      </w:r>
      <w:r w:rsidR="009C7940" w:rsidRPr="00B22DD8">
        <w:t xml:space="preserve"> </w:t>
      </w:r>
      <w:r w:rsidRPr="00B22DD8">
        <w:t>and</w:t>
      </w:r>
      <w:r>
        <w:t xml:space="preserve"> </w:t>
      </w:r>
      <w:r w:rsidRPr="00B22DD8">
        <w:t>STN’s</w:t>
      </w:r>
      <w:r>
        <w:t>. Stoma types that currently require additional letters of support or PB50 forms</w:t>
      </w:r>
      <w:r w:rsidRPr="00757C94">
        <w:t xml:space="preserve"> for </w:t>
      </w:r>
      <w:r>
        <w:t xml:space="preserve">special consideration </w:t>
      </w:r>
      <w:r w:rsidR="00C316C3">
        <w:t xml:space="preserve">often </w:t>
      </w:r>
      <w:r>
        <w:t>include</w:t>
      </w:r>
      <w:r w:rsidRPr="00757C94">
        <w:t xml:space="preserve"> fistulas, vesicostomies, </w:t>
      </w:r>
      <w:r>
        <w:t xml:space="preserve">and </w:t>
      </w:r>
      <w:r w:rsidRPr="00757C94">
        <w:t>e</w:t>
      </w:r>
      <w:r>
        <w:t>s</w:t>
      </w:r>
      <w:r w:rsidRPr="00757C94">
        <w:t>ophagostomies</w:t>
      </w:r>
      <w:r>
        <w:t>.</w:t>
      </w:r>
    </w:p>
    <w:bookmarkStart w:id="30" w:name="_Ref156899987"/>
    <w:p w14:paraId="750FDDC1" w14:textId="5ABAEC16" w:rsidR="007C70C7" w:rsidRDefault="007C70C7" w:rsidP="002B285C">
      <w:pPr>
        <w:pStyle w:val="BodyText"/>
      </w:pPr>
      <w:r>
        <w:fldChar w:fldCharType="begin"/>
      </w:r>
      <w:r>
        <w:instrText xml:space="preserve"> REF _Ref157092488 \h </w:instrText>
      </w:r>
      <w:r>
        <w:fldChar w:fldCharType="separate"/>
      </w:r>
      <w:r w:rsidR="00FE1418">
        <w:t xml:space="preserve">Table </w:t>
      </w:r>
      <w:r w:rsidR="00FE1418">
        <w:rPr>
          <w:noProof/>
        </w:rPr>
        <w:t>4</w:t>
      </w:r>
      <w:r>
        <w:fldChar w:fldCharType="end"/>
      </w:r>
      <w:r>
        <w:t xml:space="preserve"> </w:t>
      </w:r>
      <w:r w:rsidRPr="006D1532">
        <w:t xml:space="preserve">describes the key gaps identified </w:t>
      </w:r>
      <w:r w:rsidR="00C316C3">
        <w:t xml:space="preserve">through the Review </w:t>
      </w:r>
      <w:r w:rsidRPr="006D1532">
        <w:t>in the Scheme’s current clinical eligibility.</w:t>
      </w:r>
      <w:bookmarkEnd w:id="30"/>
    </w:p>
    <w:p w14:paraId="55E31BE1" w14:textId="73009131" w:rsidR="007C70C7" w:rsidRDefault="007C70C7" w:rsidP="007C70C7">
      <w:pPr>
        <w:pStyle w:val="Caption"/>
      </w:pPr>
      <w:bookmarkStart w:id="31" w:name="_Ref157092488"/>
      <w:bookmarkStart w:id="32" w:name="_Toc161743107"/>
      <w:r>
        <w:t xml:space="preserve">Table </w:t>
      </w:r>
      <w:r>
        <w:fldChar w:fldCharType="begin"/>
      </w:r>
      <w:r>
        <w:instrText xml:space="preserve"> SEQ Table \* ARABIC </w:instrText>
      </w:r>
      <w:r>
        <w:fldChar w:fldCharType="separate"/>
      </w:r>
      <w:r w:rsidR="00FE1418">
        <w:rPr>
          <w:noProof/>
        </w:rPr>
        <w:t>4</w:t>
      </w:r>
      <w:r>
        <w:rPr>
          <w:noProof/>
        </w:rPr>
        <w:fldChar w:fldCharType="end"/>
      </w:r>
      <w:bookmarkEnd w:id="31"/>
      <w:r>
        <w:t xml:space="preserve">: </w:t>
      </w:r>
      <w:r w:rsidRPr="00732C2C">
        <w:t>Gaps in current eligibility criteria of the Scheme</w:t>
      </w:r>
      <w:bookmarkEnd w:id="32"/>
    </w:p>
    <w:tbl>
      <w:tblPr>
        <w:tblStyle w:val="TableHealthConsultPurple"/>
        <w:tblW w:w="4991" w:type="pct"/>
        <w:tblLayout w:type="fixed"/>
        <w:tblLook w:val="0420" w:firstRow="1" w:lastRow="0" w:firstColumn="0" w:lastColumn="0" w:noHBand="0" w:noVBand="1"/>
      </w:tblPr>
      <w:tblGrid>
        <w:gridCol w:w="1417"/>
        <w:gridCol w:w="3113"/>
        <w:gridCol w:w="2122"/>
        <w:gridCol w:w="2969"/>
      </w:tblGrid>
      <w:tr w:rsidR="00B57B75" w:rsidRPr="00B57B75" w14:paraId="036A93DD" w14:textId="77777777" w:rsidTr="004F618C">
        <w:trPr>
          <w:cnfStyle w:val="100000000000" w:firstRow="1" w:lastRow="0" w:firstColumn="0" w:lastColumn="0" w:oddVBand="0" w:evenVBand="0" w:oddHBand="0" w:evenHBand="0" w:firstRowFirstColumn="0" w:firstRowLastColumn="0" w:lastRowFirstColumn="0" w:lastRowLastColumn="0"/>
          <w:trHeight w:val="251"/>
        </w:trPr>
        <w:tc>
          <w:tcPr>
            <w:tcW w:w="736" w:type="pct"/>
          </w:tcPr>
          <w:p w14:paraId="7CBB267A" w14:textId="77777777" w:rsidR="007C70C7" w:rsidRPr="00B57B75" w:rsidRDefault="007C70C7" w:rsidP="00B57B75">
            <w:pPr>
              <w:pStyle w:val="BodyText"/>
              <w:spacing w:before="0" w:after="0"/>
              <w:rPr>
                <w:sz w:val="16"/>
                <w:szCs w:val="20"/>
              </w:rPr>
            </w:pPr>
            <w:r w:rsidRPr="00B57B75">
              <w:rPr>
                <w:sz w:val="16"/>
                <w:szCs w:val="20"/>
              </w:rPr>
              <w:t>Type</w:t>
            </w:r>
          </w:p>
        </w:tc>
        <w:tc>
          <w:tcPr>
            <w:tcW w:w="1618" w:type="pct"/>
          </w:tcPr>
          <w:p w14:paraId="32C00FC8" w14:textId="77777777" w:rsidR="007C70C7" w:rsidRPr="00B57B75" w:rsidRDefault="007C70C7" w:rsidP="00B57B75">
            <w:pPr>
              <w:pStyle w:val="BodyText"/>
              <w:spacing w:before="0" w:after="0"/>
              <w:rPr>
                <w:sz w:val="16"/>
                <w:szCs w:val="20"/>
              </w:rPr>
            </w:pPr>
            <w:r w:rsidRPr="00B57B75">
              <w:rPr>
                <w:sz w:val="16"/>
                <w:szCs w:val="20"/>
              </w:rPr>
              <w:t>Description</w:t>
            </w:r>
          </w:p>
        </w:tc>
        <w:tc>
          <w:tcPr>
            <w:tcW w:w="1103" w:type="pct"/>
          </w:tcPr>
          <w:p w14:paraId="0D2A3012" w14:textId="77777777" w:rsidR="007C70C7" w:rsidRPr="00B57B75" w:rsidRDefault="007C70C7" w:rsidP="00B57B75">
            <w:pPr>
              <w:pStyle w:val="BodyText"/>
              <w:spacing w:before="0" w:after="0"/>
              <w:rPr>
                <w:sz w:val="16"/>
                <w:szCs w:val="20"/>
              </w:rPr>
            </w:pPr>
            <w:r w:rsidRPr="00B57B75">
              <w:rPr>
                <w:sz w:val="16"/>
                <w:szCs w:val="20"/>
              </w:rPr>
              <w:t>Equipment needed</w:t>
            </w:r>
          </w:p>
        </w:tc>
        <w:tc>
          <w:tcPr>
            <w:tcW w:w="1543" w:type="pct"/>
          </w:tcPr>
          <w:p w14:paraId="2682CFCC" w14:textId="4C7CADD1" w:rsidR="007C70C7" w:rsidRPr="00B57B75" w:rsidRDefault="00C316C3" w:rsidP="00B57B75">
            <w:pPr>
              <w:pStyle w:val="BodyText"/>
              <w:spacing w:before="0" w:after="0"/>
              <w:rPr>
                <w:sz w:val="16"/>
                <w:szCs w:val="20"/>
              </w:rPr>
            </w:pPr>
            <w:r>
              <w:rPr>
                <w:sz w:val="16"/>
                <w:szCs w:val="20"/>
              </w:rPr>
              <w:t>Scheme</w:t>
            </w:r>
            <w:r w:rsidR="007C70C7" w:rsidRPr="00B57B75">
              <w:rPr>
                <w:sz w:val="16"/>
                <w:szCs w:val="20"/>
              </w:rPr>
              <w:t xml:space="preserve"> eligibility</w:t>
            </w:r>
          </w:p>
        </w:tc>
      </w:tr>
      <w:tr w:rsidR="007C70C7" w:rsidRPr="00B57B75" w14:paraId="34D6E1D1" w14:textId="77777777" w:rsidTr="004F618C">
        <w:trPr>
          <w:trHeight w:val="1255"/>
        </w:trPr>
        <w:tc>
          <w:tcPr>
            <w:tcW w:w="736" w:type="pct"/>
          </w:tcPr>
          <w:p w14:paraId="2AB73517" w14:textId="77777777" w:rsidR="007C70C7" w:rsidRPr="00B57B75" w:rsidRDefault="007C70C7" w:rsidP="00B57B75">
            <w:pPr>
              <w:pStyle w:val="BodyText"/>
              <w:spacing w:before="0" w:after="0"/>
              <w:rPr>
                <w:b/>
                <w:sz w:val="16"/>
                <w:szCs w:val="20"/>
              </w:rPr>
            </w:pPr>
            <w:r w:rsidRPr="00B57B75">
              <w:rPr>
                <w:sz w:val="16"/>
                <w:szCs w:val="20"/>
              </w:rPr>
              <w:t>Antegrade Continence Enema (ACE)</w:t>
            </w:r>
          </w:p>
        </w:tc>
        <w:tc>
          <w:tcPr>
            <w:tcW w:w="1618" w:type="pct"/>
          </w:tcPr>
          <w:p w14:paraId="517C88D9" w14:textId="1B657B65" w:rsidR="007C70C7" w:rsidRPr="00B57B75" w:rsidRDefault="007C70C7" w:rsidP="00B57B75">
            <w:pPr>
              <w:pStyle w:val="BodyText"/>
              <w:spacing w:before="0" w:after="0"/>
              <w:rPr>
                <w:sz w:val="16"/>
                <w:szCs w:val="20"/>
              </w:rPr>
            </w:pPr>
            <w:r w:rsidRPr="00B57B75">
              <w:rPr>
                <w:sz w:val="16"/>
                <w:szCs w:val="20"/>
              </w:rPr>
              <w:t xml:space="preserve">A surgically created opening between the intestine and abdomen which create a continent pathway that </w:t>
            </w:r>
            <w:r w:rsidR="009C7940">
              <w:rPr>
                <w:sz w:val="16"/>
                <w:szCs w:val="20"/>
              </w:rPr>
              <w:t xml:space="preserve">require </w:t>
            </w:r>
            <w:r w:rsidRPr="00B57B75">
              <w:rPr>
                <w:sz w:val="16"/>
                <w:szCs w:val="20"/>
              </w:rPr>
              <w:t xml:space="preserve">frequent bowel washouts. This allows management of </w:t>
            </w:r>
            <w:r w:rsidR="002C631E">
              <w:rPr>
                <w:sz w:val="16"/>
                <w:szCs w:val="20"/>
              </w:rPr>
              <w:t>GI</w:t>
            </w:r>
            <w:r w:rsidRPr="00B57B75">
              <w:rPr>
                <w:sz w:val="16"/>
                <w:szCs w:val="20"/>
              </w:rPr>
              <w:t xml:space="preserve"> tract dysfunction at home and often prevents children from needing a typical stoma.</w:t>
            </w:r>
          </w:p>
        </w:tc>
        <w:tc>
          <w:tcPr>
            <w:tcW w:w="1103" w:type="pct"/>
          </w:tcPr>
          <w:p w14:paraId="319AD057" w14:textId="5765765A" w:rsidR="007C70C7" w:rsidRPr="00B57B75" w:rsidRDefault="007C70C7" w:rsidP="00B57B75">
            <w:pPr>
              <w:pStyle w:val="BodyText"/>
              <w:spacing w:before="0" w:after="0"/>
              <w:rPr>
                <w:sz w:val="16"/>
                <w:szCs w:val="20"/>
              </w:rPr>
            </w:pPr>
            <w:r w:rsidRPr="00B57B75">
              <w:rPr>
                <w:sz w:val="16"/>
                <w:szCs w:val="20"/>
              </w:rPr>
              <w:t>Specialised catheters, bags, enema fluids and stoppers</w:t>
            </w:r>
          </w:p>
        </w:tc>
        <w:tc>
          <w:tcPr>
            <w:tcW w:w="1543" w:type="pct"/>
          </w:tcPr>
          <w:p w14:paraId="1B37557A" w14:textId="535E4165" w:rsidR="007C70C7" w:rsidRPr="00B57B75" w:rsidRDefault="007C70C7" w:rsidP="00B57B75">
            <w:pPr>
              <w:pStyle w:val="BodyText"/>
              <w:spacing w:before="0" w:after="0"/>
              <w:rPr>
                <w:sz w:val="16"/>
                <w:szCs w:val="20"/>
              </w:rPr>
            </w:pPr>
            <w:r w:rsidRPr="00B57B75">
              <w:rPr>
                <w:sz w:val="16"/>
                <w:szCs w:val="20"/>
              </w:rPr>
              <w:t xml:space="preserve">Currently eligible for </w:t>
            </w:r>
            <w:r w:rsidR="00C316C3">
              <w:rPr>
                <w:sz w:val="16"/>
                <w:szCs w:val="20"/>
              </w:rPr>
              <w:t>the Scheme</w:t>
            </w:r>
            <w:r w:rsidRPr="00B57B75">
              <w:rPr>
                <w:sz w:val="16"/>
                <w:szCs w:val="20"/>
              </w:rPr>
              <w:t xml:space="preserve">. Equipment in line with best practice is currently not available on </w:t>
            </w:r>
            <w:r w:rsidR="00C316C3">
              <w:rPr>
                <w:sz w:val="16"/>
                <w:szCs w:val="20"/>
              </w:rPr>
              <w:t>the Scheme</w:t>
            </w:r>
            <w:r w:rsidRPr="00B57B75">
              <w:rPr>
                <w:sz w:val="16"/>
                <w:szCs w:val="20"/>
              </w:rPr>
              <w:t>, examples include hydrophilic catheters, lubricants, ACE stoppers, and stopper dressings.</w:t>
            </w:r>
          </w:p>
        </w:tc>
      </w:tr>
      <w:tr w:rsidR="00B57B75" w:rsidRPr="00B57B75" w14:paraId="63D7B098" w14:textId="77777777" w:rsidTr="004F618C">
        <w:trPr>
          <w:cnfStyle w:val="000000010000" w:firstRow="0" w:lastRow="0" w:firstColumn="0" w:lastColumn="0" w:oddVBand="0" w:evenVBand="0" w:oddHBand="0" w:evenHBand="1" w:firstRowFirstColumn="0" w:firstRowLastColumn="0" w:lastRowFirstColumn="0" w:lastRowLastColumn="0"/>
          <w:trHeight w:val="723"/>
        </w:trPr>
        <w:tc>
          <w:tcPr>
            <w:tcW w:w="736" w:type="pct"/>
          </w:tcPr>
          <w:p w14:paraId="32A1E71E" w14:textId="77777777" w:rsidR="007C70C7" w:rsidRPr="00B57B75" w:rsidRDefault="007C70C7" w:rsidP="00B57B75">
            <w:pPr>
              <w:pStyle w:val="BodyText"/>
              <w:spacing w:before="0" w:after="0"/>
              <w:rPr>
                <w:b/>
                <w:sz w:val="16"/>
                <w:szCs w:val="20"/>
              </w:rPr>
            </w:pPr>
            <w:r w:rsidRPr="00B57B75">
              <w:rPr>
                <w:sz w:val="16"/>
                <w:szCs w:val="20"/>
              </w:rPr>
              <w:t>Esophagostomy</w:t>
            </w:r>
            <w:r w:rsidRPr="00B57B75">
              <w:rPr>
                <w:bCs/>
                <w:sz w:val="16"/>
                <w:szCs w:val="20"/>
              </w:rPr>
              <w:t xml:space="preserve"> (spit fistula)</w:t>
            </w:r>
          </w:p>
        </w:tc>
        <w:tc>
          <w:tcPr>
            <w:tcW w:w="1618" w:type="pct"/>
          </w:tcPr>
          <w:p w14:paraId="082C3BB9" w14:textId="77777777" w:rsidR="007C70C7" w:rsidRPr="00B57B75" w:rsidRDefault="007C70C7" w:rsidP="00B57B75">
            <w:pPr>
              <w:pStyle w:val="BodyText"/>
              <w:spacing w:before="0" w:after="0"/>
              <w:rPr>
                <w:sz w:val="16"/>
                <w:szCs w:val="20"/>
              </w:rPr>
            </w:pPr>
            <w:r w:rsidRPr="00B57B75">
              <w:rPr>
                <w:sz w:val="16"/>
                <w:szCs w:val="20"/>
              </w:rPr>
              <w:t>A surgically created opening between the oesophagus and the neck which allows food to be delivered to the stomach, by-passing the mouth and pharynx.</w:t>
            </w:r>
          </w:p>
        </w:tc>
        <w:tc>
          <w:tcPr>
            <w:tcW w:w="1103" w:type="pct"/>
          </w:tcPr>
          <w:p w14:paraId="23FBE92C" w14:textId="77777777" w:rsidR="007C70C7" w:rsidRPr="00B57B75" w:rsidRDefault="007C70C7" w:rsidP="00B57B75">
            <w:pPr>
              <w:pStyle w:val="BodyText"/>
              <w:spacing w:before="0" w:after="0"/>
              <w:rPr>
                <w:sz w:val="16"/>
                <w:szCs w:val="20"/>
              </w:rPr>
            </w:pPr>
            <w:r w:rsidRPr="00B57B75">
              <w:rPr>
                <w:sz w:val="16"/>
                <w:szCs w:val="20"/>
              </w:rPr>
              <w:t>Fistula bags, adhesives</w:t>
            </w:r>
          </w:p>
        </w:tc>
        <w:tc>
          <w:tcPr>
            <w:tcW w:w="1543" w:type="pct"/>
          </w:tcPr>
          <w:p w14:paraId="122D02F8" w14:textId="727DA0AF" w:rsidR="007C70C7" w:rsidRPr="00B57B75" w:rsidRDefault="007C70C7" w:rsidP="00B57B75">
            <w:pPr>
              <w:pStyle w:val="BodyText"/>
              <w:spacing w:before="0" w:after="0"/>
              <w:rPr>
                <w:sz w:val="16"/>
                <w:szCs w:val="20"/>
              </w:rPr>
            </w:pPr>
            <w:r w:rsidRPr="00B57B75">
              <w:rPr>
                <w:sz w:val="16"/>
                <w:szCs w:val="20"/>
              </w:rPr>
              <w:t>STNs often write extra support letters for those with esophagostomies to access the Scheme</w:t>
            </w:r>
            <w:r w:rsidR="00F934EF">
              <w:rPr>
                <w:sz w:val="16"/>
                <w:szCs w:val="20"/>
              </w:rPr>
              <w:t>;</w:t>
            </w:r>
            <w:r w:rsidR="00515704">
              <w:rPr>
                <w:sz w:val="16"/>
                <w:szCs w:val="20"/>
              </w:rPr>
              <w:t xml:space="preserve"> </w:t>
            </w:r>
            <w:r w:rsidR="00F934EF">
              <w:rPr>
                <w:sz w:val="16"/>
                <w:szCs w:val="20"/>
              </w:rPr>
              <w:t>h</w:t>
            </w:r>
            <w:r w:rsidR="00515704">
              <w:rPr>
                <w:sz w:val="16"/>
                <w:szCs w:val="20"/>
              </w:rPr>
              <w:t xml:space="preserve">owever, </w:t>
            </w:r>
            <w:r w:rsidR="00F934EF">
              <w:rPr>
                <w:sz w:val="16"/>
                <w:szCs w:val="20"/>
              </w:rPr>
              <w:t xml:space="preserve">under the current </w:t>
            </w:r>
            <w:r w:rsidR="006A556A">
              <w:rPr>
                <w:sz w:val="16"/>
                <w:szCs w:val="20"/>
              </w:rPr>
              <w:t>clinical</w:t>
            </w:r>
            <w:r w:rsidR="00BD2067">
              <w:rPr>
                <w:sz w:val="16"/>
                <w:szCs w:val="20"/>
              </w:rPr>
              <w:t xml:space="preserve"> eligibility </w:t>
            </w:r>
            <w:r w:rsidR="00F934EF">
              <w:rPr>
                <w:sz w:val="16"/>
                <w:szCs w:val="20"/>
              </w:rPr>
              <w:t xml:space="preserve">with the </w:t>
            </w:r>
            <w:r w:rsidR="006A556A">
              <w:rPr>
                <w:sz w:val="16"/>
                <w:szCs w:val="20"/>
              </w:rPr>
              <w:lastRenderedPageBreak/>
              <w:t>focus on stomas required for the</w:t>
            </w:r>
            <w:r w:rsidR="00BD2067">
              <w:rPr>
                <w:sz w:val="16"/>
                <w:szCs w:val="20"/>
              </w:rPr>
              <w:t xml:space="preserve"> removal of waste</w:t>
            </w:r>
            <w:r w:rsidR="00754D8F">
              <w:rPr>
                <w:sz w:val="16"/>
                <w:szCs w:val="20"/>
              </w:rPr>
              <w:t xml:space="preserve"> this is not</w:t>
            </w:r>
            <w:r w:rsidR="00CC035E">
              <w:rPr>
                <w:sz w:val="16"/>
                <w:szCs w:val="20"/>
              </w:rPr>
              <w:t xml:space="preserve"> approved</w:t>
            </w:r>
            <w:r w:rsidR="00581F4B">
              <w:rPr>
                <w:sz w:val="16"/>
                <w:szCs w:val="20"/>
              </w:rPr>
              <w:t xml:space="preserve"> and recommended it remains out-of-scope for the Scheme</w:t>
            </w:r>
            <w:r w:rsidR="00754D8F">
              <w:rPr>
                <w:sz w:val="16"/>
                <w:szCs w:val="20"/>
              </w:rPr>
              <w:t xml:space="preserve">. </w:t>
            </w:r>
          </w:p>
        </w:tc>
      </w:tr>
      <w:tr w:rsidR="007C70C7" w:rsidRPr="00B57B75" w14:paraId="2BE9C9EC" w14:textId="77777777" w:rsidTr="004F618C">
        <w:trPr>
          <w:trHeight w:val="950"/>
        </w:trPr>
        <w:tc>
          <w:tcPr>
            <w:tcW w:w="736" w:type="pct"/>
          </w:tcPr>
          <w:p w14:paraId="649EA284" w14:textId="77777777" w:rsidR="007C70C7" w:rsidRPr="00B57B75" w:rsidRDefault="007C70C7" w:rsidP="00B57B75">
            <w:pPr>
              <w:pStyle w:val="BodyText"/>
              <w:spacing w:before="0" w:after="0"/>
              <w:rPr>
                <w:sz w:val="16"/>
                <w:szCs w:val="20"/>
              </w:rPr>
            </w:pPr>
            <w:r w:rsidRPr="00B57B75">
              <w:rPr>
                <w:sz w:val="16"/>
                <w:szCs w:val="20"/>
              </w:rPr>
              <w:lastRenderedPageBreak/>
              <w:t>Vesicostomy</w:t>
            </w:r>
          </w:p>
        </w:tc>
        <w:tc>
          <w:tcPr>
            <w:tcW w:w="1618" w:type="pct"/>
          </w:tcPr>
          <w:p w14:paraId="34CD7FFD" w14:textId="77777777" w:rsidR="007C70C7" w:rsidRPr="00B57B75" w:rsidRDefault="007C70C7" w:rsidP="00B57B75">
            <w:pPr>
              <w:pStyle w:val="BodyText"/>
              <w:spacing w:before="0" w:after="0"/>
              <w:rPr>
                <w:sz w:val="16"/>
                <w:szCs w:val="20"/>
              </w:rPr>
            </w:pPr>
            <w:r w:rsidRPr="00B57B75">
              <w:rPr>
                <w:sz w:val="16"/>
                <w:szCs w:val="20"/>
              </w:rPr>
              <w:t xml:space="preserve">A surgically created connection between the urinary bladder and the skin used to drain urine from the bladder in individuals with obstruction of normal urinary flow. </w:t>
            </w:r>
          </w:p>
        </w:tc>
        <w:tc>
          <w:tcPr>
            <w:tcW w:w="1103" w:type="pct"/>
          </w:tcPr>
          <w:p w14:paraId="4AB3E52D" w14:textId="6A7A45FE" w:rsidR="007C70C7" w:rsidRPr="00B57B75" w:rsidRDefault="007C70C7" w:rsidP="00B57B75">
            <w:pPr>
              <w:pStyle w:val="BodyText"/>
              <w:spacing w:before="0" w:after="0"/>
              <w:rPr>
                <w:sz w:val="16"/>
                <w:szCs w:val="20"/>
              </w:rPr>
            </w:pPr>
            <w:r w:rsidRPr="00B57B75">
              <w:rPr>
                <w:sz w:val="16"/>
                <w:szCs w:val="20"/>
              </w:rPr>
              <w:t>Catheters, skin protective creams and powders</w:t>
            </w:r>
          </w:p>
        </w:tc>
        <w:tc>
          <w:tcPr>
            <w:tcW w:w="1543" w:type="pct"/>
          </w:tcPr>
          <w:p w14:paraId="726BC823" w14:textId="6DCEA561" w:rsidR="007C70C7" w:rsidRPr="00B57B75" w:rsidRDefault="007C70C7" w:rsidP="00B57B75">
            <w:pPr>
              <w:pStyle w:val="BodyText"/>
              <w:spacing w:before="0" w:after="0"/>
              <w:rPr>
                <w:sz w:val="16"/>
                <w:szCs w:val="20"/>
              </w:rPr>
            </w:pPr>
            <w:r w:rsidRPr="00B57B75">
              <w:rPr>
                <w:sz w:val="16"/>
                <w:szCs w:val="20"/>
              </w:rPr>
              <w:t xml:space="preserve">Required to get a support letter from a STN to access the </w:t>
            </w:r>
            <w:r w:rsidR="00C316C3">
              <w:rPr>
                <w:sz w:val="16"/>
                <w:szCs w:val="20"/>
              </w:rPr>
              <w:t>Scheme</w:t>
            </w:r>
            <w:r w:rsidRPr="00B57B75">
              <w:rPr>
                <w:sz w:val="16"/>
                <w:szCs w:val="20"/>
              </w:rPr>
              <w:t xml:space="preserve">. Products for children such as specialised nappies and skin protectants are not accessible through any </w:t>
            </w:r>
            <w:r w:rsidR="00C316C3">
              <w:rPr>
                <w:sz w:val="16"/>
                <w:szCs w:val="20"/>
              </w:rPr>
              <w:t>other programs, including the Scheme</w:t>
            </w:r>
            <w:r w:rsidRPr="00B57B75">
              <w:rPr>
                <w:sz w:val="16"/>
                <w:szCs w:val="20"/>
              </w:rPr>
              <w:t>.</w:t>
            </w:r>
          </w:p>
        </w:tc>
      </w:tr>
      <w:tr w:rsidR="00B57B75" w:rsidRPr="00B57B75" w14:paraId="769E2BC5" w14:textId="77777777" w:rsidTr="004F618C">
        <w:trPr>
          <w:cnfStyle w:val="000000010000" w:firstRow="0" w:lastRow="0" w:firstColumn="0" w:lastColumn="0" w:oddVBand="0" w:evenVBand="0" w:oddHBand="0" w:evenHBand="1" w:firstRowFirstColumn="0" w:firstRowLastColumn="0" w:lastRowFirstColumn="0" w:lastRowLastColumn="0"/>
          <w:trHeight w:val="960"/>
        </w:trPr>
        <w:tc>
          <w:tcPr>
            <w:tcW w:w="736" w:type="pct"/>
          </w:tcPr>
          <w:p w14:paraId="42F42918" w14:textId="77777777" w:rsidR="007C70C7" w:rsidRPr="00B57B75" w:rsidRDefault="007C70C7" w:rsidP="00B57B75">
            <w:pPr>
              <w:pStyle w:val="BodyText"/>
              <w:spacing w:before="0" w:after="0"/>
              <w:rPr>
                <w:sz w:val="16"/>
                <w:szCs w:val="20"/>
              </w:rPr>
            </w:pPr>
            <w:r w:rsidRPr="00B57B75">
              <w:rPr>
                <w:sz w:val="16"/>
                <w:szCs w:val="20"/>
              </w:rPr>
              <w:t>Nephrostomy</w:t>
            </w:r>
          </w:p>
        </w:tc>
        <w:tc>
          <w:tcPr>
            <w:tcW w:w="1618" w:type="pct"/>
          </w:tcPr>
          <w:p w14:paraId="2BD946B3" w14:textId="4215BFA2" w:rsidR="007C70C7" w:rsidRPr="00B57B75" w:rsidRDefault="007C70C7" w:rsidP="00B57B75">
            <w:pPr>
              <w:pStyle w:val="BodyText"/>
              <w:spacing w:before="0" w:after="0"/>
              <w:rPr>
                <w:sz w:val="16"/>
                <w:szCs w:val="20"/>
              </w:rPr>
            </w:pPr>
            <w:r w:rsidRPr="00B57B75">
              <w:rPr>
                <w:sz w:val="16"/>
                <w:szCs w:val="20"/>
              </w:rPr>
              <w:t>A surgically created opening between the kidney and the skin which allows for the urinary diversion directly from the upper part of the urinary system</w:t>
            </w:r>
            <w:r w:rsidR="005E5800">
              <w:rPr>
                <w:sz w:val="16"/>
                <w:szCs w:val="20"/>
              </w:rPr>
              <w:t>.</w:t>
            </w:r>
          </w:p>
        </w:tc>
        <w:tc>
          <w:tcPr>
            <w:tcW w:w="1103" w:type="pct"/>
          </w:tcPr>
          <w:p w14:paraId="497A17B8" w14:textId="77777777" w:rsidR="007C70C7" w:rsidRPr="00B57B75" w:rsidRDefault="007C70C7" w:rsidP="00B57B75">
            <w:pPr>
              <w:pStyle w:val="BodyText"/>
              <w:spacing w:before="0" w:after="0"/>
              <w:rPr>
                <w:sz w:val="16"/>
                <w:szCs w:val="20"/>
              </w:rPr>
            </w:pPr>
            <w:r w:rsidRPr="00B57B75">
              <w:rPr>
                <w:sz w:val="16"/>
                <w:szCs w:val="20"/>
              </w:rPr>
              <w:t>Catheters, bags</w:t>
            </w:r>
          </w:p>
        </w:tc>
        <w:tc>
          <w:tcPr>
            <w:tcW w:w="1543" w:type="pct"/>
          </w:tcPr>
          <w:p w14:paraId="6BECCDC0" w14:textId="6CCA291A" w:rsidR="007C70C7" w:rsidRPr="00B57B75" w:rsidRDefault="00D6008D" w:rsidP="00B57B75">
            <w:pPr>
              <w:pStyle w:val="BodyText"/>
              <w:spacing w:before="0" w:after="0"/>
              <w:rPr>
                <w:sz w:val="16"/>
                <w:szCs w:val="20"/>
              </w:rPr>
            </w:pPr>
            <w:r>
              <w:rPr>
                <w:sz w:val="16"/>
                <w:szCs w:val="20"/>
              </w:rPr>
              <w:t>Stakeholder feedback from STNs was that this is c</w:t>
            </w:r>
            <w:r w:rsidR="007C70C7" w:rsidRPr="00B57B75">
              <w:rPr>
                <w:sz w:val="16"/>
                <w:szCs w:val="20"/>
              </w:rPr>
              <w:t xml:space="preserve">urrently not eligible for the </w:t>
            </w:r>
            <w:r w:rsidR="00C316C3">
              <w:rPr>
                <w:sz w:val="16"/>
                <w:szCs w:val="20"/>
              </w:rPr>
              <w:t>Scheme</w:t>
            </w:r>
            <w:r>
              <w:rPr>
                <w:sz w:val="16"/>
                <w:szCs w:val="20"/>
              </w:rPr>
              <w:t xml:space="preserve"> (although should be based on current clinical eligibility)</w:t>
            </w:r>
            <w:r w:rsidR="007C70C7" w:rsidRPr="00B57B75">
              <w:rPr>
                <w:sz w:val="16"/>
                <w:szCs w:val="20"/>
              </w:rPr>
              <w:t xml:space="preserve">. Appliances required for management are available on the </w:t>
            </w:r>
            <w:r w:rsidR="00C316C3">
              <w:rPr>
                <w:sz w:val="16"/>
                <w:szCs w:val="20"/>
              </w:rPr>
              <w:t>Scheme</w:t>
            </w:r>
            <w:r w:rsidR="007C70C7" w:rsidRPr="00B57B75">
              <w:rPr>
                <w:sz w:val="16"/>
                <w:szCs w:val="20"/>
              </w:rPr>
              <w:t>.</w:t>
            </w:r>
          </w:p>
        </w:tc>
      </w:tr>
    </w:tbl>
    <w:p w14:paraId="42331A63" w14:textId="22868422" w:rsidR="007C70C7" w:rsidRPr="00E8286B" w:rsidRDefault="007C70C7" w:rsidP="006261FB">
      <w:pPr>
        <w:pStyle w:val="Heading3"/>
      </w:pPr>
      <w:r w:rsidRPr="00E8286B">
        <w:t>Potential inconsistencies in the application of current criteria</w:t>
      </w:r>
    </w:p>
    <w:p w14:paraId="3D882C38" w14:textId="2297AA5B" w:rsidR="007C70C7" w:rsidRDefault="007C70C7" w:rsidP="002B285C">
      <w:pPr>
        <w:pStyle w:val="BodyText"/>
      </w:pPr>
      <w:r w:rsidRPr="00E916A8">
        <w:t xml:space="preserve">The understanding and interpretation of the </w:t>
      </w:r>
      <w:r w:rsidR="00C316C3">
        <w:t>Scheme</w:t>
      </w:r>
      <w:r w:rsidRPr="00E916A8">
        <w:t xml:space="preserve"> eligibility criteria was varied amongst </w:t>
      </w:r>
      <w:r>
        <w:t>stakeholders</w:t>
      </w:r>
      <w:r w:rsidRPr="00E916A8">
        <w:t>. In some focus groups, STN’s discussed differences in interpretation and therefore application of the eligibility criteria. There were several instances of STN’s noting that the reference to ‘</w:t>
      </w:r>
      <w:r w:rsidR="002C631E">
        <w:t>GI</w:t>
      </w:r>
      <w:r w:rsidRPr="00E916A8">
        <w:t xml:space="preserve"> tract’ in the eligibility criteria meant that they guided patients with many different stomas or conditions to access the </w:t>
      </w:r>
      <w:r w:rsidR="00C316C3">
        <w:t>S</w:t>
      </w:r>
      <w:r w:rsidRPr="00E916A8">
        <w:t xml:space="preserve">cheme. </w:t>
      </w:r>
      <w:r>
        <w:t xml:space="preserve">Consultation with associations highlighted variation in application of the criteria, for example a </w:t>
      </w:r>
      <w:r w:rsidRPr="00824549">
        <w:t xml:space="preserve">clinical team </w:t>
      </w:r>
      <w:r>
        <w:t>listing a</w:t>
      </w:r>
      <w:r w:rsidRPr="00824549">
        <w:t xml:space="preserve"> fistula as a colostomy so a PB</w:t>
      </w:r>
      <w:r w:rsidR="00C204F4">
        <w:t>0</w:t>
      </w:r>
      <w:r w:rsidR="0085060D">
        <w:t>49</w:t>
      </w:r>
      <w:r w:rsidRPr="00824549">
        <w:t xml:space="preserve"> is not </w:t>
      </w:r>
      <w:r>
        <w:t xml:space="preserve">required to be completed every six months. Another example of variation in access to the </w:t>
      </w:r>
      <w:r w:rsidR="00C316C3">
        <w:t>Scheme</w:t>
      </w:r>
      <w:r>
        <w:t xml:space="preserve"> was discussed with associations whereby some allow ostomates who have undergone stoma reversal surgeries continue to access irrigation equipment through the Scheme. The prevalence of this is hard to determine </w:t>
      </w:r>
      <w:r w:rsidR="00C316C3">
        <w:t>through the data alone</w:t>
      </w:r>
      <w:r>
        <w:t>.</w:t>
      </w:r>
    </w:p>
    <w:p w14:paraId="2C153B88" w14:textId="7E102014" w:rsidR="007C70C7" w:rsidRDefault="007C70C7" w:rsidP="002B285C">
      <w:pPr>
        <w:pStyle w:val="BodyText"/>
      </w:pPr>
      <w:r w:rsidRPr="00E916A8">
        <w:t xml:space="preserve">Additionally, not all STN’s were aware of updates to the eligibility criteria, notably the inclusion of biliary stomas. Whilst this likely only affects a small number of individuals, it highlights that all eligible ostomates may not be accessing the </w:t>
      </w:r>
      <w:r w:rsidR="00C316C3">
        <w:t>S</w:t>
      </w:r>
      <w:r w:rsidRPr="00E916A8">
        <w:t>cheme due to differences in the way STN’s apply and understand the eligibility criteria.</w:t>
      </w:r>
    </w:p>
    <w:p w14:paraId="4599AC6B" w14:textId="56ECF055" w:rsidR="007C70C7" w:rsidRDefault="007C70C7" w:rsidP="002B285C">
      <w:pPr>
        <w:pStyle w:val="BodyText"/>
      </w:pPr>
      <w:r>
        <w:t>The e</w:t>
      </w:r>
      <w:r w:rsidRPr="00B2600D">
        <w:t xml:space="preserve">ligibility criteria wording </w:t>
      </w:r>
      <w:r>
        <w:t>which refers to</w:t>
      </w:r>
      <w:r w:rsidRPr="00B2600D">
        <w:t xml:space="preserve"> “artificial body opening”</w:t>
      </w:r>
      <w:r>
        <w:t xml:space="preserve"> restricts all </w:t>
      </w:r>
      <w:r w:rsidRPr="00B2600D">
        <w:t xml:space="preserve">people with </w:t>
      </w:r>
      <w:r w:rsidR="002C631E">
        <w:t>GI</w:t>
      </w:r>
      <w:r>
        <w:t xml:space="preserve"> tract dysfunction from accessing the scheme. Those with malformation (ARM) or IA, MACE/</w:t>
      </w:r>
      <w:r w:rsidRPr="006D1532">
        <w:t xml:space="preserve"> </w:t>
      </w:r>
      <w:r>
        <w:t xml:space="preserve">ACE, and fistulas do not have stomas, but rather </w:t>
      </w:r>
      <w:r w:rsidR="002C631E">
        <w:t>GI</w:t>
      </w:r>
      <w:r w:rsidRPr="00B2600D">
        <w:t xml:space="preserve"> tract</w:t>
      </w:r>
      <w:r>
        <w:t xml:space="preserve"> dysfunction which permits their access to the </w:t>
      </w:r>
      <w:r w:rsidR="00C316C3">
        <w:t>S</w:t>
      </w:r>
      <w:r>
        <w:t xml:space="preserve">cheme. However, other conditions involving a dysfunction of the </w:t>
      </w:r>
      <w:r w:rsidR="002C631E">
        <w:t>GI</w:t>
      </w:r>
      <w:r>
        <w:t xml:space="preserve"> tract </w:t>
      </w:r>
      <w:r w:rsidR="00182E08">
        <w:t xml:space="preserve">however do not involve the creation of a stoma for waste removal – </w:t>
      </w:r>
      <w:r>
        <w:t xml:space="preserve">such as Hirschsprung’s disease, </w:t>
      </w:r>
      <w:r w:rsidR="00065608">
        <w:t>MS</w:t>
      </w:r>
      <w:r>
        <w:t xml:space="preserve">, or </w:t>
      </w:r>
      <w:r w:rsidRPr="00402355">
        <w:t>LARS</w:t>
      </w:r>
      <w:r>
        <w:t xml:space="preserve"> </w:t>
      </w:r>
      <w:r w:rsidR="004D23CB">
        <w:t>–</w:t>
      </w:r>
      <w:r w:rsidR="00182E08">
        <w:t xml:space="preserve"> are </w:t>
      </w:r>
      <w:r>
        <w:t xml:space="preserve">not currently eligible for the </w:t>
      </w:r>
      <w:r w:rsidR="00C316C3">
        <w:t>S</w:t>
      </w:r>
      <w:r>
        <w:t xml:space="preserve">cheme. </w:t>
      </w:r>
      <w:r w:rsidR="00B74612">
        <w:t xml:space="preserve">It was suggested by </w:t>
      </w:r>
      <w:r w:rsidR="00A95127">
        <w:t>a product supplier</w:t>
      </w:r>
      <w:r w:rsidR="00B74612">
        <w:t xml:space="preserve"> stakeholder</w:t>
      </w:r>
      <w:r w:rsidR="0045426F">
        <w:t xml:space="preserve"> that</w:t>
      </w:r>
      <w:r>
        <w:t xml:space="preserve"> modifying the criteria to include </w:t>
      </w:r>
      <w:r w:rsidR="002C631E">
        <w:t>GI</w:t>
      </w:r>
      <w:r>
        <w:t xml:space="preserve"> tract dysfunction would be of benefit to these groups and allow application of eligibility to cover all individuals with </w:t>
      </w:r>
      <w:r w:rsidR="002C631E">
        <w:t>GI</w:t>
      </w:r>
      <w:r>
        <w:t xml:space="preserve"> tract dysfunction</w:t>
      </w:r>
      <w:r w:rsidR="0045426F">
        <w:t>; however, this view was not held by a wide range of stakeholders</w:t>
      </w:r>
      <w:r>
        <w:t>.</w:t>
      </w:r>
    </w:p>
    <w:p w14:paraId="337860CF" w14:textId="4402A70C" w:rsidR="007C70C7" w:rsidRDefault="007C70C7" w:rsidP="002B285C">
      <w:pPr>
        <w:pStyle w:val="BodyText"/>
      </w:pPr>
      <w:r>
        <w:t xml:space="preserve">To overcome varied application of eligibility criteria and nuances in the wording of the criteria, some stakeholders suggested that a set list of stoma types and conditions that make an individual eligible for the </w:t>
      </w:r>
      <w:r w:rsidR="00C316C3">
        <w:t>Scheme</w:t>
      </w:r>
      <w:r>
        <w:t xml:space="preserve"> be published. If a list like this were to be published alongside </w:t>
      </w:r>
      <w:r>
        <w:lastRenderedPageBreak/>
        <w:t xml:space="preserve">the current </w:t>
      </w:r>
      <w:r w:rsidR="00C316C3">
        <w:t xml:space="preserve">eligibility </w:t>
      </w:r>
      <w:r>
        <w:t xml:space="preserve">criteria, inconsistencies in </w:t>
      </w:r>
      <w:r w:rsidR="00C316C3">
        <w:t>its</w:t>
      </w:r>
      <w:r>
        <w:t xml:space="preserve"> application would be reduced and the accessibility </w:t>
      </w:r>
      <w:r w:rsidR="00C316C3">
        <w:t>and</w:t>
      </w:r>
      <w:r>
        <w:t xml:space="preserve"> understanding </w:t>
      </w:r>
      <w:r w:rsidR="00C316C3">
        <w:t xml:space="preserve">of </w:t>
      </w:r>
      <w:r>
        <w:t xml:space="preserve">the </w:t>
      </w:r>
      <w:r w:rsidR="00C316C3">
        <w:t>Scheme</w:t>
      </w:r>
      <w:r>
        <w:t xml:space="preserve"> criteria would be improved. This view was also shared by associations, who often receive paperwork from individuals wanting to access the Scheme’s products but do not always feel confident in questioning the eligibility of th</w:t>
      </w:r>
      <w:r w:rsidR="00C316C3">
        <w:t>e</w:t>
      </w:r>
      <w:r>
        <w:t xml:space="preserve"> applicant because they do not have the clinical background to make decisions.</w:t>
      </w:r>
    </w:p>
    <w:p w14:paraId="12B83207" w14:textId="09D46E69" w:rsidR="00D8617F" w:rsidRPr="007C0E38" w:rsidRDefault="00D8617F" w:rsidP="006261FB">
      <w:pPr>
        <w:pStyle w:val="Heading3"/>
      </w:pPr>
      <w:r w:rsidRPr="007C0E38">
        <w:t xml:space="preserve">Stomas not included in the </w:t>
      </w:r>
      <w:proofErr w:type="gramStart"/>
      <w:r w:rsidR="00822862">
        <w:t>S</w:t>
      </w:r>
      <w:r w:rsidRPr="007C0E38">
        <w:t>cheme</w:t>
      </w:r>
      <w:proofErr w:type="gramEnd"/>
    </w:p>
    <w:p w14:paraId="3F63F42C" w14:textId="4BAB94AE" w:rsidR="00D8617F" w:rsidRPr="002B285C" w:rsidRDefault="00D8617F" w:rsidP="002B285C">
      <w:pPr>
        <w:pStyle w:val="BodyText"/>
      </w:pPr>
      <w:r>
        <w:t xml:space="preserve">Stoma types that are not in scope of the </w:t>
      </w:r>
      <w:r w:rsidR="00C316C3">
        <w:t>Scheme</w:t>
      </w:r>
      <w:r>
        <w:t xml:space="preserve"> have been </w:t>
      </w:r>
      <w:r w:rsidRPr="002B285C">
        <w:t xml:space="preserve">identified by the evidence review and consultations with </w:t>
      </w:r>
      <w:proofErr w:type="spellStart"/>
      <w:r w:rsidRPr="002B285C">
        <w:t>HealthConsult’s</w:t>
      </w:r>
      <w:proofErr w:type="spellEnd"/>
      <w:r w:rsidRPr="002B285C">
        <w:t xml:space="preserve"> Expert Advisory Group (Professor Richard Rood (Inflammatory Bowel Disease Gastroenterologist in Missouri), Professor Omar Faiz (Colorectal Surgeon, UK) and Laurent Chabal (Specialised Stoma Nurse, Switzerland)</w:t>
      </w:r>
      <w:r w:rsidR="00B252B5">
        <w:t>)</w:t>
      </w:r>
      <w:r w:rsidRPr="002B285C">
        <w:t>.</w:t>
      </w:r>
    </w:p>
    <w:p w14:paraId="700D07F2" w14:textId="2A0AC9FF" w:rsidR="00D8617F" w:rsidRPr="002B285C" w:rsidRDefault="00C316C3" w:rsidP="002B285C">
      <w:pPr>
        <w:pStyle w:val="BodyText"/>
      </w:pPr>
      <w:r w:rsidRPr="002B285C">
        <w:fldChar w:fldCharType="begin"/>
      </w:r>
      <w:r w:rsidRPr="002B285C">
        <w:instrText xml:space="preserve"> REF _Ref157092682 \h </w:instrText>
      </w:r>
      <w:r w:rsidR="002B285C">
        <w:instrText xml:space="preserve"> \* MERGEFORMAT </w:instrText>
      </w:r>
      <w:r w:rsidRPr="002B285C">
        <w:fldChar w:fldCharType="separate"/>
      </w:r>
      <w:r w:rsidR="00FE1418">
        <w:t>Table 5</w:t>
      </w:r>
      <w:r w:rsidRPr="002B285C">
        <w:fldChar w:fldCharType="end"/>
      </w:r>
      <w:r w:rsidRPr="002B285C">
        <w:t xml:space="preserve"> </w:t>
      </w:r>
      <w:r w:rsidR="00D8617F" w:rsidRPr="002B285C">
        <w:t xml:space="preserve">describes stoma types and/or situations not currently in scope of the Scheme where patients may </w:t>
      </w:r>
      <w:r w:rsidR="00666DEE">
        <w:t>need</w:t>
      </w:r>
      <w:r w:rsidR="00D8617F" w:rsidRPr="002B285C">
        <w:t xml:space="preserve"> equipment/appliances to support them living in the community (e.g. catheters, dressings, or pouching systems). There was agreement across stakeholders that the stoma types identified in </w:t>
      </w:r>
      <w:r w:rsidR="00D44B9F" w:rsidRPr="002B285C">
        <w:fldChar w:fldCharType="begin"/>
      </w:r>
      <w:r w:rsidR="00D44B9F" w:rsidRPr="002B285C">
        <w:instrText xml:space="preserve"> REF _Ref157092682 \h </w:instrText>
      </w:r>
      <w:r w:rsidR="002B285C">
        <w:instrText xml:space="preserve"> \* MERGEFORMAT </w:instrText>
      </w:r>
      <w:r w:rsidR="00D44B9F" w:rsidRPr="002B285C">
        <w:fldChar w:fldCharType="separate"/>
      </w:r>
      <w:r w:rsidR="00FE1418">
        <w:t>Table 5</w:t>
      </w:r>
      <w:r w:rsidR="00D44B9F" w:rsidRPr="002B285C">
        <w:fldChar w:fldCharType="end"/>
      </w:r>
      <w:r w:rsidR="00D44B9F" w:rsidRPr="002B285C">
        <w:t xml:space="preserve"> </w:t>
      </w:r>
      <w:r w:rsidR="00D8617F" w:rsidRPr="002B285C">
        <w:t>were not appropriate for eligibilit</w:t>
      </w:r>
      <w:r w:rsidR="00D44B9F" w:rsidRPr="002B285C">
        <w:t xml:space="preserve">y. </w:t>
      </w:r>
      <w:r w:rsidR="00D8617F" w:rsidRPr="002B285C">
        <w:t>Other stoma types identified – such as Dacryocystorhinostomy, Middle Ear Ventilation and Sclerostomy – were considered out of scope for consideration of inclusion on the Scheme given their temporary or post-surgery only requirements (equipment/appliances only required up to 48 hours post-surgery).</w:t>
      </w:r>
    </w:p>
    <w:p w14:paraId="4C6A3C6E" w14:textId="73977480" w:rsidR="00D44B9F" w:rsidRDefault="00D44B9F" w:rsidP="00D44B9F">
      <w:pPr>
        <w:pStyle w:val="Caption"/>
      </w:pPr>
      <w:bookmarkStart w:id="33" w:name="_Ref157092682"/>
      <w:bookmarkStart w:id="34" w:name="_Toc161743108"/>
      <w:r>
        <w:t xml:space="preserve">Table </w:t>
      </w:r>
      <w:r>
        <w:fldChar w:fldCharType="begin"/>
      </w:r>
      <w:r>
        <w:instrText xml:space="preserve"> SEQ Table \* ARABIC </w:instrText>
      </w:r>
      <w:r>
        <w:fldChar w:fldCharType="separate"/>
      </w:r>
      <w:r w:rsidR="00FE1418">
        <w:rPr>
          <w:noProof/>
        </w:rPr>
        <w:t>5</w:t>
      </w:r>
      <w:r>
        <w:rPr>
          <w:noProof/>
        </w:rPr>
        <w:fldChar w:fldCharType="end"/>
      </w:r>
      <w:bookmarkEnd w:id="33"/>
      <w:r>
        <w:t xml:space="preserve">: </w:t>
      </w:r>
      <w:r w:rsidRPr="009072F9">
        <w:t xml:space="preserve">Stoma types not currently in scope </w:t>
      </w:r>
      <w:r w:rsidR="00C316C3">
        <w:t>for</w:t>
      </w:r>
      <w:r w:rsidRPr="009072F9">
        <w:t xml:space="preserve"> </w:t>
      </w:r>
      <w:r w:rsidR="00C316C3">
        <w:t>the Scheme</w:t>
      </w:r>
      <w:bookmarkEnd w:id="34"/>
    </w:p>
    <w:tbl>
      <w:tblPr>
        <w:tblStyle w:val="TableHealthConsultPurple"/>
        <w:tblW w:w="5000" w:type="pct"/>
        <w:tblLayout w:type="fixed"/>
        <w:tblLook w:val="0420" w:firstRow="1" w:lastRow="0" w:firstColumn="0" w:lastColumn="0" w:noHBand="0" w:noVBand="1"/>
      </w:tblPr>
      <w:tblGrid>
        <w:gridCol w:w="1559"/>
        <w:gridCol w:w="3543"/>
        <w:gridCol w:w="1845"/>
        <w:gridCol w:w="2691"/>
      </w:tblGrid>
      <w:tr w:rsidR="00B57B75" w:rsidRPr="00B57B75" w14:paraId="0BBF20A6" w14:textId="77777777" w:rsidTr="004F618C">
        <w:trPr>
          <w:cnfStyle w:val="100000000000" w:firstRow="1" w:lastRow="0" w:firstColumn="0" w:lastColumn="0" w:oddVBand="0" w:evenVBand="0" w:oddHBand="0" w:evenHBand="0" w:firstRowFirstColumn="0" w:firstRowLastColumn="0" w:lastRowFirstColumn="0" w:lastRowLastColumn="0"/>
        </w:trPr>
        <w:tc>
          <w:tcPr>
            <w:tcW w:w="809" w:type="pct"/>
          </w:tcPr>
          <w:p w14:paraId="3EF6B93D" w14:textId="77777777" w:rsidR="00D8617F" w:rsidRPr="00B57B75" w:rsidRDefault="00D8617F" w:rsidP="00B57B75">
            <w:pPr>
              <w:pStyle w:val="BodyText"/>
              <w:spacing w:before="0" w:after="0"/>
              <w:rPr>
                <w:sz w:val="16"/>
                <w:szCs w:val="20"/>
              </w:rPr>
            </w:pPr>
            <w:r w:rsidRPr="00B57B75">
              <w:rPr>
                <w:sz w:val="16"/>
                <w:szCs w:val="20"/>
              </w:rPr>
              <w:t>Type</w:t>
            </w:r>
          </w:p>
        </w:tc>
        <w:tc>
          <w:tcPr>
            <w:tcW w:w="1838" w:type="pct"/>
          </w:tcPr>
          <w:p w14:paraId="1A2D2969" w14:textId="77777777" w:rsidR="00D8617F" w:rsidRPr="00B57B75" w:rsidRDefault="00D8617F" w:rsidP="00B57B75">
            <w:pPr>
              <w:pStyle w:val="BodyText"/>
              <w:spacing w:before="0" w:after="0"/>
              <w:rPr>
                <w:sz w:val="16"/>
                <w:szCs w:val="20"/>
              </w:rPr>
            </w:pPr>
            <w:r w:rsidRPr="00B57B75">
              <w:rPr>
                <w:sz w:val="16"/>
                <w:szCs w:val="20"/>
              </w:rPr>
              <w:t>Description</w:t>
            </w:r>
          </w:p>
        </w:tc>
        <w:tc>
          <w:tcPr>
            <w:tcW w:w="957" w:type="pct"/>
          </w:tcPr>
          <w:p w14:paraId="519A693A" w14:textId="77777777" w:rsidR="00D8617F" w:rsidRPr="00B57B75" w:rsidRDefault="00D8617F" w:rsidP="00B57B75">
            <w:pPr>
              <w:pStyle w:val="BodyText"/>
              <w:spacing w:before="0" w:after="0"/>
              <w:rPr>
                <w:sz w:val="16"/>
                <w:szCs w:val="20"/>
              </w:rPr>
            </w:pPr>
            <w:r w:rsidRPr="00B57B75">
              <w:rPr>
                <w:sz w:val="16"/>
                <w:szCs w:val="20"/>
              </w:rPr>
              <w:t>Current numbers</w:t>
            </w:r>
          </w:p>
        </w:tc>
        <w:tc>
          <w:tcPr>
            <w:tcW w:w="1396" w:type="pct"/>
          </w:tcPr>
          <w:p w14:paraId="2BC3A5DF" w14:textId="77777777" w:rsidR="00D8617F" w:rsidRPr="00B57B75" w:rsidRDefault="00D8617F" w:rsidP="00B57B75">
            <w:pPr>
              <w:pStyle w:val="BodyText"/>
              <w:spacing w:before="0" w:after="0"/>
              <w:rPr>
                <w:sz w:val="16"/>
                <w:szCs w:val="20"/>
              </w:rPr>
            </w:pPr>
            <w:r w:rsidRPr="00B57B75">
              <w:rPr>
                <w:sz w:val="16"/>
                <w:szCs w:val="20"/>
              </w:rPr>
              <w:t>Current supports available</w:t>
            </w:r>
          </w:p>
        </w:tc>
      </w:tr>
      <w:tr w:rsidR="001F5461" w:rsidRPr="00B57B75" w14:paraId="140CF14E" w14:textId="77777777" w:rsidTr="004F618C">
        <w:tc>
          <w:tcPr>
            <w:tcW w:w="809" w:type="pct"/>
          </w:tcPr>
          <w:p w14:paraId="3E544278" w14:textId="77777777" w:rsidR="00D8617F" w:rsidRPr="00B57B75" w:rsidRDefault="00D8617F" w:rsidP="00B57B75">
            <w:pPr>
              <w:pStyle w:val="BodyText"/>
              <w:spacing w:before="0" w:after="0"/>
              <w:rPr>
                <w:b/>
                <w:sz w:val="16"/>
                <w:szCs w:val="20"/>
              </w:rPr>
            </w:pPr>
            <w:r w:rsidRPr="00B57B75">
              <w:rPr>
                <w:sz w:val="16"/>
                <w:szCs w:val="20"/>
              </w:rPr>
              <w:t>Tracheostomy</w:t>
            </w:r>
          </w:p>
        </w:tc>
        <w:tc>
          <w:tcPr>
            <w:tcW w:w="1838" w:type="pct"/>
          </w:tcPr>
          <w:p w14:paraId="4186B7FB" w14:textId="3DFFD197" w:rsidR="00D8617F" w:rsidRPr="002B285C" w:rsidRDefault="00D8617F" w:rsidP="00B57B75">
            <w:pPr>
              <w:pStyle w:val="BodyText"/>
              <w:spacing w:before="0" w:after="0"/>
              <w:rPr>
                <w:sz w:val="16"/>
                <w:szCs w:val="20"/>
              </w:rPr>
            </w:pPr>
            <w:r w:rsidRPr="002B285C">
              <w:rPr>
                <w:sz w:val="16"/>
                <w:szCs w:val="20"/>
              </w:rPr>
              <w:t>A hole that surgeons make through the front of the neck and into the windpipe (</w:t>
            </w:r>
            <w:r w:rsidR="002D38E0">
              <w:rPr>
                <w:sz w:val="16"/>
                <w:szCs w:val="20"/>
              </w:rPr>
              <w:t>trachea).</w:t>
            </w:r>
          </w:p>
        </w:tc>
        <w:tc>
          <w:tcPr>
            <w:tcW w:w="957" w:type="pct"/>
          </w:tcPr>
          <w:p w14:paraId="684CEF79" w14:textId="74E2B307" w:rsidR="00D8617F" w:rsidRPr="002B285C" w:rsidRDefault="00D8617F" w:rsidP="00B57B75">
            <w:pPr>
              <w:pStyle w:val="BodyText"/>
              <w:spacing w:before="0" w:after="0"/>
              <w:rPr>
                <w:sz w:val="16"/>
                <w:szCs w:val="20"/>
              </w:rPr>
            </w:pPr>
            <w:r w:rsidRPr="002B285C">
              <w:rPr>
                <w:sz w:val="16"/>
                <w:szCs w:val="20"/>
              </w:rPr>
              <w:t xml:space="preserve">Approximately 7000 </w:t>
            </w:r>
            <w:r w:rsidR="00C316C3" w:rsidRPr="002B285C">
              <w:rPr>
                <w:sz w:val="16"/>
                <w:szCs w:val="20"/>
              </w:rPr>
              <w:t xml:space="preserve">conducted </w:t>
            </w:r>
            <w:r w:rsidRPr="002B285C">
              <w:rPr>
                <w:sz w:val="16"/>
                <w:szCs w:val="20"/>
              </w:rPr>
              <w:t>annually in Australia and NZ</w:t>
            </w:r>
            <w:r w:rsidRPr="000246FB">
              <w:rPr>
                <w:rStyle w:val="FootnoteReference"/>
                <w:b w:val="0"/>
                <w:bCs/>
                <w:color w:val="auto"/>
                <w:sz w:val="16"/>
                <w:szCs w:val="20"/>
              </w:rPr>
              <w:footnoteReference w:id="10"/>
            </w:r>
          </w:p>
        </w:tc>
        <w:tc>
          <w:tcPr>
            <w:tcW w:w="1396" w:type="pct"/>
          </w:tcPr>
          <w:p w14:paraId="6A8BE63F" w14:textId="3BB60ADF" w:rsidR="00D8617F" w:rsidRPr="002B285C" w:rsidRDefault="00D8617F" w:rsidP="00B57B75">
            <w:pPr>
              <w:pStyle w:val="BodyText"/>
              <w:spacing w:before="0" w:after="0"/>
              <w:rPr>
                <w:sz w:val="16"/>
                <w:szCs w:val="20"/>
              </w:rPr>
            </w:pPr>
            <w:r w:rsidRPr="002B285C">
              <w:rPr>
                <w:sz w:val="16"/>
                <w:szCs w:val="20"/>
              </w:rPr>
              <w:t>State</w:t>
            </w:r>
            <w:r w:rsidR="006A0BD8">
              <w:rPr>
                <w:sz w:val="16"/>
                <w:szCs w:val="20"/>
              </w:rPr>
              <w:t>-</w:t>
            </w:r>
            <w:r w:rsidRPr="002B285C">
              <w:rPr>
                <w:sz w:val="16"/>
                <w:szCs w:val="20"/>
              </w:rPr>
              <w:t>based schemes</w:t>
            </w:r>
            <w:r w:rsidR="00764640">
              <w:rPr>
                <w:sz w:val="16"/>
                <w:szCs w:val="20"/>
              </w:rPr>
              <w:t>.</w:t>
            </w:r>
          </w:p>
        </w:tc>
      </w:tr>
      <w:tr w:rsidR="00B57B75" w:rsidRPr="00B57B75" w14:paraId="27DAEA84" w14:textId="77777777" w:rsidTr="004F618C">
        <w:trPr>
          <w:cnfStyle w:val="000000010000" w:firstRow="0" w:lastRow="0" w:firstColumn="0" w:lastColumn="0" w:oddVBand="0" w:evenVBand="0" w:oddHBand="0" w:evenHBand="1" w:firstRowFirstColumn="0" w:firstRowLastColumn="0" w:lastRowFirstColumn="0" w:lastRowLastColumn="0"/>
        </w:trPr>
        <w:tc>
          <w:tcPr>
            <w:tcW w:w="809" w:type="pct"/>
          </w:tcPr>
          <w:p w14:paraId="4F91FED3" w14:textId="77777777" w:rsidR="00D8617F" w:rsidRPr="00B57B75" w:rsidRDefault="00D8617F" w:rsidP="00B57B75">
            <w:pPr>
              <w:pStyle w:val="BodyText"/>
              <w:spacing w:before="0" w:after="0"/>
              <w:rPr>
                <w:b/>
                <w:sz w:val="16"/>
                <w:szCs w:val="20"/>
              </w:rPr>
            </w:pPr>
            <w:r w:rsidRPr="00B57B75">
              <w:rPr>
                <w:sz w:val="16"/>
                <w:szCs w:val="20"/>
              </w:rPr>
              <w:t>Gastrostomy</w:t>
            </w:r>
          </w:p>
        </w:tc>
        <w:tc>
          <w:tcPr>
            <w:tcW w:w="1838" w:type="pct"/>
          </w:tcPr>
          <w:p w14:paraId="2EE9B50D" w14:textId="77777777" w:rsidR="00D8617F" w:rsidRPr="002B285C" w:rsidRDefault="00D8617F" w:rsidP="00B57B75">
            <w:pPr>
              <w:pStyle w:val="BodyText"/>
              <w:spacing w:before="0" w:after="0"/>
              <w:rPr>
                <w:sz w:val="16"/>
                <w:szCs w:val="20"/>
              </w:rPr>
            </w:pPr>
            <w:r w:rsidRPr="002B285C">
              <w:rPr>
                <w:sz w:val="16"/>
                <w:szCs w:val="20"/>
              </w:rPr>
              <w:t xml:space="preserve">An opening into the stomach from the abdominal wall, made surgically for the introduction of food and/or medication, or the release of gastric pressure. </w:t>
            </w:r>
          </w:p>
        </w:tc>
        <w:tc>
          <w:tcPr>
            <w:tcW w:w="957" w:type="pct"/>
          </w:tcPr>
          <w:p w14:paraId="56D389BD" w14:textId="09451594" w:rsidR="00D8617F" w:rsidRPr="002B285C" w:rsidRDefault="00527AFF" w:rsidP="00B57B75">
            <w:pPr>
              <w:pStyle w:val="BodyText"/>
              <w:spacing w:before="0" w:after="0"/>
              <w:rPr>
                <w:sz w:val="16"/>
                <w:szCs w:val="20"/>
              </w:rPr>
            </w:pPr>
            <w:r w:rsidRPr="00EC6A7F">
              <w:rPr>
                <w:rFonts w:cstheme="minorHAnsi"/>
                <w:sz w:val="16"/>
                <w:szCs w:val="16"/>
              </w:rPr>
              <w:t>Information not available.</w:t>
            </w:r>
          </w:p>
        </w:tc>
        <w:tc>
          <w:tcPr>
            <w:tcW w:w="1396" w:type="pct"/>
          </w:tcPr>
          <w:p w14:paraId="0C580595" w14:textId="4314C8BE" w:rsidR="00D8617F" w:rsidRPr="002B285C" w:rsidRDefault="00D8617F" w:rsidP="00B57B75">
            <w:pPr>
              <w:pStyle w:val="BodyText"/>
              <w:spacing w:before="0" w:after="0"/>
              <w:rPr>
                <w:sz w:val="16"/>
                <w:szCs w:val="20"/>
              </w:rPr>
            </w:pPr>
            <w:r w:rsidRPr="002B285C">
              <w:rPr>
                <w:sz w:val="16"/>
                <w:szCs w:val="20"/>
              </w:rPr>
              <w:t>Patients have equipment needs that are usually met by the N</w:t>
            </w:r>
            <w:r w:rsidR="00EF36DF">
              <w:rPr>
                <w:sz w:val="16"/>
                <w:szCs w:val="20"/>
              </w:rPr>
              <w:t>ational Disability Insurance Scheme (NDIS)</w:t>
            </w:r>
            <w:r w:rsidRPr="000246FB">
              <w:rPr>
                <w:rStyle w:val="FootnoteReference"/>
                <w:b w:val="0"/>
                <w:bCs/>
                <w:color w:val="auto"/>
                <w:sz w:val="16"/>
                <w:szCs w:val="20"/>
              </w:rPr>
              <w:footnoteReference w:id="11"/>
            </w:r>
            <w:r w:rsidRPr="000246FB">
              <w:rPr>
                <w:sz w:val="16"/>
                <w:szCs w:val="20"/>
              </w:rPr>
              <w:t>,</w:t>
            </w:r>
            <w:r w:rsidRPr="002B285C">
              <w:rPr>
                <w:sz w:val="16"/>
                <w:szCs w:val="20"/>
              </w:rPr>
              <w:t xml:space="preserve"> and in some cases statewide schemes</w:t>
            </w:r>
            <w:r w:rsidRPr="000246FB">
              <w:rPr>
                <w:rStyle w:val="FootnoteReference"/>
                <w:b w:val="0"/>
                <w:bCs/>
                <w:color w:val="auto"/>
                <w:sz w:val="16"/>
                <w:szCs w:val="20"/>
              </w:rPr>
              <w:footnoteReference w:id="12"/>
            </w:r>
            <w:r w:rsidRPr="002B285C">
              <w:rPr>
                <w:sz w:val="16"/>
                <w:szCs w:val="20"/>
              </w:rPr>
              <w:t>. Equipment not funded under any scheme includes Mic-key buttons and FARREL valves</w:t>
            </w:r>
            <w:r w:rsidR="00C316C3" w:rsidRPr="002B285C">
              <w:rPr>
                <w:sz w:val="16"/>
                <w:szCs w:val="20"/>
              </w:rPr>
              <w:t>, resulting in out</w:t>
            </w:r>
            <w:r w:rsidR="003A664D">
              <w:rPr>
                <w:sz w:val="16"/>
                <w:szCs w:val="20"/>
              </w:rPr>
              <w:t>-</w:t>
            </w:r>
            <w:r w:rsidR="00C316C3" w:rsidRPr="002B285C">
              <w:rPr>
                <w:sz w:val="16"/>
                <w:szCs w:val="20"/>
              </w:rPr>
              <w:t>of</w:t>
            </w:r>
            <w:r w:rsidR="003A664D">
              <w:rPr>
                <w:sz w:val="16"/>
                <w:szCs w:val="20"/>
              </w:rPr>
              <w:t>-</w:t>
            </w:r>
            <w:r w:rsidR="00C316C3" w:rsidRPr="002B285C">
              <w:rPr>
                <w:sz w:val="16"/>
                <w:szCs w:val="20"/>
              </w:rPr>
              <w:t>pocket costs for the patient.</w:t>
            </w:r>
          </w:p>
        </w:tc>
      </w:tr>
      <w:tr w:rsidR="001F5461" w:rsidRPr="00B57B75" w14:paraId="25DAC74B" w14:textId="77777777" w:rsidTr="004F618C">
        <w:tc>
          <w:tcPr>
            <w:tcW w:w="809" w:type="pct"/>
          </w:tcPr>
          <w:p w14:paraId="14638513" w14:textId="77777777" w:rsidR="00D8617F" w:rsidRPr="00B57B75" w:rsidRDefault="00D8617F" w:rsidP="00B57B75">
            <w:pPr>
              <w:pStyle w:val="BodyText"/>
              <w:spacing w:before="0" w:after="0"/>
              <w:rPr>
                <w:b/>
                <w:sz w:val="16"/>
                <w:szCs w:val="20"/>
              </w:rPr>
            </w:pPr>
            <w:r w:rsidRPr="00B57B75">
              <w:rPr>
                <w:sz w:val="16"/>
                <w:szCs w:val="20"/>
              </w:rPr>
              <w:t>Thoracostomy</w:t>
            </w:r>
          </w:p>
        </w:tc>
        <w:tc>
          <w:tcPr>
            <w:tcW w:w="1838" w:type="pct"/>
          </w:tcPr>
          <w:p w14:paraId="48F4E971" w14:textId="1A186FA4" w:rsidR="00D8617F" w:rsidRPr="002B285C" w:rsidRDefault="00D8617F" w:rsidP="00B57B75">
            <w:pPr>
              <w:pStyle w:val="BodyText"/>
              <w:spacing w:before="0" w:after="0"/>
              <w:rPr>
                <w:sz w:val="16"/>
                <w:szCs w:val="20"/>
              </w:rPr>
            </w:pPr>
            <w:r w:rsidRPr="002B285C">
              <w:rPr>
                <w:sz w:val="16"/>
                <w:szCs w:val="20"/>
              </w:rPr>
              <w:t>A small incision of the chest wall, with maintenance of the opening for drainage. It is commonly used for the treatment of a pneumothorax</w:t>
            </w:r>
            <w:r w:rsidR="002D38E0">
              <w:rPr>
                <w:sz w:val="16"/>
                <w:szCs w:val="20"/>
              </w:rPr>
              <w:t>.</w:t>
            </w:r>
          </w:p>
        </w:tc>
        <w:tc>
          <w:tcPr>
            <w:tcW w:w="957" w:type="pct"/>
          </w:tcPr>
          <w:p w14:paraId="76AC6F16" w14:textId="417A67BE" w:rsidR="00D8617F" w:rsidRPr="002B285C" w:rsidRDefault="00EC6A7F" w:rsidP="00B57B75">
            <w:pPr>
              <w:pStyle w:val="BodyText"/>
              <w:spacing w:before="0" w:after="0"/>
              <w:rPr>
                <w:sz w:val="16"/>
                <w:szCs w:val="20"/>
              </w:rPr>
            </w:pPr>
            <w:r>
              <w:rPr>
                <w:sz w:val="16"/>
                <w:szCs w:val="20"/>
              </w:rPr>
              <w:t>Information not available.</w:t>
            </w:r>
          </w:p>
        </w:tc>
        <w:tc>
          <w:tcPr>
            <w:tcW w:w="1396" w:type="pct"/>
          </w:tcPr>
          <w:p w14:paraId="502E936E" w14:textId="77777777" w:rsidR="00D8617F" w:rsidRPr="002B285C" w:rsidRDefault="00D8617F" w:rsidP="00B57B75">
            <w:pPr>
              <w:pStyle w:val="BodyText"/>
              <w:spacing w:before="0" w:after="0"/>
              <w:rPr>
                <w:sz w:val="16"/>
                <w:szCs w:val="20"/>
              </w:rPr>
            </w:pPr>
            <w:r w:rsidRPr="002B285C">
              <w:rPr>
                <w:sz w:val="16"/>
                <w:szCs w:val="20"/>
              </w:rPr>
              <w:t>Thoracostomies are usually created for a short term and are managed in hospital settings.</w:t>
            </w:r>
          </w:p>
        </w:tc>
      </w:tr>
      <w:tr w:rsidR="00B57B75" w:rsidRPr="00B57B75" w14:paraId="03C5E1C5" w14:textId="77777777" w:rsidTr="004F618C">
        <w:trPr>
          <w:cnfStyle w:val="000000010000" w:firstRow="0" w:lastRow="0" w:firstColumn="0" w:lastColumn="0" w:oddVBand="0" w:evenVBand="0" w:oddHBand="0" w:evenHBand="1" w:firstRowFirstColumn="0" w:firstRowLastColumn="0" w:lastRowFirstColumn="0" w:lastRowLastColumn="0"/>
        </w:trPr>
        <w:tc>
          <w:tcPr>
            <w:tcW w:w="809" w:type="pct"/>
          </w:tcPr>
          <w:p w14:paraId="551C440A" w14:textId="77777777" w:rsidR="00D8617F" w:rsidRPr="00B57B75" w:rsidRDefault="00D8617F" w:rsidP="00B57B75">
            <w:pPr>
              <w:pStyle w:val="BodyText"/>
              <w:spacing w:before="0" w:after="0"/>
              <w:rPr>
                <w:b/>
                <w:sz w:val="16"/>
                <w:szCs w:val="20"/>
              </w:rPr>
            </w:pPr>
            <w:proofErr w:type="spellStart"/>
            <w:r w:rsidRPr="00B57B75">
              <w:rPr>
                <w:sz w:val="16"/>
                <w:szCs w:val="20"/>
              </w:rPr>
              <w:t>Pharyngostomy</w:t>
            </w:r>
            <w:proofErr w:type="spellEnd"/>
          </w:p>
        </w:tc>
        <w:tc>
          <w:tcPr>
            <w:tcW w:w="1838" w:type="pct"/>
          </w:tcPr>
          <w:p w14:paraId="386B0B86" w14:textId="77777777" w:rsidR="00D8617F" w:rsidRPr="00B57B75" w:rsidRDefault="00D8617F" w:rsidP="00B57B75">
            <w:pPr>
              <w:pStyle w:val="BodyText"/>
              <w:spacing w:before="0" w:after="0"/>
              <w:rPr>
                <w:sz w:val="16"/>
                <w:szCs w:val="20"/>
              </w:rPr>
            </w:pPr>
            <w:r w:rsidRPr="00B57B75">
              <w:rPr>
                <w:sz w:val="16"/>
                <w:szCs w:val="20"/>
              </w:rPr>
              <w:t xml:space="preserve">A surgical process of creating a hole or opening in the throat or neck to insert a </w:t>
            </w:r>
            <w:proofErr w:type="spellStart"/>
            <w:r w:rsidRPr="00B57B75">
              <w:rPr>
                <w:sz w:val="16"/>
                <w:szCs w:val="20"/>
              </w:rPr>
              <w:t>pharyngostomy</w:t>
            </w:r>
            <w:proofErr w:type="spellEnd"/>
            <w:r w:rsidRPr="00B57B75">
              <w:rPr>
                <w:sz w:val="16"/>
                <w:szCs w:val="20"/>
              </w:rPr>
              <w:t xml:space="preserve"> tube. Also known as cervical </w:t>
            </w:r>
            <w:proofErr w:type="spellStart"/>
            <w:r w:rsidRPr="00B57B75">
              <w:rPr>
                <w:sz w:val="16"/>
                <w:szCs w:val="20"/>
              </w:rPr>
              <w:t>pharyngostomy</w:t>
            </w:r>
            <w:proofErr w:type="spellEnd"/>
            <w:r w:rsidRPr="00B57B75">
              <w:rPr>
                <w:sz w:val="16"/>
                <w:szCs w:val="20"/>
              </w:rPr>
              <w:t>, the procedure is done to facilitate feeding when patients cannot eat by mouth for a short period.</w:t>
            </w:r>
          </w:p>
        </w:tc>
        <w:tc>
          <w:tcPr>
            <w:tcW w:w="957" w:type="pct"/>
          </w:tcPr>
          <w:p w14:paraId="7DA5EFFD" w14:textId="3DDE3DCD" w:rsidR="00D8617F" w:rsidRPr="00B57B75" w:rsidRDefault="00EC6A7F" w:rsidP="00B57B75">
            <w:pPr>
              <w:pStyle w:val="BodyText"/>
              <w:spacing w:before="0" w:after="0"/>
              <w:rPr>
                <w:sz w:val="16"/>
                <w:szCs w:val="20"/>
              </w:rPr>
            </w:pPr>
            <w:r>
              <w:rPr>
                <w:sz w:val="16"/>
                <w:szCs w:val="20"/>
              </w:rPr>
              <w:t>Information not available.</w:t>
            </w:r>
          </w:p>
        </w:tc>
        <w:tc>
          <w:tcPr>
            <w:tcW w:w="1396" w:type="pct"/>
          </w:tcPr>
          <w:p w14:paraId="61F4B4B8" w14:textId="77777777" w:rsidR="00D8617F" w:rsidRPr="00B57B75" w:rsidRDefault="00D8617F" w:rsidP="00B57B75">
            <w:pPr>
              <w:pStyle w:val="BodyText"/>
              <w:spacing w:before="0" w:after="0"/>
              <w:rPr>
                <w:sz w:val="16"/>
                <w:szCs w:val="20"/>
              </w:rPr>
            </w:pPr>
            <w:proofErr w:type="spellStart"/>
            <w:r w:rsidRPr="00B57B75">
              <w:rPr>
                <w:sz w:val="16"/>
                <w:szCs w:val="20"/>
              </w:rPr>
              <w:t>Pharyngostomies</w:t>
            </w:r>
            <w:proofErr w:type="spellEnd"/>
            <w:r w:rsidRPr="00B57B75">
              <w:rPr>
                <w:sz w:val="16"/>
                <w:szCs w:val="20"/>
              </w:rPr>
              <w:t xml:space="preserve"> are usually created for a short term and are managed in hospital settings.</w:t>
            </w:r>
          </w:p>
        </w:tc>
      </w:tr>
      <w:tr w:rsidR="001F5461" w:rsidRPr="00B57B75" w14:paraId="61C441AF" w14:textId="77777777" w:rsidTr="004F618C">
        <w:tc>
          <w:tcPr>
            <w:tcW w:w="809" w:type="pct"/>
          </w:tcPr>
          <w:p w14:paraId="5972FDC2" w14:textId="77777777" w:rsidR="00D8617F" w:rsidRPr="00B57B75" w:rsidRDefault="00D8617F" w:rsidP="00B57B75">
            <w:pPr>
              <w:pStyle w:val="BodyText"/>
              <w:spacing w:before="0" w:after="0"/>
              <w:rPr>
                <w:sz w:val="16"/>
                <w:szCs w:val="20"/>
              </w:rPr>
            </w:pPr>
            <w:r w:rsidRPr="00B57B75">
              <w:rPr>
                <w:sz w:val="16"/>
                <w:szCs w:val="20"/>
              </w:rPr>
              <w:lastRenderedPageBreak/>
              <w:t>Wound management requiring drainage</w:t>
            </w:r>
          </w:p>
        </w:tc>
        <w:tc>
          <w:tcPr>
            <w:tcW w:w="1838" w:type="pct"/>
          </w:tcPr>
          <w:p w14:paraId="2B7DE859" w14:textId="77777777" w:rsidR="00D8617F" w:rsidRPr="002B285C" w:rsidRDefault="00D8617F" w:rsidP="00B57B75">
            <w:pPr>
              <w:pStyle w:val="BodyText"/>
              <w:spacing w:before="0" w:after="0"/>
              <w:rPr>
                <w:sz w:val="16"/>
                <w:szCs w:val="20"/>
              </w:rPr>
            </w:pPr>
            <w:r w:rsidRPr="002B285C">
              <w:rPr>
                <w:sz w:val="16"/>
                <w:szCs w:val="20"/>
              </w:rPr>
              <w:t>A procedure involving the removal of excess fluid or pus from a wound to promote healing and prevent infection. This is commonly necessary in cases of abscesses, deep wounds, surgical incisions, or wounds that are at risk of infection or excessive fluid buildup.</w:t>
            </w:r>
          </w:p>
        </w:tc>
        <w:tc>
          <w:tcPr>
            <w:tcW w:w="957" w:type="pct"/>
          </w:tcPr>
          <w:p w14:paraId="18477540" w14:textId="77777777" w:rsidR="00D8617F" w:rsidRPr="002B285C" w:rsidRDefault="00D8617F" w:rsidP="00B57B75">
            <w:pPr>
              <w:pStyle w:val="BodyText"/>
              <w:spacing w:before="0" w:after="0"/>
              <w:rPr>
                <w:sz w:val="16"/>
                <w:szCs w:val="20"/>
              </w:rPr>
            </w:pPr>
            <w:r w:rsidRPr="002B285C">
              <w:rPr>
                <w:sz w:val="16"/>
                <w:szCs w:val="20"/>
              </w:rPr>
              <w:t>Approximately 450,000 Australians currently live with a chronic wound (AMA)</w:t>
            </w:r>
            <w:r w:rsidRPr="000246FB">
              <w:rPr>
                <w:rStyle w:val="FootnoteReference"/>
                <w:b w:val="0"/>
                <w:bCs/>
                <w:color w:val="auto"/>
                <w:sz w:val="16"/>
                <w:szCs w:val="20"/>
              </w:rPr>
              <w:footnoteReference w:id="13"/>
            </w:r>
          </w:p>
        </w:tc>
        <w:tc>
          <w:tcPr>
            <w:tcW w:w="1396" w:type="pct"/>
          </w:tcPr>
          <w:p w14:paraId="0869E6B4" w14:textId="77777777" w:rsidR="00D8617F" w:rsidRPr="00B57B75" w:rsidRDefault="00D8617F" w:rsidP="00B57B75">
            <w:pPr>
              <w:pStyle w:val="BodyText"/>
              <w:spacing w:before="0" w:after="0"/>
              <w:rPr>
                <w:sz w:val="16"/>
                <w:szCs w:val="20"/>
              </w:rPr>
            </w:pPr>
            <w:r w:rsidRPr="00B57B75">
              <w:rPr>
                <w:sz w:val="16"/>
                <w:szCs w:val="20"/>
              </w:rPr>
              <w:t>There is currently no national wound management subsidy scheme.</w:t>
            </w:r>
          </w:p>
        </w:tc>
      </w:tr>
    </w:tbl>
    <w:p w14:paraId="4118BC8D" w14:textId="1073A2F7" w:rsidR="00D8617F" w:rsidRDefault="00D8617F" w:rsidP="00D8617F">
      <w:pPr>
        <w:pStyle w:val="Heading2"/>
      </w:pPr>
      <w:r>
        <w:t>A</w:t>
      </w:r>
      <w:r w:rsidRPr="00172A63">
        <w:t>dvances in stoma care and their impact on eligibility criteria</w:t>
      </w:r>
    </w:p>
    <w:p w14:paraId="6D064F3A" w14:textId="77777777" w:rsidR="00D8617F" w:rsidRPr="00A224EC" w:rsidRDefault="00D8617F" w:rsidP="002B285C">
      <w:pPr>
        <w:pStyle w:val="BodyText"/>
      </w:pPr>
      <w:r w:rsidRPr="00A224EC">
        <w:rPr>
          <w:lang w:val="en-US"/>
        </w:rPr>
        <w:t>The basic function of stoma products has remained constant since the establishment of the S</w:t>
      </w:r>
      <w:r>
        <w:rPr>
          <w:lang w:val="en-US"/>
        </w:rPr>
        <w:t xml:space="preserve">cheme </w:t>
      </w:r>
      <w:r w:rsidRPr="00A224EC">
        <w:rPr>
          <w:lang w:val="en-US"/>
        </w:rPr>
        <w:t>in 1975</w:t>
      </w:r>
      <w:r>
        <w:rPr>
          <w:lang w:val="en-US"/>
        </w:rPr>
        <w:t>, and any a</w:t>
      </w:r>
      <w:r w:rsidRPr="00A224EC">
        <w:rPr>
          <w:lang w:val="en-US"/>
        </w:rPr>
        <w:t>dvances</w:t>
      </w:r>
      <w:r>
        <w:rPr>
          <w:lang w:val="en-US"/>
        </w:rPr>
        <w:t xml:space="preserve"> in stoma care</w:t>
      </w:r>
      <w:r w:rsidRPr="00A224EC">
        <w:rPr>
          <w:lang w:val="en-US"/>
        </w:rPr>
        <w:t xml:space="preserve"> have mostly involved enhancing product design and functionality</w:t>
      </w:r>
      <w:r>
        <w:rPr>
          <w:lang w:val="en-US"/>
        </w:rPr>
        <w:t xml:space="preserve">. </w:t>
      </w:r>
      <w:r w:rsidRPr="00A224EC">
        <w:rPr>
          <w:lang w:val="en-US"/>
        </w:rPr>
        <w:t>Notable areas of product development</w:t>
      </w:r>
      <w:r>
        <w:rPr>
          <w:lang w:val="en-US"/>
        </w:rPr>
        <w:t xml:space="preserve"> include:</w:t>
      </w:r>
    </w:p>
    <w:p w14:paraId="261A5464" w14:textId="3F3FA9B5" w:rsidR="00D8617F" w:rsidRPr="00C316C3" w:rsidRDefault="00D8617F" w:rsidP="00C316C3">
      <w:pPr>
        <w:pStyle w:val="ListBullet"/>
      </w:pPr>
      <w:r w:rsidRPr="00C316C3">
        <w:t>Stoma pouch fabrication to include water-repellent material formulation and increased strength to allow resistance to creasing and sagging.</w:t>
      </w:r>
    </w:p>
    <w:p w14:paraId="5B243E98" w14:textId="77777777" w:rsidR="00D8617F" w:rsidRPr="00C316C3" w:rsidRDefault="00D8617F" w:rsidP="00C316C3">
      <w:pPr>
        <w:pStyle w:val="ListBullet"/>
      </w:pPr>
      <w:r w:rsidRPr="00C316C3">
        <w:t>Hook-to-hook fastening, dual carbon filters for gas release, variation in flange shape, and variation in pouch transparency.</w:t>
      </w:r>
    </w:p>
    <w:p w14:paraId="188224E3" w14:textId="77777777" w:rsidR="00D8617F" w:rsidRPr="00C316C3" w:rsidRDefault="00D8617F" w:rsidP="00C316C3">
      <w:pPr>
        <w:pStyle w:val="ListBullet"/>
      </w:pPr>
      <w:r w:rsidRPr="00C316C3">
        <w:t>Skin protective technologies, such as novel silicone compound adhesives to manage peristomal skin complications – which affect 88% of ostomates and cause the costs of ostomy supplies to increase six-fold over a 7-week period.</w:t>
      </w:r>
    </w:p>
    <w:p w14:paraId="53CDDFDF" w14:textId="085E65A4" w:rsidR="00D8617F" w:rsidRDefault="00D8617F" w:rsidP="002B285C">
      <w:pPr>
        <w:pStyle w:val="BodyText"/>
        <w:rPr>
          <w:lang w:val="en-US"/>
        </w:rPr>
      </w:pPr>
      <w:r>
        <w:rPr>
          <w:lang w:val="en-US"/>
        </w:rPr>
        <w:t>A review of the e</w:t>
      </w:r>
      <w:r w:rsidRPr="00A224EC">
        <w:rPr>
          <w:lang w:val="en-US"/>
        </w:rPr>
        <w:t xml:space="preserve">vidence suggests that changing design features or </w:t>
      </w:r>
      <w:r>
        <w:rPr>
          <w:lang w:val="en-US"/>
        </w:rPr>
        <w:t>practices</w:t>
      </w:r>
      <w:r w:rsidRPr="00A224EC">
        <w:rPr>
          <w:lang w:val="en-US"/>
        </w:rPr>
        <w:t xml:space="preserve"> surrounding stoma care positively impact</w:t>
      </w:r>
      <w:r>
        <w:rPr>
          <w:lang w:val="en-US"/>
        </w:rPr>
        <w:t>s the overall</w:t>
      </w:r>
      <w:r w:rsidRPr="00A224EC">
        <w:rPr>
          <w:lang w:val="en-US"/>
        </w:rPr>
        <w:t xml:space="preserve"> physical health and </w:t>
      </w:r>
      <w:r>
        <w:rPr>
          <w:lang w:val="en-US"/>
        </w:rPr>
        <w:t>well</w:t>
      </w:r>
      <w:r w:rsidR="00C92AD3">
        <w:rPr>
          <w:lang w:val="en-US"/>
        </w:rPr>
        <w:t>being</w:t>
      </w:r>
      <w:r>
        <w:rPr>
          <w:lang w:val="en-US"/>
        </w:rPr>
        <w:t xml:space="preserve"> of ostomates</w:t>
      </w:r>
      <w:r w:rsidRPr="00A224EC">
        <w:rPr>
          <w:lang w:val="en-US"/>
        </w:rPr>
        <w:t>. Appliances with these features and skin protective technologies are</w:t>
      </w:r>
      <w:r>
        <w:rPr>
          <w:lang w:val="en-US"/>
        </w:rPr>
        <w:t xml:space="preserve"> currently provided by</w:t>
      </w:r>
      <w:r w:rsidRPr="00A224EC">
        <w:rPr>
          <w:lang w:val="en-US"/>
        </w:rPr>
        <w:t xml:space="preserve"> the S</w:t>
      </w:r>
      <w:r>
        <w:rPr>
          <w:lang w:val="en-US"/>
        </w:rPr>
        <w:t>cheme</w:t>
      </w:r>
      <w:r w:rsidRPr="00A224EC">
        <w:rPr>
          <w:lang w:val="en-US"/>
        </w:rPr>
        <w:t>.</w:t>
      </w:r>
    </w:p>
    <w:p w14:paraId="1C124BD3" w14:textId="7FCD8149" w:rsidR="00D8617F" w:rsidRPr="00F71723" w:rsidRDefault="00D8617F" w:rsidP="002B285C">
      <w:pPr>
        <w:pStyle w:val="BodyText"/>
        <w:rPr>
          <w:lang w:val="en-US"/>
        </w:rPr>
      </w:pPr>
      <w:r>
        <w:t xml:space="preserve">The most notable advance in stoma care products are hydrocolloid adhesives and skin-protectant technologies used in the products. STNs reported that ostomates who previously lived overseas and accessed other international stoma schemes noted that whilst the </w:t>
      </w:r>
      <w:r w:rsidR="00C316C3">
        <w:t>Scheme</w:t>
      </w:r>
      <w:r>
        <w:t xml:space="preserve"> does </w:t>
      </w:r>
      <w:r w:rsidR="00C316C3">
        <w:t>have similar</w:t>
      </w:r>
      <w:r>
        <w:t xml:space="preserve"> appliances </w:t>
      </w:r>
      <w:r w:rsidR="00C316C3">
        <w:t>with these features and</w:t>
      </w:r>
      <w:r w:rsidRPr="00A224EC">
        <w:rPr>
          <w:lang w:val="en-US"/>
        </w:rPr>
        <w:t xml:space="preserve"> skin protective</w:t>
      </w:r>
      <w:r w:rsidR="00C316C3">
        <w:rPr>
          <w:lang w:val="en-US"/>
        </w:rPr>
        <w:t>,</w:t>
      </w:r>
      <w:r>
        <w:rPr>
          <w:lang w:val="en-US"/>
        </w:rPr>
        <w:t xml:space="preserve"> </w:t>
      </w:r>
      <w:r>
        <w:t>the most up-to-date products on the market are not available in Australia.</w:t>
      </w:r>
    </w:p>
    <w:p w14:paraId="04F3A104" w14:textId="286DF2BC" w:rsidR="00D8617F" w:rsidRPr="002B285C" w:rsidRDefault="00D8617F" w:rsidP="002B285C">
      <w:pPr>
        <w:pStyle w:val="BodyText"/>
      </w:pPr>
      <w:r>
        <w:t xml:space="preserve">From a surgical perspective, recent advances in surgery techniques such as robotics and precision surgery produce better outcomes for patients and reduce the likelihood of requiring a stoma permanently. There were suggestions that more temporary stomas were being created as a result however, because of limitations in the current data provided by the Department the Review was not able to determine the accuracy of this assertion. Analysis undertaken by Queensland Stoma </w:t>
      </w:r>
      <w:r w:rsidRPr="00B3194E">
        <w:t>Association indicated 34% of stomas were temporary</w:t>
      </w:r>
      <w:r w:rsidRPr="00BC4F23">
        <w:rPr>
          <w:rStyle w:val="FootnoteReference"/>
          <w:b w:val="0"/>
          <w:color w:val="auto"/>
        </w:rPr>
        <w:footnoteReference w:id="14"/>
      </w:r>
      <w:r w:rsidRPr="00B3194E">
        <w:t xml:space="preserve"> whereas a survey conducted 2020 by the Department</w:t>
      </w:r>
      <w:r w:rsidRPr="000246FB">
        <w:rPr>
          <w:rStyle w:val="FootnoteReference"/>
          <w:b w:val="0"/>
          <w:bCs/>
          <w:color w:val="auto"/>
        </w:rPr>
        <w:footnoteReference w:id="15"/>
      </w:r>
      <w:r w:rsidRPr="002B285C">
        <w:t xml:space="preserve">, 50% of ostomates who responded indicated they had a </w:t>
      </w:r>
      <w:r w:rsidRPr="002B285C">
        <w:lastRenderedPageBreak/>
        <w:t xml:space="preserve">temporary stoma. STN’s consulted also provided feedback that surgeries which enable bowel washouts </w:t>
      </w:r>
      <w:proofErr w:type="gramStart"/>
      <w:r w:rsidRPr="002B285C">
        <w:t>and also</w:t>
      </w:r>
      <w:proofErr w:type="gramEnd"/>
      <w:r w:rsidRPr="002B285C">
        <w:t xml:space="preserve"> reduce the chance of a stoma like ACE are becoming more frequent.</w:t>
      </w:r>
    </w:p>
    <w:p w14:paraId="30539CEE" w14:textId="0F8733F8" w:rsidR="00D8617F" w:rsidRDefault="00D8617F" w:rsidP="002B285C">
      <w:pPr>
        <w:pStyle w:val="BodyText"/>
      </w:pPr>
      <w:r w:rsidRPr="002B285C">
        <w:t>Improved treatments for conditions often requiring a stoma such as bowel or colorectal cancer have meant that individuals can live longer with their stomas. These two factors have resulted in a consistent number of individuals accessing the Scheme over time.</w:t>
      </w:r>
    </w:p>
    <w:p w14:paraId="513DB1F7" w14:textId="77777777" w:rsidR="00D44B9F" w:rsidRDefault="00D44B9F" w:rsidP="00D44B9F">
      <w:pPr>
        <w:pStyle w:val="Heading1"/>
      </w:pPr>
      <w:bookmarkStart w:id="35" w:name="_Toc156898587"/>
      <w:bookmarkStart w:id="36" w:name="_Toc161743091"/>
      <w:r>
        <w:lastRenderedPageBreak/>
        <w:t>Accessibility of the Scheme</w:t>
      </w:r>
      <w:bookmarkEnd w:id="35"/>
      <w:bookmarkEnd w:id="36"/>
    </w:p>
    <w:p w14:paraId="46E13C8D" w14:textId="0A13ED30" w:rsidR="00D44B9F" w:rsidRDefault="00C316C3" w:rsidP="002B285C">
      <w:pPr>
        <w:pStyle w:val="BodyText"/>
      </w:pPr>
      <w:r>
        <w:t>This Chapter describes the findings of this Review related to</w:t>
      </w:r>
      <w:r w:rsidRPr="00C4128C">
        <w:t xml:space="preserve"> </w:t>
      </w:r>
      <w:r>
        <w:t>t</w:t>
      </w:r>
      <w:r w:rsidRPr="00C4128C">
        <w:t xml:space="preserve">he </w:t>
      </w:r>
      <w:r>
        <w:t>accessibility of the Scheme</w:t>
      </w:r>
      <w:r w:rsidRPr="00C4128C">
        <w:t xml:space="preserve">. </w:t>
      </w:r>
    </w:p>
    <w:p w14:paraId="49DCD5AC" w14:textId="3B7DC57A" w:rsidR="00D44B9F" w:rsidRDefault="00D44B9F" w:rsidP="00D44B9F">
      <w:pPr>
        <w:pStyle w:val="Heading2"/>
      </w:pPr>
      <w:r>
        <w:t xml:space="preserve">Comparison of </w:t>
      </w:r>
      <w:r w:rsidR="00C316C3">
        <w:t>the Scheme</w:t>
      </w:r>
      <w:r>
        <w:t xml:space="preserve"> to</w:t>
      </w:r>
      <w:r w:rsidRPr="00075C1D">
        <w:t xml:space="preserve"> </w:t>
      </w:r>
      <w:r>
        <w:t>national and state</w:t>
      </w:r>
      <w:r w:rsidR="008A25D6">
        <w:t>wide</w:t>
      </w:r>
      <w:r>
        <w:t xml:space="preserve"> </w:t>
      </w:r>
      <w:r w:rsidRPr="00075C1D">
        <w:t>schemes</w:t>
      </w:r>
    </w:p>
    <w:p w14:paraId="37FE0944" w14:textId="630DB8ED" w:rsidR="00D44B9F" w:rsidRDefault="00D44B9F" w:rsidP="002B285C">
      <w:pPr>
        <w:pStyle w:val="BodyText"/>
      </w:pPr>
      <w:r>
        <w:t xml:space="preserve">In Australia, the </w:t>
      </w:r>
      <w:r w:rsidR="00C316C3">
        <w:t>Scheme</w:t>
      </w:r>
      <w:r>
        <w:t xml:space="preserve"> is the only stoma-related scheme available to provide ostomates with the products and appliances they need to manage their stomas. All States and Territories health department websites refer to the </w:t>
      </w:r>
      <w:r w:rsidR="00C316C3">
        <w:t>Scheme</w:t>
      </w:r>
      <w:r>
        <w:t xml:space="preserve"> and/or local </w:t>
      </w:r>
      <w:r w:rsidR="00FD582F">
        <w:t>s</w:t>
      </w:r>
      <w:r>
        <w:t xml:space="preserve">toma </w:t>
      </w:r>
      <w:r w:rsidR="00FD582F">
        <w:t>a</w:t>
      </w:r>
      <w:r>
        <w:t xml:space="preserve">ssociations supporting the delivering of </w:t>
      </w:r>
      <w:r w:rsidR="00C316C3">
        <w:t>Scheme</w:t>
      </w:r>
      <w:r>
        <w:t>.</w:t>
      </w:r>
    </w:p>
    <w:p w14:paraId="27B6511E" w14:textId="47AAE0AC" w:rsidR="00D44B9F" w:rsidRDefault="00D44B9F" w:rsidP="002B285C">
      <w:pPr>
        <w:pStyle w:val="BodyText"/>
      </w:pPr>
      <w:r>
        <w:t xml:space="preserve">The </w:t>
      </w:r>
      <w:r w:rsidR="00C316C3">
        <w:t>Scheme</w:t>
      </w:r>
      <w:r>
        <w:t xml:space="preserve"> was compared to four federally funded national comparator schemes and nine state or territory</w:t>
      </w:r>
      <w:r w:rsidR="006A0BD8">
        <w:t>-</w:t>
      </w:r>
      <w:r>
        <w:t>funded medical appliance/equipment schemes</w:t>
      </w:r>
      <w:r w:rsidR="00C316C3">
        <w:t>.</w:t>
      </w:r>
      <w:r>
        <w:t xml:space="preserve"> </w:t>
      </w:r>
      <w:r w:rsidR="00C316C3">
        <w:t>N</w:t>
      </w:r>
      <w:r>
        <w:t xml:space="preserve">o duplication with any of these </w:t>
      </w:r>
      <w:r w:rsidR="00C316C3">
        <w:t xml:space="preserve">programs or </w:t>
      </w:r>
      <w:r>
        <w:t xml:space="preserve">schemes was identified. Insights gathered through consultation with </w:t>
      </w:r>
      <w:proofErr w:type="gramStart"/>
      <w:r>
        <w:t>STN’s</w:t>
      </w:r>
      <w:proofErr w:type="gramEnd"/>
      <w:r>
        <w:t xml:space="preserve"> and administrators of these </w:t>
      </w:r>
      <w:r w:rsidR="00C316C3">
        <w:t>programs</w:t>
      </w:r>
      <w:r>
        <w:t xml:space="preserve"> confirmed that there is no duplication or overlap of the products and appliances accessible through the </w:t>
      </w:r>
      <w:r w:rsidR="00C316C3">
        <w:t>Scheme</w:t>
      </w:r>
      <w:r>
        <w:t xml:space="preserve"> with other jurisdictional or federal schemes. Detailed comparative analysis of the </w:t>
      </w:r>
      <w:r w:rsidR="00C316C3">
        <w:t>Scheme</w:t>
      </w:r>
      <w:r>
        <w:t xml:space="preserve"> with national, </w:t>
      </w:r>
      <w:proofErr w:type="gramStart"/>
      <w:r>
        <w:t>international</w:t>
      </w:r>
      <w:proofErr w:type="gramEnd"/>
      <w:r>
        <w:t xml:space="preserve"> and jurisdictional schemes is provided in</w:t>
      </w:r>
      <w:r w:rsidR="00C316C3">
        <w:t xml:space="preserve"> </w:t>
      </w:r>
      <w:r w:rsidR="00C316C3">
        <w:fldChar w:fldCharType="begin"/>
      </w:r>
      <w:r w:rsidR="00C316C3">
        <w:instrText xml:space="preserve"> REF _Ref157429507 \n \h </w:instrText>
      </w:r>
      <w:r w:rsidR="002B285C">
        <w:instrText xml:space="preserve"> \* MERGEFORMAT </w:instrText>
      </w:r>
      <w:r w:rsidR="00C316C3">
        <w:fldChar w:fldCharType="separate"/>
      </w:r>
      <w:r w:rsidR="00FE1418">
        <w:t>Appendix B</w:t>
      </w:r>
      <w:r w:rsidR="00C316C3">
        <w:fldChar w:fldCharType="end"/>
      </w:r>
      <w:r>
        <w:t>.</w:t>
      </w:r>
    </w:p>
    <w:p w14:paraId="57DEAA91" w14:textId="207C539C" w:rsidR="00C316C3" w:rsidRDefault="00D44B9F" w:rsidP="002B285C">
      <w:pPr>
        <w:pStyle w:val="BodyText"/>
      </w:pPr>
      <w:r>
        <w:t xml:space="preserve">Whilst there is no overlap between the </w:t>
      </w:r>
      <w:r w:rsidR="00C316C3">
        <w:t>Scheme</w:t>
      </w:r>
      <w:r>
        <w:t xml:space="preserve"> and other national or jurisdictional programs, some STNs provided feedback that some products should be available under the </w:t>
      </w:r>
      <w:r w:rsidR="00C316C3">
        <w:t>Scheme</w:t>
      </w:r>
      <w:r>
        <w:t xml:space="preserve"> as opposed to CAPS. CAPS allocates a set amount to eligible individuals yearly to offset the cost of supplies</w:t>
      </w:r>
      <w:r w:rsidR="00C316C3">
        <w:t>.</w:t>
      </w:r>
      <w:r>
        <w:t xml:space="preserve"> </w:t>
      </w:r>
      <w:r w:rsidR="00C316C3">
        <w:t>Often, the</w:t>
      </w:r>
      <w:r>
        <w:t xml:space="preserve"> total funding allocation does not cover the </w:t>
      </w:r>
      <w:r w:rsidR="00C316C3">
        <w:t xml:space="preserve">entire </w:t>
      </w:r>
      <w:r>
        <w:t>cost of the supplies require</w:t>
      </w:r>
      <w:r w:rsidR="00C316C3">
        <w:t>d by a consumer</w:t>
      </w:r>
      <w:r>
        <w:t>.</w:t>
      </w:r>
      <w:r w:rsidR="00C316C3">
        <w:t xml:space="preserve"> There were suggestions that providing access to the Scheme for some of these consumers would be beneficial to their care.</w:t>
      </w:r>
    </w:p>
    <w:p w14:paraId="1852B674" w14:textId="5CA056A5" w:rsidR="00D44B9F" w:rsidRDefault="00C316C3" w:rsidP="002B285C">
      <w:pPr>
        <w:pStyle w:val="BodyText"/>
      </w:pPr>
      <w:r>
        <w:t>Feedback provided</w:t>
      </w:r>
      <w:r w:rsidR="00D44B9F">
        <w:t xml:space="preserve"> by </w:t>
      </w:r>
      <w:proofErr w:type="gramStart"/>
      <w:r w:rsidR="00D44B9F">
        <w:t>STNs</w:t>
      </w:r>
      <w:proofErr w:type="gramEnd"/>
      <w:r w:rsidR="00D44B9F">
        <w:t xml:space="preserve"> and associations </w:t>
      </w:r>
      <w:r>
        <w:t xml:space="preserve">suggested </w:t>
      </w:r>
      <w:r w:rsidR="00D44B9F">
        <w:t>that ostomates who are also eligible for the N</w:t>
      </w:r>
      <w:r w:rsidR="00EF36DF">
        <w:t>DIS</w:t>
      </w:r>
      <w:r w:rsidR="00D44B9F">
        <w:t xml:space="preserve"> for </w:t>
      </w:r>
      <w:r>
        <w:t>other</w:t>
      </w:r>
      <w:r w:rsidR="00D44B9F">
        <w:t xml:space="preserve"> condition</w:t>
      </w:r>
      <w:r>
        <w:t>s</w:t>
      </w:r>
      <w:r w:rsidR="00D44B9F">
        <w:t xml:space="preserve"> could use their funding to purchase stoma appliances and products</w:t>
      </w:r>
      <w:r>
        <w:t>. Often this was done in circumstances where the consumer wanted</w:t>
      </w:r>
      <w:r w:rsidR="00D44B9F">
        <w:t xml:space="preserve"> to ensure they were fully utilising their NDIS funding </w:t>
      </w:r>
      <w:r w:rsidR="00872BBC">
        <w:t>package or</w:t>
      </w:r>
      <w:r w:rsidR="00D44B9F">
        <w:t xml:space="preserve"> pay for the postage of their products using a NDIS or</w:t>
      </w:r>
      <w:r>
        <w:t xml:space="preserve"> similarly, through an</w:t>
      </w:r>
      <w:r w:rsidR="00D44B9F">
        <w:t xml:space="preserve"> Aged Care Package. However, the extent to which this occurs is difficult to ascertain through </w:t>
      </w:r>
      <w:r>
        <w:t>Scheme</w:t>
      </w:r>
      <w:r w:rsidR="00D44B9F">
        <w:t xml:space="preserve"> data alone.</w:t>
      </w:r>
    </w:p>
    <w:p w14:paraId="382E4FB7" w14:textId="0E28E304" w:rsidR="00D44B9F" w:rsidRDefault="00D44B9F" w:rsidP="00D44B9F">
      <w:pPr>
        <w:pStyle w:val="Heading2"/>
      </w:pPr>
      <w:r w:rsidRPr="00172A63">
        <w:t xml:space="preserve">Access for </w:t>
      </w:r>
      <w:r w:rsidR="00180997">
        <w:t>m</w:t>
      </w:r>
      <w:r w:rsidRPr="00172A63">
        <w:t xml:space="preserve">arginalised </w:t>
      </w:r>
      <w:r w:rsidR="00180997">
        <w:t>g</w:t>
      </w:r>
      <w:r w:rsidRPr="00172A63">
        <w:t>roups</w:t>
      </w:r>
    </w:p>
    <w:p w14:paraId="63B4F592" w14:textId="06AE1E49" w:rsidR="00D44B9F" w:rsidRDefault="00D44B9F" w:rsidP="002B285C">
      <w:pPr>
        <w:pStyle w:val="BodyText"/>
      </w:pPr>
      <w:r>
        <w:t xml:space="preserve">Stoma care is required for individuals living in metropolitan as well as rural and remote locations, First Nations people, financially disadvantaged individuals and/or those from </w:t>
      </w:r>
      <w:r w:rsidR="00D97135">
        <w:t>CALD</w:t>
      </w:r>
      <w:r>
        <w:t xml:space="preserve"> backgrounds across Australia. Whilst most stakeholders held the view that the Scheme did a great job of being available to all ostomates, those from marginalised groups are more likely to experience challenges when accessing stoma equipment and advice.</w:t>
      </w:r>
    </w:p>
    <w:p w14:paraId="303DD6EE" w14:textId="5199D995" w:rsidR="00D44B9F" w:rsidRDefault="00D44B9F" w:rsidP="002B285C">
      <w:pPr>
        <w:pStyle w:val="BodyText"/>
      </w:pPr>
      <w:r>
        <w:t xml:space="preserve">Even though access to stoma care products through the </w:t>
      </w:r>
      <w:r w:rsidR="00C316C3">
        <w:t>Scheme</w:t>
      </w:r>
      <w:r>
        <w:t xml:space="preserve"> is fully subsidised, some ostomates do pay out-of-pocket for costs associated with their stoma care. When asking ostomates about this, there were mixed responses – some ostomates said they pay for private health because of the barriers to access stoma care and surgery in the public health system, </w:t>
      </w:r>
      <w:r>
        <w:lastRenderedPageBreak/>
        <w:t>whilst others said the Scheme provides all necessary products and access care through the public health system.</w:t>
      </w:r>
    </w:p>
    <w:p w14:paraId="5D2C8010" w14:textId="6998A8D9" w:rsidR="00D44B9F" w:rsidRDefault="00D44B9F" w:rsidP="002B285C">
      <w:pPr>
        <w:pStyle w:val="BodyText"/>
      </w:pPr>
      <w:r>
        <w:t xml:space="preserve">Stakeholder consultation highlighted barriers to accessing the </w:t>
      </w:r>
      <w:r w:rsidR="00C316C3">
        <w:t>Scheme</w:t>
      </w:r>
      <w:r>
        <w:t xml:space="preserve"> and maintain their stomas appropriately for these marginalised groups, and effective strategies in place to enhance access to the </w:t>
      </w:r>
      <w:r w:rsidR="00C316C3">
        <w:t>Scheme</w:t>
      </w:r>
      <w:r>
        <w:t xml:space="preserve">. The ability to access STNs when needed, especially face-to-face, was one of the biggest barriers and consistent feedback from all stakeholders when it came to accessibility to stoma care. Other barriers included poor health literacy, geographical remoteness, and the requirement to obtain bi-annual updates to additional order forms. Common enablers which facilitated accessibility to the </w:t>
      </w:r>
      <w:r w:rsidR="00822862">
        <w:t>S</w:t>
      </w:r>
      <w:r>
        <w:t xml:space="preserve">cheme included personalised STN support, stoma association support and specialised link/healthcare workers. A summary of barriers and enablers that impact marginalised groups when accessing the </w:t>
      </w:r>
      <w:r w:rsidR="00C316C3">
        <w:t>Scheme</w:t>
      </w:r>
      <w:r>
        <w:t xml:space="preserve"> are listed in </w:t>
      </w:r>
      <w:r>
        <w:fldChar w:fldCharType="begin"/>
      </w:r>
      <w:r>
        <w:instrText xml:space="preserve"> REF _Ref157092728 \h </w:instrText>
      </w:r>
      <w:r w:rsidR="002B285C">
        <w:instrText xml:space="preserve"> \* MERGEFORMAT </w:instrText>
      </w:r>
      <w:r>
        <w:fldChar w:fldCharType="separate"/>
      </w:r>
      <w:r w:rsidR="00FE1418">
        <w:t xml:space="preserve">Table </w:t>
      </w:r>
      <w:r w:rsidR="00FE1418">
        <w:rPr>
          <w:noProof/>
        </w:rPr>
        <w:t>6</w:t>
      </w:r>
      <w:r>
        <w:fldChar w:fldCharType="end"/>
      </w:r>
      <w:r>
        <w:t>.</w:t>
      </w:r>
    </w:p>
    <w:p w14:paraId="69AD8A68" w14:textId="7177E20A" w:rsidR="00D44B9F" w:rsidRDefault="00D44B9F" w:rsidP="00D44B9F">
      <w:pPr>
        <w:pStyle w:val="Caption"/>
      </w:pPr>
      <w:bookmarkStart w:id="37" w:name="_Ref157092728"/>
      <w:bookmarkStart w:id="38" w:name="_Toc161743109"/>
      <w:r>
        <w:t xml:space="preserve">Table </w:t>
      </w:r>
      <w:r>
        <w:fldChar w:fldCharType="begin"/>
      </w:r>
      <w:r>
        <w:instrText xml:space="preserve"> SEQ Table \* ARABIC </w:instrText>
      </w:r>
      <w:r>
        <w:fldChar w:fldCharType="separate"/>
      </w:r>
      <w:r w:rsidR="00FE1418">
        <w:rPr>
          <w:noProof/>
        </w:rPr>
        <w:t>6</w:t>
      </w:r>
      <w:r>
        <w:rPr>
          <w:noProof/>
        </w:rPr>
        <w:fldChar w:fldCharType="end"/>
      </w:r>
      <w:bookmarkEnd w:id="37"/>
      <w:r>
        <w:t xml:space="preserve">: </w:t>
      </w:r>
      <w:r w:rsidRPr="007F150A">
        <w:t>Barriers</w:t>
      </w:r>
      <w:r w:rsidR="00ED061D">
        <w:t xml:space="preserve"> and</w:t>
      </w:r>
      <w:r w:rsidRPr="007F150A">
        <w:t xml:space="preserve"> enablers impacting access to the </w:t>
      </w:r>
      <w:r w:rsidR="00C316C3">
        <w:t>Scheme</w:t>
      </w:r>
      <w:r w:rsidRPr="007F150A">
        <w:t xml:space="preserve"> for marginalised </w:t>
      </w:r>
      <w:proofErr w:type="gramStart"/>
      <w:r w:rsidRPr="007F150A">
        <w:t>groups</w:t>
      </w:r>
      <w:bookmarkEnd w:id="38"/>
      <w:proofErr w:type="gramEnd"/>
    </w:p>
    <w:tbl>
      <w:tblPr>
        <w:tblStyle w:val="TableHealthConsultPurple"/>
        <w:tblW w:w="9639" w:type="dxa"/>
        <w:tblLook w:val="04A0" w:firstRow="1" w:lastRow="0" w:firstColumn="1" w:lastColumn="0" w:noHBand="0" w:noVBand="1"/>
      </w:tblPr>
      <w:tblGrid>
        <w:gridCol w:w="2409"/>
        <w:gridCol w:w="2410"/>
        <w:gridCol w:w="2410"/>
        <w:gridCol w:w="2410"/>
      </w:tblGrid>
      <w:tr w:rsidR="00D44B9F" w:rsidRPr="00872BBC" w14:paraId="2E95DF1B" w14:textId="77777777" w:rsidTr="000246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9" w:type="dxa"/>
          </w:tcPr>
          <w:p w14:paraId="0F39C832" w14:textId="77777777" w:rsidR="00D44B9F" w:rsidRPr="00872BBC" w:rsidRDefault="00D44B9F" w:rsidP="006E5311">
            <w:pPr>
              <w:spacing w:before="0" w:after="0"/>
              <w:rPr>
                <w:b w:val="0"/>
                <w:bCs/>
                <w:sz w:val="16"/>
                <w:szCs w:val="16"/>
                <w:u w:val="single"/>
              </w:rPr>
            </w:pPr>
            <w:r w:rsidRPr="00872BBC">
              <w:rPr>
                <w:sz w:val="16"/>
                <w:szCs w:val="16"/>
              </w:rPr>
              <w:t>Rural and remote</w:t>
            </w:r>
          </w:p>
        </w:tc>
        <w:tc>
          <w:tcPr>
            <w:tcW w:w="2410" w:type="dxa"/>
            <w:vAlign w:val="center"/>
          </w:tcPr>
          <w:p w14:paraId="36C1EC99" w14:textId="21C2AE37" w:rsidR="00D44B9F" w:rsidRPr="00872BBC" w:rsidRDefault="00D44B9F" w:rsidP="00BC4F23">
            <w:pPr>
              <w:spacing w:before="0" w:after="0"/>
              <w:jc w:val="center"/>
              <w:cnfStyle w:val="100000000000" w:firstRow="1" w:lastRow="0" w:firstColumn="0" w:lastColumn="0" w:oddVBand="0" w:evenVBand="0" w:oddHBand="0" w:evenHBand="0" w:firstRowFirstColumn="0" w:firstRowLastColumn="0" w:lastRowFirstColumn="0" w:lastRowLastColumn="0"/>
              <w:rPr>
                <w:b w:val="0"/>
                <w:bCs/>
                <w:sz w:val="16"/>
                <w:szCs w:val="16"/>
                <w:u w:val="single"/>
              </w:rPr>
            </w:pPr>
            <w:r w:rsidRPr="00872BBC">
              <w:rPr>
                <w:sz w:val="16"/>
                <w:szCs w:val="16"/>
              </w:rPr>
              <w:t>C</w:t>
            </w:r>
            <w:r w:rsidR="00D97135">
              <w:rPr>
                <w:sz w:val="16"/>
                <w:szCs w:val="16"/>
              </w:rPr>
              <w:t>ALD</w:t>
            </w:r>
          </w:p>
        </w:tc>
        <w:tc>
          <w:tcPr>
            <w:tcW w:w="2410" w:type="dxa"/>
            <w:vAlign w:val="center"/>
          </w:tcPr>
          <w:p w14:paraId="489E7988" w14:textId="77E94F1D" w:rsidR="00D44B9F" w:rsidRPr="00872BBC" w:rsidRDefault="00D44B9F" w:rsidP="00BC4F23">
            <w:pPr>
              <w:spacing w:before="0" w:after="0"/>
              <w:jc w:val="center"/>
              <w:cnfStyle w:val="100000000000" w:firstRow="1" w:lastRow="0" w:firstColumn="0" w:lastColumn="0" w:oddVBand="0" w:evenVBand="0" w:oddHBand="0" w:evenHBand="0" w:firstRowFirstColumn="0" w:firstRowLastColumn="0" w:lastRowFirstColumn="0" w:lastRowLastColumn="0"/>
              <w:rPr>
                <w:b w:val="0"/>
                <w:bCs/>
                <w:sz w:val="16"/>
                <w:szCs w:val="16"/>
                <w:u w:val="single"/>
              </w:rPr>
            </w:pPr>
            <w:r w:rsidRPr="00872BBC">
              <w:rPr>
                <w:sz w:val="16"/>
                <w:szCs w:val="16"/>
              </w:rPr>
              <w:t>First Nations</w:t>
            </w:r>
          </w:p>
        </w:tc>
        <w:tc>
          <w:tcPr>
            <w:tcW w:w="2410" w:type="dxa"/>
            <w:vAlign w:val="center"/>
          </w:tcPr>
          <w:p w14:paraId="02A928FB" w14:textId="77777777" w:rsidR="00D44B9F" w:rsidRPr="00872BBC" w:rsidRDefault="00D44B9F" w:rsidP="00BC4F23">
            <w:pPr>
              <w:spacing w:before="0" w:after="0"/>
              <w:jc w:val="center"/>
              <w:cnfStyle w:val="100000000000" w:firstRow="1" w:lastRow="0" w:firstColumn="0" w:lastColumn="0" w:oddVBand="0" w:evenVBand="0" w:oddHBand="0" w:evenHBand="0" w:firstRowFirstColumn="0" w:firstRowLastColumn="0" w:lastRowFirstColumn="0" w:lastRowLastColumn="0"/>
              <w:rPr>
                <w:sz w:val="16"/>
                <w:szCs w:val="16"/>
              </w:rPr>
            </w:pPr>
            <w:r w:rsidRPr="00872BBC">
              <w:rPr>
                <w:sz w:val="16"/>
                <w:szCs w:val="16"/>
              </w:rPr>
              <w:t>Financially disadvantaged and homeless</w:t>
            </w:r>
          </w:p>
        </w:tc>
      </w:tr>
      <w:tr w:rsidR="00D44B9F" w:rsidRPr="00872BBC" w14:paraId="092F182B" w14:textId="77777777" w:rsidTr="000246FB">
        <w:tc>
          <w:tcPr>
            <w:cnfStyle w:val="001000000000" w:firstRow="0" w:lastRow="0" w:firstColumn="1" w:lastColumn="0" w:oddVBand="0" w:evenVBand="0" w:oddHBand="0" w:evenHBand="0" w:firstRowFirstColumn="0" w:firstRowLastColumn="0" w:lastRowFirstColumn="0" w:lastRowLastColumn="0"/>
            <w:tcW w:w="9639" w:type="dxa"/>
            <w:gridSpan w:val="4"/>
            <w:shd w:val="clear" w:color="auto" w:fill="C60C30" w:themeFill="accent2"/>
          </w:tcPr>
          <w:p w14:paraId="469CD1F2" w14:textId="77777777" w:rsidR="00D44B9F" w:rsidRPr="00872BBC" w:rsidRDefault="00D44B9F" w:rsidP="006E5311">
            <w:pPr>
              <w:pStyle w:val="BodyText"/>
              <w:spacing w:before="0" w:after="0"/>
              <w:rPr>
                <w:sz w:val="16"/>
                <w:szCs w:val="16"/>
              </w:rPr>
            </w:pPr>
            <w:r w:rsidRPr="00872BBC">
              <w:rPr>
                <w:sz w:val="16"/>
                <w:szCs w:val="16"/>
              </w:rPr>
              <w:t>Barriers</w:t>
            </w:r>
          </w:p>
        </w:tc>
      </w:tr>
      <w:tr w:rsidR="00B57B75" w:rsidRPr="00872BBC" w14:paraId="787EDE0C" w14:textId="77777777" w:rsidTr="00024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shd w:val="clear" w:color="auto" w:fill="FFFFFF" w:themeFill="background1"/>
          </w:tcPr>
          <w:p w14:paraId="6EBEE8A2" w14:textId="77777777" w:rsidR="00D44B9F" w:rsidRPr="00872BBC" w:rsidRDefault="00D44B9F" w:rsidP="00A969C1">
            <w:pPr>
              <w:pStyle w:val="ListBullet"/>
              <w:rPr>
                <w:b w:val="0"/>
                <w:bCs/>
                <w:color w:val="auto"/>
                <w:sz w:val="16"/>
                <w:szCs w:val="16"/>
              </w:rPr>
            </w:pPr>
            <w:r w:rsidRPr="00872BBC">
              <w:rPr>
                <w:b w:val="0"/>
                <w:bCs/>
                <w:color w:val="auto"/>
                <w:sz w:val="16"/>
                <w:szCs w:val="16"/>
              </w:rPr>
              <w:t>Longer handling and delivery times compared to metro areas.</w:t>
            </w:r>
          </w:p>
          <w:p w14:paraId="2CEF85D7" w14:textId="77777777" w:rsidR="00D44B9F" w:rsidRPr="00872BBC" w:rsidRDefault="00D44B9F" w:rsidP="00A969C1">
            <w:pPr>
              <w:pStyle w:val="ListBullet"/>
              <w:rPr>
                <w:b w:val="0"/>
                <w:bCs/>
                <w:color w:val="auto"/>
                <w:sz w:val="16"/>
                <w:szCs w:val="16"/>
              </w:rPr>
            </w:pPr>
            <w:r w:rsidRPr="00872BBC">
              <w:rPr>
                <w:b w:val="0"/>
                <w:bCs/>
                <w:color w:val="auto"/>
                <w:sz w:val="16"/>
                <w:szCs w:val="16"/>
              </w:rPr>
              <w:t>Large distances to Associations to drop in and collect supplies or seek advice.</w:t>
            </w:r>
          </w:p>
          <w:p w14:paraId="7BEE4DA9" w14:textId="77777777" w:rsidR="00D44B9F" w:rsidRPr="00872BBC" w:rsidRDefault="00D44B9F" w:rsidP="00A969C1">
            <w:pPr>
              <w:pStyle w:val="ListBullet"/>
              <w:rPr>
                <w:b w:val="0"/>
                <w:bCs/>
                <w:color w:val="auto"/>
                <w:sz w:val="16"/>
                <w:szCs w:val="16"/>
              </w:rPr>
            </w:pPr>
            <w:r w:rsidRPr="00872BBC">
              <w:rPr>
                <w:b w:val="0"/>
                <w:bCs/>
                <w:color w:val="auto"/>
                <w:sz w:val="16"/>
                <w:szCs w:val="16"/>
              </w:rPr>
              <w:t>Fewer STNs in regional/remote areas and long wait times/ high cost to access the clinical workforce.</w:t>
            </w:r>
          </w:p>
          <w:p w14:paraId="00265452" w14:textId="77777777" w:rsidR="00D44B9F" w:rsidRPr="00872BBC" w:rsidRDefault="00D44B9F" w:rsidP="00A969C1">
            <w:pPr>
              <w:pStyle w:val="ListBullet"/>
              <w:rPr>
                <w:b w:val="0"/>
                <w:bCs/>
                <w:color w:val="auto"/>
                <w:sz w:val="16"/>
                <w:szCs w:val="16"/>
              </w:rPr>
            </w:pPr>
            <w:r w:rsidRPr="00872BBC">
              <w:rPr>
                <w:b w:val="0"/>
                <w:bCs/>
                <w:color w:val="auto"/>
                <w:sz w:val="16"/>
                <w:szCs w:val="16"/>
              </w:rPr>
              <w:t>Stoic attitude delaying access to clinical support when complications arise.</w:t>
            </w:r>
          </w:p>
        </w:tc>
        <w:tc>
          <w:tcPr>
            <w:tcW w:w="2410" w:type="dxa"/>
            <w:shd w:val="clear" w:color="auto" w:fill="FFFFFF" w:themeFill="background1"/>
          </w:tcPr>
          <w:p w14:paraId="597D6E15" w14:textId="77777777" w:rsidR="00D44B9F" w:rsidRPr="00872BBC" w:rsidRDefault="00D44B9F" w:rsidP="00A969C1">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872BBC">
              <w:rPr>
                <w:sz w:val="16"/>
                <w:szCs w:val="16"/>
              </w:rPr>
              <w:t>Difficulty navigating ordering processes if English is not first language.</w:t>
            </w:r>
          </w:p>
          <w:p w14:paraId="3BF5007C" w14:textId="77777777" w:rsidR="00D44B9F" w:rsidRPr="00872BBC" w:rsidRDefault="00D44B9F" w:rsidP="00A969C1">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872BBC">
              <w:rPr>
                <w:sz w:val="16"/>
                <w:szCs w:val="16"/>
              </w:rPr>
              <w:t>Health literacy if translated information isn’t accessible.</w:t>
            </w:r>
          </w:p>
          <w:p w14:paraId="412069A4" w14:textId="77777777" w:rsidR="00D44B9F" w:rsidRPr="00872BBC" w:rsidRDefault="00D44B9F" w:rsidP="00A969C1">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872BBC">
              <w:rPr>
                <w:sz w:val="16"/>
                <w:szCs w:val="16"/>
              </w:rPr>
              <w:t>Culturally appropriate and accessible community education and health support.</w:t>
            </w:r>
          </w:p>
        </w:tc>
        <w:tc>
          <w:tcPr>
            <w:tcW w:w="2410" w:type="dxa"/>
            <w:shd w:val="clear" w:color="auto" w:fill="FFFFFF" w:themeFill="background1"/>
          </w:tcPr>
          <w:p w14:paraId="13819531" w14:textId="77777777" w:rsidR="00D44B9F" w:rsidRPr="00872BBC" w:rsidRDefault="00D44B9F" w:rsidP="00A969C1">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872BBC">
              <w:rPr>
                <w:sz w:val="16"/>
                <w:szCs w:val="16"/>
              </w:rPr>
              <w:t>Difficulty navigating ordering processes if English is not first language.</w:t>
            </w:r>
          </w:p>
          <w:p w14:paraId="6D453FC1" w14:textId="77777777" w:rsidR="00D44B9F" w:rsidRPr="00872BBC" w:rsidRDefault="00D44B9F" w:rsidP="00A969C1">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872BBC">
              <w:rPr>
                <w:sz w:val="16"/>
                <w:szCs w:val="16"/>
              </w:rPr>
              <w:t>Health literacy if information designed for First Nations people isn’t accessible.</w:t>
            </w:r>
          </w:p>
          <w:p w14:paraId="14ABCFD8" w14:textId="77777777" w:rsidR="00D44B9F" w:rsidRPr="00872BBC" w:rsidRDefault="00D44B9F" w:rsidP="00A969C1">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872BBC">
              <w:rPr>
                <w:sz w:val="16"/>
                <w:szCs w:val="16"/>
              </w:rPr>
              <w:t>Lack of a permanent address to post supplies to if living in community.</w:t>
            </w:r>
          </w:p>
          <w:p w14:paraId="1E514758" w14:textId="77777777" w:rsidR="00D44B9F" w:rsidRPr="00872BBC" w:rsidRDefault="00D44B9F" w:rsidP="00A969C1">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872BBC">
              <w:rPr>
                <w:sz w:val="16"/>
                <w:szCs w:val="16"/>
              </w:rPr>
              <w:t>Access to technology to complete ordering and/or access additional supply forms</w:t>
            </w:r>
          </w:p>
        </w:tc>
        <w:tc>
          <w:tcPr>
            <w:tcW w:w="2410" w:type="dxa"/>
            <w:shd w:val="clear" w:color="auto" w:fill="FFFFFF" w:themeFill="background1"/>
          </w:tcPr>
          <w:p w14:paraId="2F2AC573" w14:textId="77777777" w:rsidR="00D44B9F" w:rsidRPr="00872BBC" w:rsidRDefault="00D44B9F" w:rsidP="00A969C1">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872BBC">
              <w:rPr>
                <w:sz w:val="16"/>
                <w:szCs w:val="16"/>
              </w:rPr>
              <w:t>Lack of funds to pay association membership fees.</w:t>
            </w:r>
          </w:p>
          <w:p w14:paraId="16E59563" w14:textId="77777777" w:rsidR="00D44B9F" w:rsidRPr="00872BBC" w:rsidRDefault="00D44B9F" w:rsidP="00A969C1">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872BBC">
              <w:rPr>
                <w:sz w:val="16"/>
                <w:szCs w:val="16"/>
              </w:rPr>
              <w:t>Lack of a permanent address to post supplies to if homeless or moving around.</w:t>
            </w:r>
          </w:p>
          <w:p w14:paraId="00A0AAD2" w14:textId="77777777" w:rsidR="00D44B9F" w:rsidRPr="00872BBC" w:rsidRDefault="00D44B9F" w:rsidP="00A969C1">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872BBC">
              <w:rPr>
                <w:sz w:val="16"/>
                <w:szCs w:val="16"/>
              </w:rPr>
              <w:t>Storage of supplies in a safe location that can be accessed continuously.</w:t>
            </w:r>
          </w:p>
          <w:p w14:paraId="2EC5E214" w14:textId="1E8D10A1" w:rsidR="00D44B9F" w:rsidRPr="00872BBC" w:rsidRDefault="00D44B9F" w:rsidP="00A969C1">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872BBC">
              <w:rPr>
                <w:sz w:val="16"/>
                <w:szCs w:val="16"/>
              </w:rPr>
              <w:t>Lack of funds to pay out</w:t>
            </w:r>
            <w:r w:rsidR="003A664D">
              <w:rPr>
                <w:sz w:val="16"/>
                <w:szCs w:val="16"/>
              </w:rPr>
              <w:t>-</w:t>
            </w:r>
            <w:r w:rsidRPr="00872BBC">
              <w:rPr>
                <w:sz w:val="16"/>
                <w:szCs w:val="16"/>
              </w:rPr>
              <w:t>of</w:t>
            </w:r>
            <w:r w:rsidR="003A664D">
              <w:rPr>
                <w:sz w:val="16"/>
                <w:szCs w:val="16"/>
              </w:rPr>
              <w:t>-</w:t>
            </w:r>
            <w:r w:rsidRPr="00872BBC">
              <w:rPr>
                <w:sz w:val="16"/>
                <w:szCs w:val="16"/>
              </w:rPr>
              <w:t xml:space="preserve">pocket costs for handling fees, clinical </w:t>
            </w:r>
            <w:proofErr w:type="gramStart"/>
            <w:r w:rsidRPr="00872BBC">
              <w:rPr>
                <w:sz w:val="16"/>
                <w:szCs w:val="16"/>
              </w:rPr>
              <w:t>care</w:t>
            </w:r>
            <w:proofErr w:type="gramEnd"/>
            <w:r w:rsidRPr="00872BBC">
              <w:rPr>
                <w:sz w:val="16"/>
                <w:szCs w:val="16"/>
              </w:rPr>
              <w:t xml:space="preserve"> or additional equipment.</w:t>
            </w:r>
          </w:p>
        </w:tc>
      </w:tr>
      <w:tr w:rsidR="00D44B9F" w:rsidRPr="00872BBC" w14:paraId="09905D10" w14:textId="77777777" w:rsidTr="000246FB">
        <w:tc>
          <w:tcPr>
            <w:cnfStyle w:val="001000000000" w:firstRow="0" w:lastRow="0" w:firstColumn="1" w:lastColumn="0" w:oddVBand="0" w:evenVBand="0" w:oddHBand="0" w:evenHBand="0" w:firstRowFirstColumn="0" w:firstRowLastColumn="0" w:lastRowFirstColumn="0" w:lastRowLastColumn="0"/>
            <w:tcW w:w="9639" w:type="dxa"/>
            <w:gridSpan w:val="4"/>
            <w:shd w:val="clear" w:color="auto" w:fill="C60C30" w:themeFill="accent2"/>
          </w:tcPr>
          <w:p w14:paraId="36197453" w14:textId="77777777" w:rsidR="00D44B9F" w:rsidRPr="00872BBC" w:rsidRDefault="00D44B9F" w:rsidP="006E5311">
            <w:pPr>
              <w:pStyle w:val="BodyText"/>
              <w:spacing w:before="0" w:after="0"/>
              <w:rPr>
                <w:sz w:val="16"/>
                <w:szCs w:val="16"/>
              </w:rPr>
            </w:pPr>
            <w:r w:rsidRPr="00872BBC">
              <w:rPr>
                <w:sz w:val="16"/>
                <w:szCs w:val="16"/>
              </w:rPr>
              <w:t xml:space="preserve">Enablers </w:t>
            </w:r>
          </w:p>
        </w:tc>
      </w:tr>
      <w:tr w:rsidR="00B57B75" w:rsidRPr="00872BBC" w14:paraId="563CBCE4" w14:textId="77777777" w:rsidTr="00024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shd w:val="clear" w:color="auto" w:fill="FFFFFF" w:themeFill="background1"/>
          </w:tcPr>
          <w:p w14:paraId="024ED82D" w14:textId="77777777" w:rsidR="00D44B9F" w:rsidRPr="00872BBC" w:rsidRDefault="00D44B9F" w:rsidP="00A969C1">
            <w:pPr>
              <w:pStyle w:val="ListBullet"/>
              <w:rPr>
                <w:b w:val="0"/>
                <w:bCs/>
                <w:color w:val="auto"/>
                <w:sz w:val="16"/>
                <w:szCs w:val="16"/>
              </w:rPr>
            </w:pPr>
            <w:r w:rsidRPr="00872BBC">
              <w:rPr>
                <w:b w:val="0"/>
                <w:bCs/>
                <w:color w:val="auto"/>
                <w:sz w:val="16"/>
                <w:szCs w:val="16"/>
              </w:rPr>
              <w:t>Telehealth with STN’s in metro areas through local GP</w:t>
            </w:r>
          </w:p>
          <w:p w14:paraId="02E903BE" w14:textId="10D21529" w:rsidR="00D44B9F" w:rsidRPr="00872BBC" w:rsidRDefault="00D44B9F" w:rsidP="00A969C1">
            <w:pPr>
              <w:pStyle w:val="ListBullet"/>
              <w:rPr>
                <w:color w:val="3B0083" w:themeColor="accent1"/>
                <w:sz w:val="16"/>
                <w:szCs w:val="16"/>
              </w:rPr>
            </w:pPr>
            <w:r w:rsidRPr="00872BBC">
              <w:rPr>
                <w:b w:val="0"/>
                <w:bCs/>
                <w:color w:val="auto"/>
                <w:sz w:val="16"/>
                <w:szCs w:val="16"/>
              </w:rPr>
              <w:t>Advice from associations about delivery timeframes</w:t>
            </w:r>
          </w:p>
        </w:tc>
        <w:tc>
          <w:tcPr>
            <w:tcW w:w="2410" w:type="dxa"/>
            <w:shd w:val="clear" w:color="auto" w:fill="FFFFFF" w:themeFill="background1"/>
          </w:tcPr>
          <w:p w14:paraId="404142AD" w14:textId="77777777" w:rsidR="00D44B9F" w:rsidRPr="00872BBC" w:rsidRDefault="00D44B9F" w:rsidP="00A969C1">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872BBC">
              <w:rPr>
                <w:sz w:val="16"/>
                <w:szCs w:val="16"/>
              </w:rPr>
              <w:t>Translator services in hospitals</w:t>
            </w:r>
          </w:p>
          <w:p w14:paraId="22A7B899" w14:textId="77777777" w:rsidR="00D44B9F" w:rsidRPr="00872BBC" w:rsidRDefault="00D44B9F" w:rsidP="00A969C1">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872BBC">
              <w:rPr>
                <w:sz w:val="16"/>
                <w:szCs w:val="16"/>
              </w:rPr>
              <w:t xml:space="preserve">Translated information and support </w:t>
            </w:r>
            <w:proofErr w:type="gramStart"/>
            <w:r w:rsidRPr="00872BBC">
              <w:rPr>
                <w:sz w:val="16"/>
                <w:szCs w:val="16"/>
              </w:rPr>
              <w:t>material</w:t>
            </w:r>
            <w:proofErr w:type="gramEnd"/>
          </w:p>
          <w:p w14:paraId="17619695" w14:textId="77777777" w:rsidR="00D44B9F" w:rsidRPr="00872BBC" w:rsidRDefault="00D44B9F" w:rsidP="00A969C1">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872BBC">
              <w:rPr>
                <w:sz w:val="16"/>
                <w:szCs w:val="16"/>
              </w:rPr>
              <w:t xml:space="preserve">Opportunity to drop into associations </w:t>
            </w:r>
          </w:p>
        </w:tc>
        <w:tc>
          <w:tcPr>
            <w:tcW w:w="2410" w:type="dxa"/>
            <w:shd w:val="clear" w:color="auto" w:fill="FFFFFF" w:themeFill="background1"/>
          </w:tcPr>
          <w:p w14:paraId="15DA932B" w14:textId="77777777" w:rsidR="00D44B9F" w:rsidRPr="00872BBC" w:rsidRDefault="00D44B9F" w:rsidP="00A969C1">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872BBC">
              <w:rPr>
                <w:sz w:val="16"/>
                <w:szCs w:val="16"/>
              </w:rPr>
              <w:t>Aboriginal Health workers who provide support and advice in a culturally appropriate way</w:t>
            </w:r>
          </w:p>
          <w:p w14:paraId="7D4CA592" w14:textId="77777777" w:rsidR="00D44B9F" w:rsidRPr="00872BBC" w:rsidRDefault="00D44B9F" w:rsidP="00A969C1">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872BBC">
              <w:rPr>
                <w:sz w:val="16"/>
                <w:szCs w:val="16"/>
              </w:rPr>
              <w:t>Indigenous health services acting as the delivery point for stoma supplies for those with a non-permanent address</w:t>
            </w:r>
          </w:p>
        </w:tc>
        <w:tc>
          <w:tcPr>
            <w:tcW w:w="2410" w:type="dxa"/>
            <w:shd w:val="clear" w:color="auto" w:fill="FFFFFF" w:themeFill="background1"/>
          </w:tcPr>
          <w:p w14:paraId="3388A47B" w14:textId="683A0FB2" w:rsidR="00D44B9F" w:rsidRPr="00872BBC" w:rsidRDefault="00D44B9F" w:rsidP="00A969C1">
            <w:pPr>
              <w:pStyle w:val="ListBullet"/>
              <w:cnfStyle w:val="000000010000" w:firstRow="0" w:lastRow="0" w:firstColumn="0" w:lastColumn="0" w:oddVBand="0" w:evenVBand="0" w:oddHBand="0" w:evenHBand="1" w:firstRowFirstColumn="0" w:firstRowLastColumn="0" w:lastRowFirstColumn="0" w:lastRowLastColumn="0"/>
              <w:rPr>
                <w:color w:val="0D0D0D" w:themeColor="text1" w:themeTint="F2"/>
                <w:sz w:val="16"/>
                <w:szCs w:val="16"/>
              </w:rPr>
            </w:pPr>
            <w:r w:rsidRPr="00872BBC">
              <w:rPr>
                <w:sz w:val="16"/>
                <w:szCs w:val="16"/>
              </w:rPr>
              <w:t xml:space="preserve">Social workers who pay association membership fees to ensure supplies can be </w:t>
            </w:r>
            <w:proofErr w:type="gramStart"/>
            <w:r w:rsidRPr="00872BBC">
              <w:rPr>
                <w:sz w:val="16"/>
                <w:szCs w:val="16"/>
              </w:rPr>
              <w:t>accessed</w:t>
            </w:r>
            <w:proofErr w:type="gramEnd"/>
          </w:p>
          <w:p w14:paraId="1C1AC4C6" w14:textId="3F45A325" w:rsidR="00D44B9F" w:rsidRPr="00872BBC" w:rsidRDefault="00D44B9F" w:rsidP="00A969C1">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872BBC">
              <w:rPr>
                <w:sz w:val="16"/>
                <w:szCs w:val="16"/>
              </w:rPr>
              <w:t xml:space="preserve">STNs who keep emergency </w:t>
            </w:r>
            <w:proofErr w:type="gramStart"/>
            <w:r w:rsidRPr="00872BBC">
              <w:rPr>
                <w:sz w:val="16"/>
                <w:szCs w:val="16"/>
              </w:rPr>
              <w:t>supplies</w:t>
            </w:r>
            <w:proofErr w:type="gramEnd"/>
          </w:p>
          <w:p w14:paraId="49FBA6D9" w14:textId="77777777" w:rsidR="00D44B9F" w:rsidRPr="00872BBC" w:rsidRDefault="00D44B9F" w:rsidP="00A969C1">
            <w:pPr>
              <w:pStyle w:val="ListBullet"/>
              <w:cnfStyle w:val="000000010000" w:firstRow="0" w:lastRow="0" w:firstColumn="0" w:lastColumn="0" w:oddVBand="0" w:evenVBand="0" w:oddHBand="0" w:evenHBand="1" w:firstRowFirstColumn="0" w:firstRowLastColumn="0" w:lastRowFirstColumn="0" w:lastRowLastColumn="0"/>
              <w:rPr>
                <w:sz w:val="16"/>
                <w:szCs w:val="16"/>
              </w:rPr>
            </w:pPr>
            <w:r w:rsidRPr="00872BBC">
              <w:rPr>
                <w:sz w:val="16"/>
                <w:szCs w:val="16"/>
              </w:rPr>
              <w:t>Temporary housing facilities or clinics acting as the delivery point for those with non-permanent addresses</w:t>
            </w:r>
          </w:p>
        </w:tc>
      </w:tr>
    </w:tbl>
    <w:p w14:paraId="7327681E" w14:textId="6D9089D8" w:rsidR="00D44B9F" w:rsidRDefault="00D44B9F" w:rsidP="00D44B9F">
      <w:pPr>
        <w:pStyle w:val="Heading2"/>
      </w:pPr>
      <w:r w:rsidRPr="00DA052A">
        <w:lastRenderedPageBreak/>
        <w:t>Proportion of eligible ostomates from marginalised groups accessing the Scheme</w:t>
      </w:r>
    </w:p>
    <w:p w14:paraId="49D23950" w14:textId="5D0527A4" w:rsidR="00D44B9F" w:rsidRPr="002B285C" w:rsidRDefault="00C316C3" w:rsidP="002B285C">
      <w:pPr>
        <w:pStyle w:val="BodyText"/>
      </w:pPr>
      <w:bookmarkStart w:id="39" w:name="_Ref157003147"/>
      <w:r w:rsidRPr="002B285C">
        <w:t>P</w:t>
      </w:r>
      <w:r w:rsidR="00EF36DF">
        <w:t>BS</w:t>
      </w:r>
      <w:r w:rsidR="00D44B9F" w:rsidRPr="002B285C">
        <w:t xml:space="preserve"> data from 2022-23 was analysed to understand the proportion of eligible ostomates from marginalised groups accessing the Scheme.</w:t>
      </w:r>
    </w:p>
    <w:p w14:paraId="20ED99FE" w14:textId="5FCD6CBC" w:rsidR="00D44B9F" w:rsidRPr="002B285C" w:rsidRDefault="00D44B9F" w:rsidP="002B285C">
      <w:pPr>
        <w:pStyle w:val="BodyText"/>
      </w:pPr>
      <w:r w:rsidRPr="002B285C">
        <w:t xml:space="preserve">The available data allowed an analysis of ostomate orders by Modified Monash Model (MMM), to understand the proportion of ostomates living in rural and </w:t>
      </w:r>
      <w:r w:rsidRPr="00D31DA4">
        <w:t>remote areas.</w:t>
      </w:r>
      <w:r w:rsidR="00C316C3" w:rsidRPr="00A50804">
        <w:rPr>
          <w:rStyle w:val="FootnoteReference"/>
          <w:b w:val="0"/>
          <w:color w:val="auto"/>
        </w:rPr>
        <w:footnoteReference w:id="16"/>
      </w:r>
      <w:r w:rsidRPr="00D31DA4">
        <w:t xml:space="preserve"> </w:t>
      </w:r>
      <w:r w:rsidR="00A8747E" w:rsidRPr="00D31DA4">
        <w:fldChar w:fldCharType="begin"/>
      </w:r>
      <w:r w:rsidR="00A8747E" w:rsidRPr="00D31DA4">
        <w:instrText xml:space="preserve"> REF _Ref157092904 \h </w:instrText>
      </w:r>
      <w:r w:rsidR="002B285C" w:rsidRPr="00D31DA4">
        <w:instrText xml:space="preserve"> \* MERGEFORMAT </w:instrText>
      </w:r>
      <w:r w:rsidR="00A8747E" w:rsidRPr="00D31DA4">
        <w:fldChar w:fldCharType="separate"/>
      </w:r>
      <w:r w:rsidR="00FE1418">
        <w:t xml:space="preserve">Figure </w:t>
      </w:r>
      <w:r w:rsidR="00FE1418">
        <w:rPr>
          <w:noProof/>
        </w:rPr>
        <w:t>6</w:t>
      </w:r>
      <w:r w:rsidR="00A8747E" w:rsidRPr="00D31DA4">
        <w:fldChar w:fldCharType="end"/>
      </w:r>
      <w:r w:rsidR="00A8747E" w:rsidRPr="00D31DA4">
        <w:t xml:space="preserve"> </w:t>
      </w:r>
      <w:r w:rsidRPr="00D31DA4">
        <w:t>illustrates the MM</w:t>
      </w:r>
      <w:r w:rsidR="007F3D17" w:rsidRPr="00D31DA4">
        <w:t>M</w:t>
      </w:r>
      <w:r w:rsidRPr="00D31DA4">
        <w:t xml:space="preserve"> classifications of ostomates accessing the Scheme, with 72% (35,096) living in </w:t>
      </w:r>
      <w:r w:rsidR="007F3D17" w:rsidRPr="00D31DA4">
        <w:t>M</w:t>
      </w:r>
      <w:r w:rsidRPr="00D31DA4">
        <w:t>M 1 or 2, and 28% (13,829) living in rural or remote areas (</w:t>
      </w:r>
      <w:r w:rsidR="007F3D17" w:rsidRPr="00D31DA4">
        <w:t>M</w:t>
      </w:r>
      <w:r w:rsidRPr="00D31DA4">
        <w:t>M 3 to 7).</w:t>
      </w:r>
    </w:p>
    <w:p w14:paraId="2A738435" w14:textId="0560DB6F" w:rsidR="00A8747E" w:rsidRDefault="00A8747E" w:rsidP="002010BC">
      <w:pPr>
        <w:pStyle w:val="Caption"/>
      </w:pPr>
      <w:bookmarkStart w:id="40" w:name="_Ref157092904"/>
      <w:bookmarkStart w:id="41" w:name="_Toc161743130"/>
      <w:bookmarkEnd w:id="39"/>
      <w:r>
        <w:t xml:space="preserve">Figure </w:t>
      </w:r>
      <w:r>
        <w:fldChar w:fldCharType="begin"/>
      </w:r>
      <w:r>
        <w:instrText xml:space="preserve"> SEQ Figure \* ARABIC </w:instrText>
      </w:r>
      <w:r>
        <w:fldChar w:fldCharType="separate"/>
      </w:r>
      <w:r w:rsidR="00FE1418">
        <w:rPr>
          <w:noProof/>
        </w:rPr>
        <w:t>6</w:t>
      </w:r>
      <w:r>
        <w:rPr>
          <w:noProof/>
        </w:rPr>
        <w:fldChar w:fldCharType="end"/>
      </w:r>
      <w:bookmarkEnd w:id="40"/>
      <w:r>
        <w:t xml:space="preserve">: </w:t>
      </w:r>
      <w:r w:rsidRPr="00827A60">
        <w:t xml:space="preserve">Ostomate access by </w:t>
      </w:r>
      <w:proofErr w:type="gramStart"/>
      <w:r w:rsidRPr="00827A60">
        <w:t>MMM</w:t>
      </w:r>
      <w:bookmarkEnd w:id="41"/>
      <w:proofErr w:type="gramEnd"/>
    </w:p>
    <w:p w14:paraId="3F92C9E0" w14:textId="77777777" w:rsidR="00580AF7" w:rsidRDefault="00722786" w:rsidP="004A6D7B">
      <w:pPr>
        <w:spacing w:before="0" w:after="0"/>
        <w:rPr>
          <w:sz w:val="16"/>
          <w:szCs w:val="16"/>
        </w:rPr>
      </w:pPr>
      <w:r>
        <w:rPr>
          <w:noProof/>
        </w:rPr>
        <w:drawing>
          <wp:inline distT="0" distB="0" distL="0" distR="0" wp14:anchorId="5BDCC3C3" wp14:editId="66E774DD">
            <wp:extent cx="5633085" cy="2641600"/>
            <wp:effectExtent l="0" t="0" r="5715" b="6350"/>
            <wp:docPr id="928666915" name="Picture 2" descr="Figure 6: Ostomate access by M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66915" name="Picture 2" descr="Figure 6: Ostomate access by MM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3085" cy="2641600"/>
                    </a:xfrm>
                    <a:prstGeom prst="rect">
                      <a:avLst/>
                    </a:prstGeom>
                    <a:noFill/>
                  </pic:spPr>
                </pic:pic>
              </a:graphicData>
            </a:graphic>
          </wp:inline>
        </w:drawing>
      </w:r>
    </w:p>
    <w:p w14:paraId="5EE43708" w14:textId="526D20DE" w:rsidR="00740FD5" w:rsidRPr="002B285C" w:rsidRDefault="00D44B9F" w:rsidP="000E7601">
      <w:pPr>
        <w:pStyle w:val="Source"/>
      </w:pPr>
      <w:r w:rsidRPr="002557C9">
        <w:rPr>
          <w:color w:val="auto"/>
        </w:rPr>
        <w:t xml:space="preserve">Note: 1076 ostomates had no location information (excluded here). 1205 ostomates had multiple location entries, so will be double counted in the above figures. Further, the Department has flagged potential double counting of some ostomates due to patient ID data. </w:t>
      </w:r>
      <w:r w:rsidR="00740FD5" w:rsidRPr="002557C9">
        <w:rPr>
          <w:color w:val="auto"/>
        </w:rPr>
        <w:t>Source: PBS data</w:t>
      </w:r>
    </w:p>
    <w:p w14:paraId="402100C9" w14:textId="77777777" w:rsidR="002757C8" w:rsidRDefault="002757C8" w:rsidP="002757C8">
      <w:pPr>
        <w:pStyle w:val="Heading1"/>
      </w:pPr>
      <w:bookmarkStart w:id="42" w:name="_Toc156898588"/>
      <w:bookmarkStart w:id="43" w:name="_Toc161743092"/>
      <w:r>
        <w:lastRenderedPageBreak/>
        <w:t>The Scheme Schedule</w:t>
      </w:r>
      <w:bookmarkEnd w:id="42"/>
      <w:bookmarkEnd w:id="43"/>
    </w:p>
    <w:p w14:paraId="127FD637" w14:textId="306601C9" w:rsidR="002757C8" w:rsidRPr="002B285C" w:rsidRDefault="002757C8" w:rsidP="002B285C">
      <w:pPr>
        <w:pStyle w:val="BodyText"/>
      </w:pPr>
      <w:r w:rsidRPr="002B285C">
        <w:t xml:space="preserve">This Chapter provides an overview of the products available on the Schedule, and details issues and feedback related to the products and applications on the Schedule. </w:t>
      </w:r>
      <w:r w:rsidR="00F00E3A">
        <w:t xml:space="preserve">It also </w:t>
      </w:r>
      <w:r w:rsidR="00F00E3A" w:rsidRPr="002B285C">
        <w:t>evaluates the appropriateness of certain products available on the Scheme for ostomates, with a focus on their clinical efficacy and alignment with established guidelines for stoma care.</w:t>
      </w:r>
    </w:p>
    <w:p w14:paraId="21F089BE" w14:textId="77777777" w:rsidR="002757C8" w:rsidRDefault="002757C8" w:rsidP="002757C8">
      <w:pPr>
        <w:pStyle w:val="Heading2"/>
      </w:pPr>
      <w:r>
        <w:t>Product range</w:t>
      </w:r>
    </w:p>
    <w:p w14:paraId="6F574D10" w14:textId="77777777" w:rsidR="00AB1DF9" w:rsidRDefault="00AB1DF9" w:rsidP="00AB1DF9">
      <w:pPr>
        <w:pStyle w:val="BodyText"/>
      </w:pPr>
      <w:r w:rsidRPr="002B285C">
        <w:rPr>
          <w:shd w:val="clear" w:color="auto" w:fill="FFFFFF"/>
        </w:rPr>
        <w:t>The objective of the Scheme is providing subsidised appliances and products to eligible ostomates. The Schedule lists all stoma products and appliances that are subsidised.</w:t>
      </w:r>
      <w:r w:rsidRPr="00A50804">
        <w:rPr>
          <w:rStyle w:val="FootnoteReference"/>
          <w:b w:val="0"/>
          <w:bCs/>
          <w:color w:val="auto"/>
          <w:shd w:val="clear" w:color="auto" w:fill="FFFFFF"/>
        </w:rPr>
        <w:footnoteReference w:id="17"/>
      </w:r>
      <w:r w:rsidRPr="002B285C">
        <w:rPr>
          <w:shd w:val="clear" w:color="auto" w:fill="FFFFFF"/>
        </w:rPr>
        <w:t xml:space="preserve"> </w:t>
      </w:r>
      <w:r w:rsidRPr="002B285C">
        <w:t>While there have been reviews of specific sub</w:t>
      </w:r>
      <w:r>
        <w:t>groups</w:t>
      </w:r>
      <w:r w:rsidRPr="002B285C">
        <w:t xml:space="preserve"> or products on the Scheme Schedule, there has been no comprehensive review of all products, </w:t>
      </w:r>
      <w:proofErr w:type="gramStart"/>
      <w:r w:rsidRPr="002B285C">
        <w:t>pricing</w:t>
      </w:r>
      <w:proofErr w:type="gramEnd"/>
      <w:r w:rsidRPr="002B285C">
        <w:t xml:space="preserve"> and groups since 2010.</w:t>
      </w:r>
    </w:p>
    <w:p w14:paraId="23E106C8" w14:textId="618859B3" w:rsidR="002757C8" w:rsidRDefault="00C316C3" w:rsidP="002B285C">
      <w:pPr>
        <w:pStyle w:val="BodyText"/>
      </w:pPr>
      <w:r>
        <w:t>T</w:t>
      </w:r>
      <w:r w:rsidR="002757C8">
        <w:t>he Scheme’s Schedule provides approximately 3,600 products and appliances to support ostomates manage and care for their stoma.</w:t>
      </w:r>
    </w:p>
    <w:p w14:paraId="0ACDE872" w14:textId="50B5E8B5" w:rsidR="002757C8" w:rsidRDefault="002757C8" w:rsidP="002B285C">
      <w:pPr>
        <w:pStyle w:val="BodyText"/>
      </w:pPr>
      <w:r>
        <w:t>With the range of products available on the Scheme’s Schedule, m</w:t>
      </w:r>
      <w:r w:rsidRPr="00A55F74">
        <w:t xml:space="preserve">any stakeholders agreed that the wide </w:t>
      </w:r>
      <w:r>
        <w:t>availability and range</w:t>
      </w:r>
      <w:r w:rsidRPr="00A55F74">
        <w:t xml:space="preserve"> of </w:t>
      </w:r>
      <w:r>
        <w:t>appliances</w:t>
      </w:r>
      <w:r w:rsidRPr="00A55F74">
        <w:t xml:space="preserve"> </w:t>
      </w:r>
      <w:r>
        <w:t>available to ostomates</w:t>
      </w:r>
      <w:r w:rsidRPr="00A55F74">
        <w:t xml:space="preserve"> were </w:t>
      </w:r>
      <w:r>
        <w:t>required.</w:t>
      </w:r>
      <w:r w:rsidRPr="00A55F74">
        <w:t xml:space="preserve"> </w:t>
      </w:r>
      <w:r>
        <w:t xml:space="preserve">The </w:t>
      </w:r>
      <w:r w:rsidRPr="00A55F74">
        <w:t xml:space="preserve">product </w:t>
      </w:r>
      <w:r>
        <w:t>range was seen as a major benefit of the Schedule</w:t>
      </w:r>
      <w:r w:rsidRPr="00A55F74">
        <w:t>, especially it support</w:t>
      </w:r>
      <w:r>
        <w:t>s</w:t>
      </w:r>
      <w:r w:rsidRPr="00A55F74">
        <w:t xml:space="preserve"> patient choice</w:t>
      </w:r>
      <w:r>
        <w:t>, individual needs,</w:t>
      </w:r>
      <w:r w:rsidRPr="00A55F74">
        <w:t xml:space="preserve"> and preference when it came to caring and managing their stoma.</w:t>
      </w:r>
    </w:p>
    <w:p w14:paraId="185B2353" w14:textId="496BE5D5" w:rsidR="002757C8" w:rsidRDefault="002757C8" w:rsidP="002B285C">
      <w:pPr>
        <w:pStyle w:val="BodyText"/>
      </w:pPr>
      <w:r>
        <w:t>M</w:t>
      </w:r>
      <w:r w:rsidRPr="00A55F74">
        <w:t xml:space="preserve">any considerations </w:t>
      </w:r>
      <w:r>
        <w:t>are made</w:t>
      </w:r>
      <w:r w:rsidRPr="00A55F74">
        <w:t xml:space="preserve"> when deciding and trialling which products work best for ostomates, such as their weight, body shape, physicality, job, skin reactivity, mobility, stoma location, and climate. Therefore, </w:t>
      </w:r>
      <w:r>
        <w:t>clinician feedback was that</w:t>
      </w:r>
      <w:r w:rsidRPr="00A55F74">
        <w:t xml:space="preserve"> the wide product range </w:t>
      </w:r>
      <w:r>
        <w:t>is</w:t>
      </w:r>
      <w:r w:rsidRPr="00A55F74">
        <w:t xml:space="preserve"> justified, particularly the product range in core products such as </w:t>
      </w:r>
      <w:r w:rsidR="00014BC6">
        <w:t>pouching systems</w:t>
      </w:r>
      <w:r w:rsidRPr="00A55F74">
        <w:t xml:space="preserve"> which feature a range of different sized and shaped products.</w:t>
      </w:r>
      <w:r>
        <w:t xml:space="preserve"> When comparing the product range to other similar schemes internationally, whereas </w:t>
      </w:r>
      <w:r w:rsidRPr="002E2285">
        <w:t xml:space="preserve">Switzerland and Australia both have </w:t>
      </w:r>
      <w:r>
        <w:t>approximately 3000-4000</w:t>
      </w:r>
      <w:r w:rsidRPr="002E2285">
        <w:t xml:space="preserve"> products on their schemes</w:t>
      </w:r>
      <w:r>
        <w:t>,</w:t>
      </w:r>
      <w:r w:rsidRPr="002E2285">
        <w:t xml:space="preserve"> the UK has over double that (i.e. 8,856).</w:t>
      </w:r>
    </w:p>
    <w:p w14:paraId="7B66ECAF" w14:textId="6DAD38C0" w:rsidR="002757C8" w:rsidRPr="00A55F74" w:rsidRDefault="002757C8" w:rsidP="002B285C">
      <w:pPr>
        <w:pStyle w:val="BodyText"/>
      </w:pPr>
      <w:r>
        <w:t>This is a key consideration when reviewing the pricing methodology, with feedback from stakeholders noting that a tendering approach would not work for the Scheme given the need to maintain the product range of the Schedule.</w:t>
      </w:r>
    </w:p>
    <w:p w14:paraId="3692E4FE" w14:textId="7A496B08" w:rsidR="002757C8" w:rsidRDefault="00581F4B" w:rsidP="002757C8">
      <w:pPr>
        <w:pStyle w:val="Heading2"/>
      </w:pPr>
      <w:r>
        <w:t>Recent Schedule updates</w:t>
      </w:r>
    </w:p>
    <w:p w14:paraId="3C67C202" w14:textId="18B5E1BE" w:rsidR="002757C8" w:rsidRPr="000D7E3A" w:rsidRDefault="002757C8" w:rsidP="002757C8">
      <w:pPr>
        <w:pStyle w:val="BodyText"/>
        <w:rPr>
          <w:bCs/>
        </w:rPr>
      </w:pPr>
      <w:r w:rsidRPr="002B285C">
        <w:t>On 1 October, 2023</w:t>
      </w:r>
      <w:r w:rsidRPr="00A50804">
        <w:rPr>
          <w:rStyle w:val="FootnoteReference"/>
          <w:b w:val="0"/>
          <w:bCs/>
          <w:color w:val="auto"/>
        </w:rPr>
        <w:footnoteReference w:id="18"/>
      </w:r>
      <w:r w:rsidRPr="000D7E3A">
        <w:rPr>
          <w:bCs/>
        </w:rPr>
        <w:t xml:space="preserve"> there were several changes made to the </w:t>
      </w:r>
      <w:r w:rsidR="00C316C3" w:rsidRPr="000D7E3A">
        <w:rPr>
          <w:bCs/>
        </w:rPr>
        <w:t>Scheme</w:t>
      </w:r>
      <w:r w:rsidRPr="000D7E3A">
        <w:rPr>
          <w:bCs/>
        </w:rPr>
        <w:t xml:space="preserve"> </w:t>
      </w:r>
      <w:r w:rsidR="00D63157">
        <w:rPr>
          <w:bCs/>
        </w:rPr>
        <w:t>S</w:t>
      </w:r>
      <w:r w:rsidRPr="000D7E3A">
        <w:rPr>
          <w:bCs/>
        </w:rPr>
        <w:t>chedule including:</w:t>
      </w:r>
    </w:p>
    <w:p w14:paraId="738AA97B" w14:textId="29670527" w:rsidR="002757C8" w:rsidRPr="002B285C" w:rsidRDefault="002757C8" w:rsidP="00E442CB">
      <w:pPr>
        <w:pStyle w:val="ListBullet"/>
        <w:numPr>
          <w:ilvl w:val="0"/>
          <w:numId w:val="22"/>
        </w:numPr>
      </w:pPr>
      <w:r w:rsidRPr="000D7E3A">
        <w:rPr>
          <w:bCs/>
        </w:rPr>
        <w:t>Support Garments</w:t>
      </w:r>
      <w:r w:rsidRPr="00A50804">
        <w:rPr>
          <w:rStyle w:val="FootnoteReference"/>
          <w:b w:val="0"/>
          <w:bCs/>
          <w:color w:val="auto"/>
        </w:rPr>
        <w:footnoteReference w:id="19"/>
      </w:r>
      <w:r w:rsidRPr="002B285C">
        <w:t xml:space="preserve"> were removed (n= 322 products)</w:t>
      </w:r>
    </w:p>
    <w:p w14:paraId="2994BCF6" w14:textId="686C87D2" w:rsidR="002757C8" w:rsidRPr="002B285C" w:rsidRDefault="002757C8" w:rsidP="00E442CB">
      <w:pPr>
        <w:pStyle w:val="ListBullet"/>
        <w:numPr>
          <w:ilvl w:val="0"/>
          <w:numId w:val="22"/>
        </w:numPr>
      </w:pPr>
      <w:r w:rsidRPr="002B285C">
        <w:t>The maximum quantity for Support Belts was changed to a 4 per annum (rather than 3</w:t>
      </w:r>
      <w:r w:rsidR="000275BF">
        <w:t>)</w:t>
      </w:r>
    </w:p>
    <w:p w14:paraId="47FB3193" w14:textId="00C58F03" w:rsidR="002757C8" w:rsidRPr="002B285C" w:rsidRDefault="002757C8" w:rsidP="00E442CB">
      <w:pPr>
        <w:pStyle w:val="ListBullet"/>
        <w:numPr>
          <w:ilvl w:val="0"/>
          <w:numId w:val="22"/>
        </w:numPr>
      </w:pPr>
      <w:r w:rsidRPr="002B285C">
        <w:lastRenderedPageBreak/>
        <w:t>Cleanser Wipes allocation was standardised to a maximum monthly quantity of 60 units</w:t>
      </w:r>
      <w:r w:rsidR="00694845">
        <w:t>/</w:t>
      </w:r>
      <w:r w:rsidRPr="002B285C">
        <w:t>month. The restriction on cleanser wipe products changed from R2 to an R1 restriction.</w:t>
      </w:r>
    </w:p>
    <w:p w14:paraId="30C642E1" w14:textId="00E94BA6" w:rsidR="002757C8" w:rsidRDefault="002757C8" w:rsidP="002B285C">
      <w:pPr>
        <w:pStyle w:val="BodyText"/>
      </w:pPr>
      <w:r>
        <w:t xml:space="preserve">Throughout stakeholder consultations, there were views that these changes were appropriate and did not result in significant cause for concern by ostomates and product suppliers, other than those specifically focused on this space (for example, </w:t>
      </w:r>
      <w:proofErr w:type="spellStart"/>
      <w:r>
        <w:t>Omnigon</w:t>
      </w:r>
      <w:proofErr w:type="spellEnd"/>
      <w:r>
        <w:t xml:space="preserve"> which supplies many support garments and other associated products to the Scheme).</w:t>
      </w:r>
    </w:p>
    <w:p w14:paraId="41008150" w14:textId="3B4D17FB" w:rsidR="002757C8" w:rsidRPr="00E0484A" w:rsidRDefault="002757C8" w:rsidP="002B285C">
      <w:pPr>
        <w:pStyle w:val="BodyText"/>
      </w:pPr>
      <w:r>
        <w:t xml:space="preserve">However, there was still concerns raised about specific product removals from the Scheme such as removal of the 3M </w:t>
      </w:r>
      <w:proofErr w:type="spellStart"/>
      <w:r w:rsidRPr="00EE1C2D">
        <w:t>Cavilon</w:t>
      </w:r>
      <w:proofErr w:type="spellEnd"/>
      <w:r w:rsidRPr="00EE1C2D">
        <w:t xml:space="preserve"> </w:t>
      </w:r>
      <w:r>
        <w:t>No Sting Barrier Film Wipes from 1 July 2018</w:t>
      </w:r>
      <w:r w:rsidR="00E52E63">
        <w:t xml:space="preserve">, which was </w:t>
      </w:r>
      <w:r w:rsidR="00B50492">
        <w:t>removed at the request</w:t>
      </w:r>
      <w:r w:rsidR="00E52E63">
        <w:t xml:space="preserve"> </w:t>
      </w:r>
      <w:r w:rsidR="00B50492">
        <w:t>of</w:t>
      </w:r>
      <w:r w:rsidR="00E52E63">
        <w:t xml:space="preserve"> the supplier</w:t>
      </w:r>
      <w:r>
        <w:t xml:space="preserve">. It was raised </w:t>
      </w:r>
      <w:r w:rsidR="000D7E3A">
        <w:t>several</w:t>
      </w:r>
      <w:r>
        <w:t xml:space="preserve"> times by ostomates, associations and STNs that the removal of this specific product was of concern, as a high-quality product and not replaced on the Scheme by a similar or better alternative in the cleanser wipes category. It was noted by STNs that regular wet wipes – whilst not available on the Schedule – would work as well, and that cleanser wipes were not clinically necessity for stoma care; however, this would result in an out-of-pocket expense for ostomates.</w:t>
      </w:r>
    </w:p>
    <w:p w14:paraId="4B6DB028" w14:textId="141D1030" w:rsidR="002757C8" w:rsidRPr="005E6BF8" w:rsidRDefault="002757C8" w:rsidP="002757C8">
      <w:pPr>
        <w:pStyle w:val="Heading2"/>
      </w:pPr>
      <w:r w:rsidRPr="005E6BF8">
        <w:t>Access to high</w:t>
      </w:r>
      <w:r w:rsidR="001153AC">
        <w:t>-</w:t>
      </w:r>
      <w:r w:rsidRPr="005E6BF8">
        <w:t>quality products</w:t>
      </w:r>
    </w:p>
    <w:p w14:paraId="4E95F0CF" w14:textId="1883FACF" w:rsidR="00C316C3" w:rsidRDefault="00C316C3" w:rsidP="002B285C">
      <w:pPr>
        <w:pStyle w:val="BodyText"/>
      </w:pPr>
      <w:r w:rsidRPr="00C316C3">
        <w:t xml:space="preserve">Concerns </w:t>
      </w:r>
      <w:r>
        <w:t>were</w:t>
      </w:r>
      <w:r w:rsidRPr="00C316C3">
        <w:t xml:space="preserve"> raised </w:t>
      </w:r>
      <w:r w:rsidR="004F1886">
        <w:t>about the Schedule</w:t>
      </w:r>
      <w:r w:rsidR="00C35EA4">
        <w:t>’</w:t>
      </w:r>
      <w:r w:rsidR="004F1886">
        <w:t xml:space="preserve">s </w:t>
      </w:r>
      <w:r w:rsidRPr="00C316C3">
        <w:t>product</w:t>
      </w:r>
      <w:r w:rsidR="004F1886">
        <w:t xml:space="preserve"> offerings </w:t>
      </w:r>
      <w:r w:rsidRPr="00C316C3">
        <w:t xml:space="preserve">for certain </w:t>
      </w:r>
      <w:r>
        <w:t>stoma types and ostomates</w:t>
      </w:r>
      <w:r w:rsidRPr="00C316C3">
        <w:t xml:space="preserve">. Some STNs </w:t>
      </w:r>
      <w:r w:rsidR="00786D89">
        <w:t xml:space="preserve">noted </w:t>
      </w:r>
      <w:r w:rsidRPr="00C316C3">
        <w:t>that the</w:t>
      </w:r>
      <w:r w:rsidR="00786D89">
        <w:t>se</w:t>
      </w:r>
      <w:r w:rsidRPr="00C316C3">
        <w:t xml:space="preserve"> products may not meet the </w:t>
      </w:r>
      <w:r w:rsidR="007123C7">
        <w:t>ostomate</w:t>
      </w:r>
      <w:r w:rsidR="00C35EA4">
        <w:t>’</w:t>
      </w:r>
      <w:r w:rsidR="007123C7">
        <w:t xml:space="preserve">s </w:t>
      </w:r>
      <w:r w:rsidRPr="00C316C3">
        <w:t xml:space="preserve">specific needs and are of inferior quality compared to </w:t>
      </w:r>
      <w:r w:rsidR="00D12532">
        <w:t>international options</w:t>
      </w:r>
      <w:r w:rsidRPr="00C316C3">
        <w:t xml:space="preserve">. Anecdotal feedback from ostomates who </w:t>
      </w:r>
      <w:r w:rsidR="00D12532">
        <w:t xml:space="preserve">have used these </w:t>
      </w:r>
      <w:r w:rsidRPr="00C316C3">
        <w:t>international schemes indicate</w:t>
      </w:r>
      <w:r>
        <w:t>d</w:t>
      </w:r>
      <w:r w:rsidRPr="00C316C3">
        <w:t xml:space="preserve"> </w:t>
      </w:r>
      <w:r w:rsidR="004611C4">
        <w:t>a lack of up</w:t>
      </w:r>
      <w:r w:rsidR="0096540C">
        <w:t>-</w:t>
      </w:r>
      <w:r w:rsidR="004611C4">
        <w:t>to</w:t>
      </w:r>
      <w:r w:rsidR="0096540C">
        <w:t>-</w:t>
      </w:r>
      <w:r w:rsidR="004611C4">
        <w:t>date products on the Scheme</w:t>
      </w:r>
      <w:r w:rsidRPr="00C316C3">
        <w:t>.</w:t>
      </w:r>
    </w:p>
    <w:p w14:paraId="752B83ED" w14:textId="54B4733A" w:rsidR="00C316C3" w:rsidRPr="00C316C3" w:rsidRDefault="004611C4" w:rsidP="002B285C">
      <w:pPr>
        <w:pStyle w:val="BodyText"/>
      </w:pPr>
      <w:r>
        <w:t xml:space="preserve">For </w:t>
      </w:r>
      <w:r w:rsidR="00C316C3" w:rsidRPr="00C316C3">
        <w:t xml:space="preserve">ACE/MACE </w:t>
      </w:r>
      <w:r>
        <w:t>individuals</w:t>
      </w:r>
      <w:r w:rsidR="00C316C3" w:rsidRPr="00C316C3">
        <w:t xml:space="preserve">, the </w:t>
      </w:r>
      <w:r w:rsidR="009A33D8">
        <w:t xml:space="preserve">Scheme </w:t>
      </w:r>
      <w:r w:rsidR="00C316C3" w:rsidRPr="00C316C3">
        <w:t xml:space="preserve">products do not align with best practice guidelines. Essential items such as specialised hydrophilic catheters, lubricants, ACE stoppers, and stopper dressings are considered necessary for optimal ACE/MACE management. Access to high-quality appliances in sufficient quantities would </w:t>
      </w:r>
      <w:r w:rsidR="003A40EC">
        <w:t xml:space="preserve">enhance </w:t>
      </w:r>
      <w:r w:rsidR="00C316C3" w:rsidRPr="00C316C3">
        <w:t>compliance, quality of life, and reduce complications. For instance, a broader range of hydrophilic catheters could decrease the incidence of infections and instances of tract damage requiring surgical intervention.</w:t>
      </w:r>
    </w:p>
    <w:p w14:paraId="151CCEC1" w14:textId="57395EF9" w:rsidR="00C316C3" w:rsidRPr="00C316C3" w:rsidRDefault="00C316C3" w:rsidP="002B285C">
      <w:pPr>
        <w:pStyle w:val="BodyText"/>
      </w:pPr>
      <w:r w:rsidRPr="00C316C3">
        <w:t>Furthermore, individuals with a vesicostomy, particularly children, require special</w:t>
      </w:r>
      <w:r>
        <w:t>ty</w:t>
      </w:r>
      <w:r w:rsidRPr="00C316C3">
        <w:t xml:space="preserve"> nappies and skin protectants which are not available through the Scheme or any other program. These products are crucial for effectively managing vesicostomies and reducing the likelihood of skin complications associated with inadequate management.</w:t>
      </w:r>
    </w:p>
    <w:p w14:paraId="253C0ED7" w14:textId="09697646" w:rsidR="002757C8" w:rsidRDefault="002757C8" w:rsidP="002B285C">
      <w:pPr>
        <w:pStyle w:val="BodyText"/>
      </w:pPr>
      <w:r w:rsidRPr="005E6BF8">
        <w:t xml:space="preserve">These limitations are also noted as an impact of the current pricing methodology and further explored in </w:t>
      </w:r>
      <w:r w:rsidR="00C316C3">
        <w:t xml:space="preserve">Chapter </w:t>
      </w:r>
      <w:r w:rsidR="00C316C3">
        <w:fldChar w:fldCharType="begin"/>
      </w:r>
      <w:r w:rsidR="00C316C3">
        <w:instrText xml:space="preserve"> REF _Ref157430553 \r \h </w:instrText>
      </w:r>
      <w:r w:rsidR="002B285C">
        <w:instrText xml:space="preserve"> \* MERGEFORMAT </w:instrText>
      </w:r>
      <w:r w:rsidR="00C316C3">
        <w:fldChar w:fldCharType="separate"/>
      </w:r>
      <w:r w:rsidR="00FE1418">
        <w:t>6</w:t>
      </w:r>
      <w:r w:rsidR="00C316C3">
        <w:fldChar w:fldCharType="end"/>
      </w:r>
      <w:r w:rsidRPr="005E6BF8">
        <w:t>.</w:t>
      </w:r>
    </w:p>
    <w:p w14:paraId="27526663" w14:textId="77777777" w:rsidR="00276D6F" w:rsidRDefault="00276D6F" w:rsidP="00276D6F">
      <w:pPr>
        <w:pStyle w:val="Heading2"/>
      </w:pPr>
      <w:r>
        <w:t>Clinical necessity</w:t>
      </w:r>
    </w:p>
    <w:p w14:paraId="1F2EA47B" w14:textId="7BFE3D25" w:rsidR="00276D6F" w:rsidRDefault="00276D6F" w:rsidP="002B285C">
      <w:pPr>
        <w:pStyle w:val="BodyText"/>
      </w:pPr>
      <w:r w:rsidRPr="00A55F74">
        <w:t>Some products were queried for their appropriateness to be available on the Scheme, as they lacked the clinical evidence to demonstrate a significant benefit for ostomates or went against clinical guidelines when it came to caring for a stoma.</w:t>
      </w:r>
    </w:p>
    <w:p w14:paraId="5D62DA92" w14:textId="6EA18E44" w:rsidR="00276D6F" w:rsidRPr="00BD0806" w:rsidRDefault="00276D6F" w:rsidP="002B285C">
      <w:pPr>
        <w:pStyle w:val="BodyText"/>
      </w:pPr>
      <w:r w:rsidRPr="00A55F74">
        <w:t>There were opposing views from STNs on their need for certain products in the Accessories category, although many noted some were necessary (i.e. seals) and others (i.e. cleanser wipes) not</w:t>
      </w:r>
      <w:r>
        <w:t>.</w:t>
      </w:r>
      <w:r w:rsidR="00BD0806">
        <w:t xml:space="preserve"> </w:t>
      </w:r>
      <w:r w:rsidR="00BD0806">
        <w:fldChar w:fldCharType="begin"/>
      </w:r>
      <w:r w:rsidR="00BD0806">
        <w:instrText xml:space="preserve"> REF _Ref157093015 \h </w:instrText>
      </w:r>
      <w:r w:rsidR="002B285C">
        <w:instrText xml:space="preserve"> \* MERGEFORMAT </w:instrText>
      </w:r>
      <w:r w:rsidR="00BD0806">
        <w:fldChar w:fldCharType="separate"/>
      </w:r>
      <w:r w:rsidR="00FE1418">
        <w:t xml:space="preserve">Table </w:t>
      </w:r>
      <w:r w:rsidR="00FE1418">
        <w:rPr>
          <w:noProof/>
        </w:rPr>
        <w:t>7</w:t>
      </w:r>
      <w:r w:rsidR="00BD0806">
        <w:fldChar w:fldCharType="end"/>
      </w:r>
      <w:r>
        <w:t xml:space="preserve"> </w:t>
      </w:r>
      <w:r w:rsidRPr="005D1F41">
        <w:t>presents these products</w:t>
      </w:r>
      <w:r>
        <w:t xml:space="preserve"> and justification for their potential removal from the Scheme.</w:t>
      </w:r>
    </w:p>
    <w:p w14:paraId="7EE1FD86" w14:textId="096D36B5" w:rsidR="00BD0806" w:rsidRDefault="00BD0806" w:rsidP="00BD0806">
      <w:pPr>
        <w:pStyle w:val="Caption"/>
      </w:pPr>
      <w:bookmarkStart w:id="44" w:name="_Ref157093015"/>
      <w:bookmarkStart w:id="45" w:name="_Toc161743110"/>
      <w:r>
        <w:lastRenderedPageBreak/>
        <w:t xml:space="preserve">Table </w:t>
      </w:r>
      <w:r>
        <w:fldChar w:fldCharType="begin"/>
      </w:r>
      <w:r>
        <w:instrText xml:space="preserve"> SEQ Table \* ARABIC </w:instrText>
      </w:r>
      <w:r>
        <w:fldChar w:fldCharType="separate"/>
      </w:r>
      <w:r w:rsidR="00FE1418">
        <w:rPr>
          <w:noProof/>
        </w:rPr>
        <w:t>7</w:t>
      </w:r>
      <w:r>
        <w:rPr>
          <w:noProof/>
        </w:rPr>
        <w:fldChar w:fldCharType="end"/>
      </w:r>
      <w:bookmarkEnd w:id="44"/>
      <w:r>
        <w:t xml:space="preserve">: </w:t>
      </w:r>
      <w:r w:rsidRPr="00A443DB">
        <w:t>Non-essential products on the Scheme and justification for potential removal</w:t>
      </w:r>
      <w:bookmarkEnd w:id="45"/>
    </w:p>
    <w:tbl>
      <w:tblPr>
        <w:tblStyle w:val="TableHealthConsultPurple"/>
        <w:tblW w:w="5000" w:type="pct"/>
        <w:tblLook w:val="0420" w:firstRow="1" w:lastRow="0" w:firstColumn="0" w:lastColumn="0" w:noHBand="0" w:noVBand="1"/>
      </w:tblPr>
      <w:tblGrid>
        <w:gridCol w:w="1914"/>
        <w:gridCol w:w="1631"/>
        <w:gridCol w:w="6093"/>
      </w:tblGrid>
      <w:tr w:rsidR="00DA3487" w:rsidRPr="00872BBC" w14:paraId="743B3D27" w14:textId="77777777" w:rsidTr="00C422F7">
        <w:trPr>
          <w:cnfStyle w:val="100000000000" w:firstRow="1" w:lastRow="0" w:firstColumn="0" w:lastColumn="0" w:oddVBand="0" w:evenVBand="0" w:oddHBand="0" w:evenHBand="0" w:firstRowFirstColumn="0" w:firstRowLastColumn="0" w:lastRowFirstColumn="0" w:lastRowLastColumn="0"/>
        </w:trPr>
        <w:tc>
          <w:tcPr>
            <w:tcW w:w="993" w:type="pct"/>
            <w:hideMark/>
          </w:tcPr>
          <w:p w14:paraId="3467FC17" w14:textId="77777777" w:rsidR="00276D6F" w:rsidRPr="00872BBC" w:rsidRDefault="00276D6F" w:rsidP="005C7AC1">
            <w:pPr>
              <w:keepNext w:val="0"/>
              <w:spacing w:before="0" w:after="120"/>
              <w:rPr>
                <w:rFonts w:asciiTheme="majorHAnsi" w:eastAsia="Calibri" w:hAnsiTheme="majorHAnsi" w:cstheme="majorHAnsi"/>
                <w:sz w:val="16"/>
                <w:szCs w:val="16"/>
                <w14:ligatures w14:val="standardContextual"/>
              </w:rPr>
            </w:pPr>
            <w:r w:rsidRPr="00872BBC">
              <w:rPr>
                <w:rFonts w:asciiTheme="majorHAnsi" w:eastAsia="Calibri" w:hAnsiTheme="majorHAnsi" w:cstheme="majorHAnsi"/>
                <w:sz w:val="16"/>
                <w:szCs w:val="16"/>
                <w14:ligatures w14:val="standardContextual"/>
              </w:rPr>
              <w:t>Product type</w:t>
            </w:r>
          </w:p>
        </w:tc>
        <w:tc>
          <w:tcPr>
            <w:tcW w:w="846" w:type="pct"/>
            <w:vAlign w:val="center"/>
            <w:hideMark/>
          </w:tcPr>
          <w:p w14:paraId="143ECB29" w14:textId="77777777" w:rsidR="00276D6F" w:rsidRPr="00872BBC" w:rsidRDefault="00276D6F" w:rsidP="00CD5F18">
            <w:pPr>
              <w:keepNext w:val="0"/>
              <w:spacing w:before="0" w:after="0"/>
              <w:jc w:val="center"/>
              <w:rPr>
                <w:rFonts w:asciiTheme="majorHAnsi" w:eastAsia="Calibri" w:hAnsiTheme="majorHAnsi" w:cstheme="majorHAnsi"/>
                <w:sz w:val="16"/>
                <w:szCs w:val="16"/>
                <w14:ligatures w14:val="standardContextual"/>
              </w:rPr>
            </w:pPr>
            <w:r w:rsidRPr="00872BBC">
              <w:rPr>
                <w:rFonts w:asciiTheme="majorHAnsi" w:eastAsia="Calibri" w:hAnsiTheme="majorHAnsi" w:cstheme="majorHAnsi"/>
                <w:sz w:val="16"/>
                <w:szCs w:val="16"/>
                <w14:ligatures w14:val="standardContextual"/>
              </w:rPr>
              <w:t>Group number/s</w:t>
            </w:r>
          </w:p>
        </w:tc>
        <w:tc>
          <w:tcPr>
            <w:tcW w:w="3161" w:type="pct"/>
            <w:vAlign w:val="center"/>
            <w:hideMark/>
          </w:tcPr>
          <w:p w14:paraId="48049E57" w14:textId="77777777" w:rsidR="00276D6F" w:rsidRPr="00872BBC" w:rsidRDefault="00276D6F" w:rsidP="00F12177">
            <w:pPr>
              <w:keepNext w:val="0"/>
              <w:spacing w:before="0" w:after="0"/>
              <w:jc w:val="center"/>
              <w:rPr>
                <w:rFonts w:asciiTheme="majorHAnsi" w:eastAsia="Calibri" w:hAnsiTheme="majorHAnsi" w:cstheme="majorHAnsi"/>
                <w:sz w:val="16"/>
                <w:szCs w:val="16"/>
                <w14:ligatures w14:val="standardContextual"/>
              </w:rPr>
            </w:pPr>
            <w:r w:rsidRPr="00872BBC">
              <w:rPr>
                <w:rFonts w:asciiTheme="majorHAnsi" w:eastAsia="Calibri" w:hAnsiTheme="majorHAnsi" w:cstheme="majorHAnsi"/>
                <w:sz w:val="16"/>
                <w:szCs w:val="16"/>
                <w14:ligatures w14:val="standardContextual"/>
              </w:rPr>
              <w:t>Justification</w:t>
            </w:r>
          </w:p>
        </w:tc>
      </w:tr>
      <w:tr w:rsidR="00DA3487" w:rsidRPr="00872BBC" w14:paraId="04C06F4C" w14:textId="77777777" w:rsidTr="00C422F7">
        <w:tc>
          <w:tcPr>
            <w:tcW w:w="993" w:type="pct"/>
          </w:tcPr>
          <w:p w14:paraId="1FA6014C" w14:textId="77777777" w:rsidR="00276D6F" w:rsidRPr="00C422F7" w:rsidRDefault="00276D6F" w:rsidP="005C7AC1">
            <w:pPr>
              <w:spacing w:before="0" w:after="0"/>
              <w:rPr>
                <w:rFonts w:asciiTheme="majorHAnsi" w:eastAsia="Calibri" w:hAnsiTheme="majorHAnsi" w:cstheme="majorHAnsi"/>
                <w:b/>
                <w:sz w:val="16"/>
                <w:szCs w:val="16"/>
                <w14:ligatures w14:val="standardContextual"/>
              </w:rPr>
            </w:pPr>
            <w:r w:rsidRPr="00C422F7">
              <w:rPr>
                <w:b/>
                <w:sz w:val="16"/>
                <w:szCs w:val="16"/>
              </w:rPr>
              <w:t>Catheters</w:t>
            </w:r>
          </w:p>
        </w:tc>
        <w:tc>
          <w:tcPr>
            <w:tcW w:w="846" w:type="pct"/>
          </w:tcPr>
          <w:p w14:paraId="3E8C8B77" w14:textId="179DCC42" w:rsidR="00276D6F" w:rsidRPr="00872BBC" w:rsidRDefault="00276D6F" w:rsidP="00C316C3">
            <w:pPr>
              <w:spacing w:before="0" w:after="0"/>
              <w:jc w:val="center"/>
              <w:rPr>
                <w:rFonts w:asciiTheme="majorHAnsi" w:eastAsia="Calibri" w:hAnsiTheme="majorHAnsi" w:cstheme="majorHAnsi"/>
                <w:bCs/>
                <w:sz w:val="16"/>
                <w:szCs w:val="16"/>
                <w14:ligatures w14:val="standardContextual"/>
              </w:rPr>
            </w:pPr>
            <w:r w:rsidRPr="00872BBC">
              <w:rPr>
                <w:sz w:val="16"/>
                <w:szCs w:val="16"/>
              </w:rPr>
              <w:t>8</w:t>
            </w:r>
            <w:r w:rsidR="004D23CB">
              <w:rPr>
                <w:sz w:val="16"/>
                <w:szCs w:val="16"/>
              </w:rPr>
              <w:t>I</w:t>
            </w:r>
          </w:p>
        </w:tc>
        <w:tc>
          <w:tcPr>
            <w:tcW w:w="3161" w:type="pct"/>
          </w:tcPr>
          <w:p w14:paraId="140AFE0A" w14:textId="5AF76808" w:rsidR="00276D6F" w:rsidRPr="00872BBC" w:rsidRDefault="00B50492" w:rsidP="006B2D55">
            <w:pPr>
              <w:spacing w:before="0" w:after="0"/>
              <w:rPr>
                <w:sz w:val="16"/>
                <w:szCs w:val="16"/>
              </w:rPr>
            </w:pPr>
            <w:r>
              <w:rPr>
                <w:sz w:val="16"/>
                <w:szCs w:val="16"/>
              </w:rPr>
              <w:t>Some STNs noted catheters may not be</w:t>
            </w:r>
            <w:r w:rsidR="00276D6F" w:rsidRPr="00872BBC">
              <w:rPr>
                <w:sz w:val="16"/>
                <w:szCs w:val="16"/>
              </w:rPr>
              <w:t xml:space="preserve"> necessar</w:t>
            </w:r>
            <w:r>
              <w:rPr>
                <w:sz w:val="16"/>
                <w:szCs w:val="16"/>
              </w:rPr>
              <w:t>y</w:t>
            </w:r>
            <w:r w:rsidR="00276D6F" w:rsidRPr="00872BBC">
              <w:rPr>
                <w:sz w:val="16"/>
                <w:szCs w:val="16"/>
              </w:rPr>
              <w:t xml:space="preserve"> </w:t>
            </w:r>
            <w:r w:rsidR="00B72D1C">
              <w:rPr>
                <w:sz w:val="16"/>
                <w:szCs w:val="16"/>
              </w:rPr>
              <w:t>for all ostomates to access</w:t>
            </w:r>
            <w:r w:rsidR="00276D6F" w:rsidRPr="00872BBC">
              <w:rPr>
                <w:sz w:val="16"/>
                <w:szCs w:val="16"/>
              </w:rPr>
              <w:t xml:space="preserve"> as self-catheterisation is related to continence</w:t>
            </w:r>
            <w:r w:rsidR="004C35BF">
              <w:rPr>
                <w:sz w:val="16"/>
                <w:szCs w:val="16"/>
              </w:rPr>
              <w:t xml:space="preserve"> and not </w:t>
            </w:r>
            <w:r w:rsidR="00657698">
              <w:rPr>
                <w:sz w:val="16"/>
                <w:szCs w:val="16"/>
              </w:rPr>
              <w:t>required for the three main</w:t>
            </w:r>
            <w:r w:rsidR="00276D6F" w:rsidRPr="00872BBC">
              <w:rPr>
                <w:sz w:val="16"/>
                <w:szCs w:val="16"/>
              </w:rPr>
              <w:t xml:space="preserve"> stoma</w:t>
            </w:r>
            <w:r w:rsidR="00657698">
              <w:rPr>
                <w:sz w:val="16"/>
                <w:szCs w:val="16"/>
              </w:rPr>
              <w:t xml:space="preserve"> types </w:t>
            </w:r>
            <w:r w:rsidR="006B2D55">
              <w:rPr>
                <w:sz w:val="16"/>
                <w:szCs w:val="16"/>
              </w:rPr>
              <w:t>(c</w:t>
            </w:r>
            <w:r w:rsidR="006B2D55" w:rsidRPr="006B2D55">
              <w:rPr>
                <w:sz w:val="16"/>
                <w:szCs w:val="16"/>
              </w:rPr>
              <w:t>olostomy</w:t>
            </w:r>
            <w:r w:rsidR="006B2D55">
              <w:rPr>
                <w:sz w:val="16"/>
                <w:szCs w:val="16"/>
              </w:rPr>
              <w:t>, i</w:t>
            </w:r>
            <w:r w:rsidR="006B2D55" w:rsidRPr="006B2D55">
              <w:rPr>
                <w:sz w:val="16"/>
                <w:szCs w:val="16"/>
              </w:rPr>
              <w:t>leostomy</w:t>
            </w:r>
            <w:r w:rsidR="006B2D55">
              <w:rPr>
                <w:sz w:val="16"/>
                <w:szCs w:val="16"/>
              </w:rPr>
              <w:t xml:space="preserve"> and u</w:t>
            </w:r>
            <w:r w:rsidR="006B2D55" w:rsidRPr="006B2D55">
              <w:rPr>
                <w:sz w:val="16"/>
                <w:szCs w:val="16"/>
              </w:rPr>
              <w:t>rostomy</w:t>
            </w:r>
            <w:r w:rsidR="006B2D55">
              <w:rPr>
                <w:sz w:val="16"/>
                <w:szCs w:val="16"/>
              </w:rPr>
              <w:t>)</w:t>
            </w:r>
            <w:r w:rsidR="00276D6F" w:rsidRPr="00872BBC">
              <w:rPr>
                <w:sz w:val="16"/>
                <w:szCs w:val="16"/>
              </w:rPr>
              <w:t>.</w:t>
            </w:r>
            <w:r w:rsidR="00C316C3" w:rsidRPr="00872BBC">
              <w:rPr>
                <w:sz w:val="16"/>
                <w:szCs w:val="16"/>
              </w:rPr>
              <w:t xml:space="preserve"> </w:t>
            </w:r>
            <w:r w:rsidR="00B72D1C">
              <w:rPr>
                <w:sz w:val="16"/>
                <w:szCs w:val="16"/>
              </w:rPr>
              <w:t>Feedback received noted that i</w:t>
            </w:r>
            <w:r w:rsidR="00276D6F" w:rsidRPr="00872BBC">
              <w:rPr>
                <w:sz w:val="16"/>
                <w:szCs w:val="16"/>
              </w:rPr>
              <w:t>n cases where catheterisation is required, an authorisation form should be required</w:t>
            </w:r>
            <w:r w:rsidR="00581F4B">
              <w:rPr>
                <w:sz w:val="16"/>
                <w:szCs w:val="16"/>
              </w:rPr>
              <w:t xml:space="preserve"> </w:t>
            </w:r>
            <w:r w:rsidR="006D06C6">
              <w:rPr>
                <w:sz w:val="16"/>
                <w:szCs w:val="16"/>
              </w:rPr>
              <w:t xml:space="preserve">to </w:t>
            </w:r>
            <w:r w:rsidR="00581F4B">
              <w:rPr>
                <w:sz w:val="16"/>
                <w:szCs w:val="16"/>
              </w:rPr>
              <w:t xml:space="preserve">restrict access </w:t>
            </w:r>
            <w:r w:rsidR="006D06C6">
              <w:rPr>
                <w:sz w:val="16"/>
                <w:szCs w:val="16"/>
              </w:rPr>
              <w:t>and</w:t>
            </w:r>
            <w:r w:rsidR="00581F4B">
              <w:rPr>
                <w:sz w:val="16"/>
                <w:szCs w:val="16"/>
              </w:rPr>
              <w:t xml:space="preserve"> avoid inappropriate usage</w:t>
            </w:r>
            <w:r w:rsidR="00276D6F" w:rsidRPr="00872BBC">
              <w:rPr>
                <w:sz w:val="16"/>
                <w:szCs w:val="16"/>
              </w:rPr>
              <w:t>.</w:t>
            </w:r>
            <w:r w:rsidR="00276D6F" w:rsidRPr="00872BBC">
              <w:rPr>
                <w:rFonts w:asciiTheme="majorHAnsi" w:eastAsia="Calibri" w:hAnsiTheme="majorHAnsi" w:cstheme="majorHAnsi"/>
                <w:sz w:val="16"/>
                <w:szCs w:val="16"/>
                <w14:ligatures w14:val="standardContextual"/>
              </w:rPr>
              <w:t xml:space="preserve"> </w:t>
            </w:r>
          </w:p>
        </w:tc>
      </w:tr>
      <w:tr w:rsidR="006E5311" w:rsidRPr="00872BBC" w14:paraId="5F633D38" w14:textId="77777777" w:rsidTr="00C422F7">
        <w:trPr>
          <w:cnfStyle w:val="000000010000" w:firstRow="0" w:lastRow="0" w:firstColumn="0" w:lastColumn="0" w:oddVBand="0" w:evenVBand="0" w:oddHBand="0" w:evenHBand="1" w:firstRowFirstColumn="0" w:firstRowLastColumn="0" w:lastRowFirstColumn="0" w:lastRowLastColumn="0"/>
        </w:trPr>
        <w:tc>
          <w:tcPr>
            <w:tcW w:w="993" w:type="pct"/>
          </w:tcPr>
          <w:p w14:paraId="657A69C9" w14:textId="77777777" w:rsidR="00276D6F" w:rsidRPr="00C422F7" w:rsidRDefault="00276D6F" w:rsidP="005C7AC1">
            <w:pPr>
              <w:spacing w:before="0" w:after="0"/>
              <w:rPr>
                <w:rFonts w:asciiTheme="majorHAnsi" w:eastAsia="Calibri" w:hAnsiTheme="majorHAnsi" w:cstheme="majorHAnsi"/>
                <w:b/>
                <w:sz w:val="16"/>
                <w:szCs w:val="16"/>
                <w14:ligatures w14:val="standardContextual"/>
              </w:rPr>
            </w:pPr>
            <w:r w:rsidRPr="00C422F7">
              <w:rPr>
                <w:b/>
                <w:sz w:val="16"/>
                <w:szCs w:val="16"/>
              </w:rPr>
              <w:t xml:space="preserve">Cleanser wipes </w:t>
            </w:r>
          </w:p>
        </w:tc>
        <w:tc>
          <w:tcPr>
            <w:tcW w:w="846" w:type="pct"/>
          </w:tcPr>
          <w:p w14:paraId="2439202F" w14:textId="77777777" w:rsidR="00276D6F" w:rsidRPr="00872BBC" w:rsidRDefault="00276D6F" w:rsidP="00C316C3">
            <w:pPr>
              <w:spacing w:before="0" w:after="0"/>
              <w:jc w:val="center"/>
              <w:rPr>
                <w:rFonts w:asciiTheme="majorHAnsi" w:eastAsia="Calibri" w:hAnsiTheme="majorHAnsi" w:cstheme="majorHAnsi"/>
                <w:bCs/>
                <w:sz w:val="16"/>
                <w:szCs w:val="16"/>
                <w14:ligatures w14:val="standardContextual"/>
              </w:rPr>
            </w:pPr>
            <w:r w:rsidRPr="00872BBC">
              <w:rPr>
                <w:sz w:val="16"/>
                <w:szCs w:val="16"/>
              </w:rPr>
              <w:t>9(d)</w:t>
            </w:r>
          </w:p>
        </w:tc>
        <w:tc>
          <w:tcPr>
            <w:tcW w:w="3161" w:type="pct"/>
          </w:tcPr>
          <w:p w14:paraId="3E946E96" w14:textId="77777777" w:rsidR="00276D6F" w:rsidRPr="00872BBC" w:rsidRDefault="00276D6F" w:rsidP="005C7AC1">
            <w:pPr>
              <w:spacing w:before="0" w:after="0"/>
              <w:rPr>
                <w:rFonts w:asciiTheme="majorHAnsi" w:eastAsia="Calibri" w:hAnsiTheme="majorHAnsi" w:cstheme="majorHAnsi"/>
                <w:bCs/>
                <w:sz w:val="16"/>
                <w:szCs w:val="16"/>
                <w14:ligatures w14:val="standardContextual"/>
              </w:rPr>
            </w:pPr>
            <w:r w:rsidRPr="00872BBC">
              <w:rPr>
                <w:sz w:val="16"/>
                <w:szCs w:val="16"/>
              </w:rPr>
              <w:t>STNs do not recommend these be used, especially as some have alcohol, and clinical guidelines recommend using water and a soft cloth to remove. Regular wet wipes available in supermarkets can also do the same and are considered just as effective.</w:t>
            </w:r>
          </w:p>
        </w:tc>
      </w:tr>
      <w:tr w:rsidR="00DA3487" w:rsidRPr="00872BBC" w14:paraId="587EB742" w14:textId="77777777" w:rsidTr="00C422F7">
        <w:tc>
          <w:tcPr>
            <w:tcW w:w="993" w:type="pct"/>
            <w:hideMark/>
          </w:tcPr>
          <w:p w14:paraId="7D30672E" w14:textId="77777777" w:rsidR="00276D6F" w:rsidRPr="00872BBC" w:rsidRDefault="00276D6F" w:rsidP="005C7AC1">
            <w:pPr>
              <w:spacing w:before="0" w:after="0"/>
              <w:rPr>
                <w:rFonts w:asciiTheme="majorHAnsi" w:eastAsia="Calibri" w:hAnsiTheme="majorHAnsi" w:cstheme="majorHAnsi"/>
                <w:b/>
                <w:sz w:val="16"/>
                <w:szCs w:val="16"/>
                <w14:ligatures w14:val="standardContextual"/>
              </w:rPr>
            </w:pPr>
            <w:r w:rsidRPr="00872BBC">
              <w:rPr>
                <w:rFonts w:asciiTheme="majorHAnsi" w:eastAsia="Calibri" w:hAnsiTheme="majorHAnsi" w:cstheme="majorHAnsi"/>
                <w:sz w:val="16"/>
                <w:szCs w:val="16"/>
                <w14:ligatures w14:val="standardContextual"/>
              </w:rPr>
              <w:t>Creams</w:t>
            </w:r>
          </w:p>
        </w:tc>
        <w:tc>
          <w:tcPr>
            <w:tcW w:w="846" w:type="pct"/>
            <w:hideMark/>
          </w:tcPr>
          <w:p w14:paraId="44F347BF" w14:textId="77777777" w:rsidR="00276D6F" w:rsidRPr="00872BBC" w:rsidRDefault="00276D6F" w:rsidP="00C316C3">
            <w:pPr>
              <w:spacing w:before="0" w:after="0"/>
              <w:jc w:val="center"/>
              <w:rPr>
                <w:sz w:val="16"/>
                <w:szCs w:val="16"/>
              </w:rPr>
            </w:pPr>
            <w:r w:rsidRPr="00872BBC">
              <w:rPr>
                <w:sz w:val="16"/>
                <w:szCs w:val="16"/>
              </w:rPr>
              <w:t>9(f)</w:t>
            </w:r>
          </w:p>
        </w:tc>
        <w:tc>
          <w:tcPr>
            <w:tcW w:w="3161" w:type="pct"/>
            <w:hideMark/>
          </w:tcPr>
          <w:p w14:paraId="441443ED" w14:textId="77777777" w:rsidR="00276D6F" w:rsidRPr="00872BBC" w:rsidRDefault="00276D6F" w:rsidP="005C7AC1">
            <w:pPr>
              <w:spacing w:before="0" w:after="0"/>
              <w:rPr>
                <w:sz w:val="16"/>
                <w:szCs w:val="16"/>
              </w:rPr>
            </w:pPr>
            <w:r w:rsidRPr="00872BBC">
              <w:rPr>
                <w:sz w:val="16"/>
                <w:szCs w:val="16"/>
              </w:rPr>
              <w:t xml:space="preserve">Not necessary, if the pouching technology is good enough there shouldn’t be a requirement for the creams to help with skin adhesiveness. </w:t>
            </w:r>
          </w:p>
        </w:tc>
      </w:tr>
      <w:tr w:rsidR="006E5311" w:rsidRPr="00872BBC" w14:paraId="3E0CAB13" w14:textId="77777777" w:rsidTr="00C422F7">
        <w:trPr>
          <w:cnfStyle w:val="000000010000" w:firstRow="0" w:lastRow="0" w:firstColumn="0" w:lastColumn="0" w:oddVBand="0" w:evenVBand="0" w:oddHBand="0" w:evenHBand="1" w:firstRowFirstColumn="0" w:firstRowLastColumn="0" w:lastRowFirstColumn="0" w:lastRowLastColumn="0"/>
        </w:trPr>
        <w:tc>
          <w:tcPr>
            <w:tcW w:w="993" w:type="pct"/>
            <w:hideMark/>
          </w:tcPr>
          <w:p w14:paraId="104948DA" w14:textId="77777777" w:rsidR="00276D6F" w:rsidRPr="00872BBC" w:rsidRDefault="00276D6F" w:rsidP="005C7AC1">
            <w:pPr>
              <w:spacing w:before="0" w:after="0"/>
              <w:rPr>
                <w:rFonts w:asciiTheme="majorHAnsi" w:eastAsia="Calibri" w:hAnsiTheme="majorHAnsi" w:cstheme="majorHAnsi"/>
                <w:b/>
                <w:sz w:val="16"/>
                <w:szCs w:val="16"/>
                <w14:ligatures w14:val="standardContextual"/>
              </w:rPr>
            </w:pPr>
            <w:r w:rsidRPr="00872BBC">
              <w:rPr>
                <w:rFonts w:asciiTheme="majorHAnsi" w:eastAsia="Calibri" w:hAnsiTheme="majorHAnsi" w:cstheme="majorHAnsi"/>
                <w:sz w:val="16"/>
                <w:szCs w:val="16"/>
                <w14:ligatures w14:val="standardContextual"/>
              </w:rPr>
              <w:t xml:space="preserve">Deodorisers </w:t>
            </w:r>
          </w:p>
        </w:tc>
        <w:tc>
          <w:tcPr>
            <w:tcW w:w="846" w:type="pct"/>
            <w:hideMark/>
          </w:tcPr>
          <w:p w14:paraId="667C9FEB" w14:textId="77777777" w:rsidR="00276D6F" w:rsidRPr="00872BBC" w:rsidRDefault="00276D6F" w:rsidP="00C316C3">
            <w:pPr>
              <w:spacing w:before="0" w:after="0"/>
              <w:jc w:val="center"/>
              <w:rPr>
                <w:sz w:val="16"/>
                <w:szCs w:val="16"/>
              </w:rPr>
            </w:pPr>
            <w:r w:rsidRPr="00872BBC">
              <w:rPr>
                <w:sz w:val="16"/>
                <w:szCs w:val="16"/>
              </w:rPr>
              <w:t>9(g)</w:t>
            </w:r>
          </w:p>
        </w:tc>
        <w:tc>
          <w:tcPr>
            <w:tcW w:w="3161" w:type="pct"/>
            <w:hideMark/>
          </w:tcPr>
          <w:p w14:paraId="560FFA93" w14:textId="77777777" w:rsidR="00276D6F" w:rsidRPr="00872BBC" w:rsidRDefault="00276D6F" w:rsidP="005C7AC1">
            <w:pPr>
              <w:spacing w:before="0" w:after="0"/>
              <w:rPr>
                <w:sz w:val="16"/>
                <w:szCs w:val="16"/>
              </w:rPr>
            </w:pPr>
            <w:r w:rsidRPr="00872BBC">
              <w:rPr>
                <w:sz w:val="16"/>
                <w:szCs w:val="16"/>
              </w:rPr>
              <w:t>It is a personal choice and not clinically necessary.</w:t>
            </w:r>
          </w:p>
        </w:tc>
      </w:tr>
    </w:tbl>
    <w:p w14:paraId="070BD14C" w14:textId="77777777" w:rsidR="00276D6F" w:rsidRDefault="00276D6F" w:rsidP="002B285C">
      <w:pPr>
        <w:pStyle w:val="BodyText"/>
      </w:pPr>
      <w:r w:rsidRPr="00A55F74">
        <w:t>There was the suggestion that in the event these products were required by an ostomate, approval by an STN to dispense could support more appropriate utilisation, reduce wastage, and lower expenditure in the Accessories category of the Scheme.</w:t>
      </w:r>
      <w:r>
        <w:t xml:space="preserve"> Some of these products already have authorisations required, such as cleanser wipes</w:t>
      </w:r>
      <w:r w:rsidRPr="00F12177">
        <w:rPr>
          <w:rStyle w:val="FootnoteReference"/>
          <w:b w:val="0"/>
          <w:bCs/>
          <w:color w:val="auto"/>
        </w:rPr>
        <w:footnoteReference w:id="20"/>
      </w:r>
      <w:r w:rsidRPr="00A36765">
        <w:rPr>
          <w:bCs/>
        </w:rPr>
        <w:t xml:space="preserve"> and deodorants.</w:t>
      </w:r>
      <w:r w:rsidRPr="00F12177">
        <w:rPr>
          <w:rStyle w:val="FootnoteReference"/>
          <w:b w:val="0"/>
          <w:bCs/>
          <w:color w:val="auto"/>
        </w:rPr>
        <w:footnoteReference w:id="21"/>
      </w:r>
    </w:p>
    <w:p w14:paraId="6B68F878" w14:textId="77777777" w:rsidR="00276D6F" w:rsidRPr="00A55F74" w:rsidRDefault="00276D6F" w:rsidP="00276D6F">
      <w:r>
        <w:t>A</w:t>
      </w:r>
      <w:r w:rsidRPr="00A55F74">
        <w:t>s an example</w:t>
      </w:r>
      <w:r>
        <w:t>,</w:t>
      </w:r>
      <w:r w:rsidRPr="00A55F74">
        <w:t xml:space="preserve"> </w:t>
      </w:r>
      <w:r>
        <w:t>i</w:t>
      </w:r>
      <w:r w:rsidRPr="00A55F74">
        <w:t>nstances of the clinical appropriateness for cleanser wipes provided include:</w:t>
      </w:r>
    </w:p>
    <w:p w14:paraId="351105B6" w14:textId="77777777" w:rsidR="00276D6F" w:rsidRPr="00A55F74" w:rsidRDefault="00276D6F" w:rsidP="00E442CB">
      <w:pPr>
        <w:numPr>
          <w:ilvl w:val="1"/>
          <w:numId w:val="23"/>
        </w:numPr>
        <w:spacing w:line="259" w:lineRule="auto"/>
      </w:pPr>
      <w:r w:rsidRPr="00A55F74">
        <w:t xml:space="preserve">inability to access clean water to clean </w:t>
      </w:r>
      <w:proofErr w:type="gramStart"/>
      <w:r w:rsidRPr="00A55F74">
        <w:t>stoma</w:t>
      </w:r>
      <w:proofErr w:type="gramEnd"/>
    </w:p>
    <w:p w14:paraId="6914E32B" w14:textId="77777777" w:rsidR="00276D6F" w:rsidRPr="00A55F74" w:rsidRDefault="00276D6F" w:rsidP="00E442CB">
      <w:pPr>
        <w:numPr>
          <w:ilvl w:val="1"/>
          <w:numId w:val="23"/>
        </w:numPr>
        <w:spacing w:line="259" w:lineRule="auto"/>
      </w:pPr>
      <w:r w:rsidRPr="00A55F74">
        <w:t>limited access to a pharmacy/supermarket (</w:t>
      </w:r>
      <w:r>
        <w:t>i</w:t>
      </w:r>
      <w:r w:rsidRPr="00A55F74">
        <w:t>.e. in rural and remote areas)</w:t>
      </w:r>
      <w:r>
        <w:t>,</w:t>
      </w:r>
      <w:r w:rsidRPr="00A55F74">
        <w:t xml:space="preserve"> or</w:t>
      </w:r>
    </w:p>
    <w:p w14:paraId="615BD078" w14:textId="3EDDD5B6" w:rsidR="00276D6F" w:rsidRPr="00A55F74" w:rsidRDefault="00276D6F" w:rsidP="00E442CB">
      <w:pPr>
        <w:numPr>
          <w:ilvl w:val="1"/>
          <w:numId w:val="23"/>
        </w:numPr>
        <w:spacing w:line="259" w:lineRule="auto"/>
      </w:pPr>
      <w:r w:rsidRPr="00A55F74">
        <w:t>limited financial means to purchase water-based wipes.</w:t>
      </w:r>
    </w:p>
    <w:p w14:paraId="1A59825C" w14:textId="5F5C7770" w:rsidR="00276D6F" w:rsidRPr="00A55F74" w:rsidRDefault="00276D6F" w:rsidP="002B285C">
      <w:pPr>
        <w:pStyle w:val="BodyText"/>
      </w:pPr>
      <w:r w:rsidRPr="00A55F74">
        <w:t xml:space="preserve">It was also </w:t>
      </w:r>
      <w:r w:rsidR="00A36765">
        <w:t xml:space="preserve">advised </w:t>
      </w:r>
      <w:r w:rsidRPr="00A55F74">
        <w:t xml:space="preserve">that the </w:t>
      </w:r>
      <w:r>
        <w:t xml:space="preserve">cleanser </w:t>
      </w:r>
      <w:r w:rsidRPr="00A55F74">
        <w:t>wipes provide security and discreteness when managing waste removal in a public bathroom, and therefore are required for the social well</w:t>
      </w:r>
      <w:r w:rsidR="00C92AD3">
        <w:t>being</w:t>
      </w:r>
      <w:r w:rsidRPr="00A55F74">
        <w:t xml:space="preserve"> and confidence of ostomates in public settings. Ostomates wanted to ensure they were still able to access products that contributed to their quality of life and did not </w:t>
      </w:r>
      <w:r>
        <w:t>want</w:t>
      </w:r>
      <w:r w:rsidRPr="00A55F74">
        <w:t xml:space="preserve"> to </w:t>
      </w:r>
      <w:r>
        <w:t>be</w:t>
      </w:r>
      <w:r w:rsidRPr="00A55F74">
        <w:t xml:space="preserve"> </w:t>
      </w:r>
      <w:r>
        <w:t>penalised by paying</w:t>
      </w:r>
      <w:r w:rsidRPr="00A55F74">
        <w:t xml:space="preserve"> out-of-pocket for</w:t>
      </w:r>
      <w:r>
        <w:t xml:space="preserve"> them</w:t>
      </w:r>
      <w:r w:rsidRPr="00A55F74">
        <w:t>.</w:t>
      </w:r>
    </w:p>
    <w:p w14:paraId="76EAB313" w14:textId="795EF919" w:rsidR="00276D6F" w:rsidRDefault="00276D6F" w:rsidP="00276D6F">
      <w:pPr>
        <w:pStyle w:val="Heading2"/>
      </w:pPr>
      <w:r>
        <w:t>Low</w:t>
      </w:r>
      <w:r w:rsidR="003A664D">
        <w:t>-</w:t>
      </w:r>
      <w:r>
        <w:t>utilisation and older products</w:t>
      </w:r>
    </w:p>
    <w:p w14:paraId="24E4CDD3" w14:textId="4B87261F" w:rsidR="00276D6F" w:rsidRPr="00800673" w:rsidRDefault="00276D6F" w:rsidP="002B285C">
      <w:pPr>
        <w:pStyle w:val="BodyText"/>
      </w:pPr>
      <w:r w:rsidRPr="00800673">
        <w:t>There were concerns raised that the Scheme may be supporting older technology and products</w:t>
      </w:r>
      <w:r>
        <w:t xml:space="preserve"> which is no longer recommended by </w:t>
      </w:r>
      <w:proofErr w:type="spellStart"/>
      <w:r>
        <w:t>STNs.</w:t>
      </w:r>
      <w:proofErr w:type="spellEnd"/>
      <w:r>
        <w:t xml:space="preserve"> This has an impact on the clinical care and outcomes of ostomates, but also on stoma associations which need to support the ordering and distribution of low</w:t>
      </w:r>
      <w:r w:rsidR="003A664D">
        <w:t>-</w:t>
      </w:r>
      <w:r>
        <w:t>utilisation products.</w:t>
      </w:r>
    </w:p>
    <w:p w14:paraId="78B8DD1C" w14:textId="76C9B6DA" w:rsidR="00276D6F" w:rsidRDefault="006C3593" w:rsidP="002B285C">
      <w:pPr>
        <w:pStyle w:val="BodyText"/>
      </w:pPr>
      <w:r>
        <w:t>A</w:t>
      </w:r>
      <w:r w:rsidR="00C5559B">
        <w:t>n</w:t>
      </w:r>
      <w:r w:rsidR="00276D6F">
        <w:t xml:space="preserve"> analysis was undertaken on </w:t>
      </w:r>
      <w:r w:rsidR="00276D6F" w:rsidRPr="008F6B0B">
        <w:t>the utilisation rates of specific products</w:t>
      </w:r>
      <w:r w:rsidR="00276D6F" w:rsidRPr="00A734BF">
        <w:t xml:space="preserve"> </w:t>
      </w:r>
      <w:r w:rsidR="00276D6F">
        <w:t>to understand if there were opportunities to remove</w:t>
      </w:r>
      <w:r w:rsidR="00276D6F" w:rsidRPr="00A734BF">
        <w:t xml:space="preserve"> low</w:t>
      </w:r>
      <w:r w:rsidR="003A664D">
        <w:t>-</w:t>
      </w:r>
      <w:r w:rsidR="00276D6F" w:rsidRPr="00A734BF">
        <w:t>utilisation rates of products</w:t>
      </w:r>
      <w:r w:rsidR="00C316C3">
        <w:t xml:space="preserve"> (see Section </w:t>
      </w:r>
      <w:r w:rsidR="00C316C3">
        <w:fldChar w:fldCharType="begin"/>
      </w:r>
      <w:r w:rsidR="00C316C3">
        <w:instrText xml:space="preserve"> REF _Ref157430670 \r \h </w:instrText>
      </w:r>
      <w:r w:rsidR="002B285C">
        <w:instrText xml:space="preserve"> \* MERGEFORMAT </w:instrText>
      </w:r>
      <w:r w:rsidR="00C316C3">
        <w:fldChar w:fldCharType="separate"/>
      </w:r>
      <w:r w:rsidR="00FE1418">
        <w:t>7.2.2</w:t>
      </w:r>
      <w:r w:rsidR="00C316C3">
        <w:fldChar w:fldCharType="end"/>
      </w:r>
      <w:r w:rsidR="00C316C3">
        <w:t>).</w:t>
      </w:r>
    </w:p>
    <w:p w14:paraId="6707639F" w14:textId="1ACE5EC9" w:rsidR="00276D6F" w:rsidRPr="00A84DA4" w:rsidRDefault="00276D6F" w:rsidP="002B285C">
      <w:pPr>
        <w:pStyle w:val="BodyText"/>
      </w:pPr>
      <w:r>
        <w:t xml:space="preserve">Removing older technology meant STNs could also have a follow-up with patients to reassess and recommend better products for </w:t>
      </w:r>
      <w:r w:rsidR="00C316C3">
        <w:t>ostomates</w:t>
      </w:r>
      <w:r>
        <w:t xml:space="preserve"> and support rationalisation of redundant products on the Scheme, supporting better efficiencies for stoma associations.</w:t>
      </w:r>
    </w:p>
    <w:p w14:paraId="2185ACB2" w14:textId="3B68C4A9" w:rsidR="00276D6F" w:rsidRPr="00A84DA4" w:rsidRDefault="00276D6F" w:rsidP="002B285C">
      <w:pPr>
        <w:pStyle w:val="BodyText"/>
      </w:pPr>
      <w:r>
        <w:lastRenderedPageBreak/>
        <w:t xml:space="preserve">Additionally, it was also suggested by product suppliers that these older products had effectively set the benchmark price for their categories, making it harder for new technologies to be added to the Schedule if they could not justify the cost and clinical effectiveness to gain approval for premium pricing. Considerations for rationalising and re-benchmarking the price of core product categories is assessed further in Chapter </w:t>
      </w:r>
      <w:r>
        <w:fldChar w:fldCharType="begin"/>
      </w:r>
      <w:r>
        <w:instrText xml:space="preserve"> REF _Ref157079173 \r \h </w:instrText>
      </w:r>
      <w:r w:rsidR="002B285C">
        <w:instrText xml:space="preserve"> \* MERGEFORMAT </w:instrText>
      </w:r>
      <w:r>
        <w:fldChar w:fldCharType="separate"/>
      </w:r>
      <w:r w:rsidR="00FE1418">
        <w:t>6</w:t>
      </w:r>
      <w:r>
        <w:fldChar w:fldCharType="end"/>
      </w:r>
      <w:r>
        <w:t xml:space="preserve"> when reviewing the current pricing methodology.</w:t>
      </w:r>
    </w:p>
    <w:p w14:paraId="203EEBA7" w14:textId="590FCD00" w:rsidR="00276D6F" w:rsidRDefault="00153C8A" w:rsidP="00276D6F">
      <w:pPr>
        <w:pStyle w:val="Heading2"/>
      </w:pPr>
      <w:r>
        <w:t>Maximum quantities</w:t>
      </w:r>
    </w:p>
    <w:p w14:paraId="28E327FB" w14:textId="4E385C81" w:rsidR="00276D6F" w:rsidRPr="00A84DA4" w:rsidRDefault="00276D6F" w:rsidP="002B285C">
      <w:pPr>
        <w:pStyle w:val="BodyText"/>
      </w:pPr>
      <w:r>
        <w:t xml:space="preserve">Throughout stakeholder consultations, there were examples raised by STNs where the </w:t>
      </w:r>
      <w:r w:rsidR="00153C8A">
        <w:t xml:space="preserve">maximum </w:t>
      </w:r>
      <w:r>
        <w:t xml:space="preserve">quantities supplied under the Scheme were inadequate or could be reduced. </w:t>
      </w:r>
      <w:r w:rsidR="00990B6F">
        <w:t xml:space="preserve">However, there were diverging </w:t>
      </w:r>
      <w:r w:rsidR="00262CCA" w:rsidRPr="00262CCA">
        <w:t xml:space="preserve">viewpoints regarding the maximum quantities supplied under the Scheme. </w:t>
      </w:r>
      <w:r>
        <w:t>There are m</w:t>
      </w:r>
      <w:r w:rsidRPr="79C811F9">
        <w:t xml:space="preserve">aximum </w:t>
      </w:r>
      <w:r>
        <w:t>quantity</w:t>
      </w:r>
      <w:r w:rsidRPr="79C811F9">
        <w:t xml:space="preserve"> anomalies </w:t>
      </w:r>
      <w:r>
        <w:t>in</w:t>
      </w:r>
      <w:r w:rsidRPr="79C811F9">
        <w:t xml:space="preserve"> the Scheme, with suggestions this has been sustained based on historical decisions, and related to ensuring that the patient does not get too many.</w:t>
      </w:r>
    </w:p>
    <w:p w14:paraId="2D819882" w14:textId="77777777" w:rsidR="00276D6F" w:rsidRPr="0094553E" w:rsidRDefault="00276D6F" w:rsidP="00276D6F">
      <w:r>
        <w:t>These include options to:</w:t>
      </w:r>
    </w:p>
    <w:p w14:paraId="5FC48246" w14:textId="6341A318" w:rsidR="00276D6F" w:rsidRDefault="00276D6F" w:rsidP="00E442CB">
      <w:pPr>
        <w:pStyle w:val="ListBullet"/>
        <w:numPr>
          <w:ilvl w:val="0"/>
          <w:numId w:val="24"/>
        </w:numPr>
      </w:pPr>
      <w:r w:rsidRPr="008F6B0B">
        <w:t>Increas</w:t>
      </w:r>
      <w:r>
        <w:t>e</w:t>
      </w:r>
      <w:r w:rsidRPr="008F6B0B">
        <w:t xml:space="preserve"> </w:t>
      </w:r>
      <w:r w:rsidR="00153C8A">
        <w:t xml:space="preserve">maximum </w:t>
      </w:r>
      <w:r>
        <w:t>quantities</w:t>
      </w:r>
      <w:r w:rsidRPr="008F6B0B">
        <w:t xml:space="preserve"> </w:t>
      </w:r>
      <w:r w:rsidRPr="00D8202F">
        <w:t>of products</w:t>
      </w:r>
      <w:r>
        <w:t xml:space="preserve"> such as:</w:t>
      </w:r>
    </w:p>
    <w:p w14:paraId="10C6A979" w14:textId="62A83BF4" w:rsidR="00276D6F" w:rsidRDefault="00276D6F" w:rsidP="00DC631D">
      <w:pPr>
        <w:pStyle w:val="ListBullet"/>
        <w:numPr>
          <w:ilvl w:val="0"/>
          <w:numId w:val="65"/>
        </w:numPr>
      </w:pPr>
      <w:r>
        <w:t xml:space="preserve">Convex bags </w:t>
      </w:r>
      <w:r w:rsidRPr="00A734BF">
        <w:t xml:space="preserve">from </w:t>
      </w:r>
      <w:r w:rsidRPr="00A84DA4">
        <w:t>60 to 90 bags per month</w:t>
      </w:r>
      <w:r>
        <w:t>: it was raised this would better</w:t>
      </w:r>
      <w:r w:rsidRPr="00A84DA4">
        <w:t xml:space="preserve"> help with managing supply</w:t>
      </w:r>
      <w:r>
        <w:t xml:space="preserve"> and lower the administrative burden for STNs by</w:t>
      </w:r>
      <w:r w:rsidRPr="00A84DA4">
        <w:t xml:space="preserve"> not having to </w:t>
      </w:r>
      <w:r>
        <w:t>do additional request forms for many ostomates each month.</w:t>
      </w:r>
      <w:r w:rsidR="004C060E">
        <w:t xml:space="preserve"> </w:t>
      </w:r>
      <w:r w:rsidR="00206267">
        <w:t>T</w:t>
      </w:r>
      <w:r w:rsidR="005F5DF4">
        <w:t xml:space="preserve">here </w:t>
      </w:r>
      <w:r w:rsidR="00460E64">
        <w:t>were</w:t>
      </w:r>
      <w:r w:rsidR="005F5DF4">
        <w:t xml:space="preserve"> suggestions that the quantities should</w:t>
      </w:r>
      <w:r w:rsidR="004C060E">
        <w:t xml:space="preserve"> match the </w:t>
      </w:r>
      <w:r w:rsidR="00511E9E">
        <w:t xml:space="preserve">number of bags </w:t>
      </w:r>
      <w:r w:rsidR="0023354E">
        <w:t xml:space="preserve">provided in </w:t>
      </w:r>
      <w:r w:rsidR="00846B13">
        <w:t xml:space="preserve">other </w:t>
      </w:r>
      <w:r w:rsidR="0023354E">
        <w:t xml:space="preserve">flat pouching </w:t>
      </w:r>
      <w:r w:rsidR="00DC2403">
        <w:t xml:space="preserve">and mechanical </w:t>
      </w:r>
      <w:r w:rsidR="0023354E">
        <w:t>systems</w:t>
      </w:r>
      <w:r w:rsidR="000C6714">
        <w:t xml:space="preserve">, although this feedback is </w:t>
      </w:r>
      <w:r w:rsidR="00DE53AF">
        <w:t xml:space="preserve">in opposition to other feedback that </w:t>
      </w:r>
      <w:r w:rsidR="005A7E86">
        <w:t xml:space="preserve">closed bag systems should be reduced </w:t>
      </w:r>
      <w:r w:rsidR="007C7A10">
        <w:t xml:space="preserve">as highlighted </w:t>
      </w:r>
      <w:r w:rsidR="005A7E86">
        <w:t>below.</w:t>
      </w:r>
    </w:p>
    <w:p w14:paraId="30604BF8" w14:textId="42DE054E" w:rsidR="00276D6F" w:rsidRDefault="00276D6F" w:rsidP="00DC631D">
      <w:pPr>
        <w:pStyle w:val="ListBullet"/>
        <w:numPr>
          <w:ilvl w:val="0"/>
          <w:numId w:val="65"/>
        </w:numPr>
      </w:pPr>
      <w:r>
        <w:t>Caps</w:t>
      </w:r>
      <w:r w:rsidR="00C316C3">
        <w:t xml:space="preserve"> and </w:t>
      </w:r>
      <w:r>
        <w:t>seals from 60 to 90 seals per month: this is to reflect the number of caps or seals matching</w:t>
      </w:r>
      <w:r w:rsidRPr="00A84DA4">
        <w:t xml:space="preserve"> with </w:t>
      </w:r>
      <w:r>
        <w:t>quantity of bags administered per month.</w:t>
      </w:r>
      <w:r w:rsidRPr="00A84DA4">
        <w:t xml:space="preserve"> </w:t>
      </w:r>
      <w:proofErr w:type="gramStart"/>
      <w:r>
        <w:t>At the moment</w:t>
      </w:r>
      <w:proofErr w:type="gramEnd"/>
      <w:r>
        <w:t>,</w:t>
      </w:r>
      <w:r w:rsidRPr="00A84DA4">
        <w:t xml:space="preserve"> </w:t>
      </w:r>
      <w:r w:rsidR="00DE22E2">
        <w:t xml:space="preserve">caps and </w:t>
      </w:r>
      <w:r w:rsidRPr="00A84DA4">
        <w:t xml:space="preserve">seals </w:t>
      </w:r>
      <w:r>
        <w:t>are provided</w:t>
      </w:r>
      <w:r w:rsidR="00A225D4">
        <w:t xml:space="preserve"> with a 30 or </w:t>
      </w:r>
      <w:r w:rsidR="00A225D4" w:rsidRPr="00A84DA4">
        <w:t xml:space="preserve">60 </w:t>
      </w:r>
      <w:r w:rsidR="00A225D4">
        <w:t>maximum quantity</w:t>
      </w:r>
      <w:r>
        <w:t xml:space="preserve"> but to use with</w:t>
      </w:r>
      <w:r w:rsidRPr="00A84DA4">
        <w:t xml:space="preserve"> 90</w:t>
      </w:r>
      <w:r>
        <w:t xml:space="preserve"> </w:t>
      </w:r>
      <w:r w:rsidRPr="00A84DA4">
        <w:t>bag</w:t>
      </w:r>
      <w:r>
        <w:t xml:space="preserve"> systems.</w:t>
      </w:r>
    </w:p>
    <w:p w14:paraId="794F27BB" w14:textId="5D3085E2" w:rsidR="00276D6F" w:rsidRDefault="00276D6F" w:rsidP="00DC631D">
      <w:pPr>
        <w:pStyle w:val="ListBullet"/>
        <w:numPr>
          <w:ilvl w:val="0"/>
          <w:numId w:val="65"/>
        </w:numPr>
      </w:pPr>
      <w:r>
        <w:t>ACE stoppers and dressings from 1 to 2 per month: feedback from paediatric STNs noted several examples of products where monthly allocation did not meet the required need for their patients and</w:t>
      </w:r>
      <w:r w:rsidRPr="00623F47">
        <w:t xml:space="preserve"> </w:t>
      </w:r>
      <w:r>
        <w:t xml:space="preserve">that they </w:t>
      </w:r>
      <w:r w:rsidRPr="00623F47">
        <w:t>are having to write additional supply forms for every patient</w:t>
      </w:r>
      <w:r>
        <w:t xml:space="preserve"> for these products</w:t>
      </w:r>
      <w:r w:rsidRPr="00623F47">
        <w:t>.</w:t>
      </w:r>
    </w:p>
    <w:p w14:paraId="6F72C31E" w14:textId="77777777" w:rsidR="00813B8A" w:rsidRDefault="00276D6F" w:rsidP="002F758F">
      <w:pPr>
        <w:pStyle w:val="ListBullet"/>
      </w:pPr>
      <w:r>
        <w:t xml:space="preserve">Reduce </w:t>
      </w:r>
      <w:r w:rsidR="00153C8A">
        <w:t>maximum</w:t>
      </w:r>
      <w:r>
        <w:t xml:space="preserve"> monthly quantities of products </w:t>
      </w:r>
      <w:r w:rsidRPr="009A0182">
        <w:t>such as:</w:t>
      </w:r>
      <w:r w:rsidR="002F758F">
        <w:t xml:space="preserve"> </w:t>
      </w:r>
    </w:p>
    <w:p w14:paraId="56F3674A" w14:textId="7E35EBB2" w:rsidR="005446C8" w:rsidRDefault="00276D6F" w:rsidP="005446C8">
      <w:pPr>
        <w:pStyle w:val="ListBullet"/>
        <w:numPr>
          <w:ilvl w:val="0"/>
          <w:numId w:val="65"/>
        </w:numPr>
      </w:pPr>
      <w:r>
        <w:t>C</w:t>
      </w:r>
      <w:r w:rsidRPr="00831AF9">
        <w:t>losed bag systems</w:t>
      </w:r>
      <w:r>
        <w:t xml:space="preserve"> </w:t>
      </w:r>
      <w:r w:rsidRPr="002F758F">
        <w:t>from</w:t>
      </w:r>
      <w:r>
        <w:t xml:space="preserve"> 20 to 10 bags per month:</w:t>
      </w:r>
      <w:r w:rsidRPr="00831AF9">
        <w:t xml:space="preserve"> </w:t>
      </w:r>
      <w:r>
        <w:t>it was suggested that 20 per month is excessive and potentially leading to wastage in the system.</w:t>
      </w:r>
    </w:p>
    <w:p w14:paraId="65CE3B1B" w14:textId="072360AF" w:rsidR="005446C8" w:rsidRDefault="005446C8" w:rsidP="000E7601">
      <w:pPr>
        <w:pStyle w:val="BodyText"/>
      </w:pPr>
      <w:r>
        <w:t>These contrasting perspectives underscore the complexity of determining optimal maximum quantities within the Scheme and appropriate allocation according to ostomate’s needs.</w:t>
      </w:r>
    </w:p>
    <w:p w14:paraId="52CE689C" w14:textId="77777777" w:rsidR="00276D6F" w:rsidRDefault="00276D6F" w:rsidP="00276D6F">
      <w:pPr>
        <w:pStyle w:val="Heading2"/>
      </w:pPr>
      <w:r>
        <w:t>Over-ordering and wastage</w:t>
      </w:r>
    </w:p>
    <w:p w14:paraId="56E84B52" w14:textId="538854FE" w:rsidR="00276D6F" w:rsidRPr="00A55F74" w:rsidRDefault="00D24FE4" w:rsidP="002B285C">
      <w:pPr>
        <w:pStyle w:val="BodyText"/>
      </w:pPr>
      <w:r w:rsidRPr="00D24FE4">
        <w:t xml:space="preserve">Concerns were raised regarding potential wastage in the Scheme, with some believing that the perception of it </w:t>
      </w:r>
      <w:r w:rsidR="00634E9F" w:rsidRPr="00D24FE4">
        <w:t>bei</w:t>
      </w:r>
      <w:r w:rsidR="00634E9F">
        <w:t>ng</w:t>
      </w:r>
      <w:r w:rsidRPr="00D24FE4">
        <w:t xml:space="preserve"> "f</w:t>
      </w:r>
      <w:r w:rsidR="00D51B93">
        <w:t>r</w:t>
      </w:r>
      <w:r w:rsidRPr="00D24FE4">
        <w:t>ee" led ostomates and suppliers to over-order products for various reasons:</w:t>
      </w:r>
    </w:p>
    <w:p w14:paraId="289E7117" w14:textId="6459E727" w:rsidR="00276D6F" w:rsidRPr="00A55F74" w:rsidRDefault="00276D6F" w:rsidP="00E442CB">
      <w:pPr>
        <w:pStyle w:val="ListNumber"/>
        <w:numPr>
          <w:ilvl w:val="0"/>
          <w:numId w:val="25"/>
        </w:numPr>
      </w:pPr>
      <w:r w:rsidRPr="00A55F74">
        <w:t xml:space="preserve">Ostomates </w:t>
      </w:r>
      <w:r w:rsidR="008D5BFE">
        <w:t xml:space="preserve">may lack a clear understanding </w:t>
      </w:r>
      <w:r w:rsidR="00084E74">
        <w:t xml:space="preserve">of the necessity for specific </w:t>
      </w:r>
      <w:r w:rsidRPr="00A55F74">
        <w:t>products</w:t>
      </w:r>
      <w:r w:rsidR="00084E74">
        <w:t xml:space="preserve">, leading them to order items </w:t>
      </w:r>
      <w:r w:rsidRPr="00A55F74">
        <w:t>“just in case” they help with their stoma care.</w:t>
      </w:r>
    </w:p>
    <w:p w14:paraId="61655333" w14:textId="26BBC7C3" w:rsidR="00276D6F" w:rsidRPr="00A55F74" w:rsidRDefault="00276D6F" w:rsidP="00E442CB">
      <w:pPr>
        <w:pStyle w:val="ListNumber"/>
        <w:numPr>
          <w:ilvl w:val="0"/>
          <w:numId w:val="25"/>
        </w:numPr>
      </w:pPr>
      <w:r w:rsidRPr="00A55F74">
        <w:lastRenderedPageBreak/>
        <w:t xml:space="preserve">Product suppliers </w:t>
      </w:r>
      <w:r w:rsidR="009B6454">
        <w:t xml:space="preserve">actively promote </w:t>
      </w:r>
      <w:r w:rsidRPr="00A55F74">
        <w:t>the benefits of the</w:t>
      </w:r>
      <w:r w:rsidR="00191F44">
        <w:t>ir</w:t>
      </w:r>
      <w:r w:rsidRPr="00A55F74">
        <w:t xml:space="preserve"> product to ostomates, </w:t>
      </w:r>
      <w:r w:rsidR="00191F44">
        <w:t xml:space="preserve">enticing them </w:t>
      </w:r>
      <w:r w:rsidRPr="00A55F74">
        <w:t xml:space="preserve">to try </w:t>
      </w:r>
      <w:r w:rsidR="00191F44">
        <w:t xml:space="preserve">them out since they can </w:t>
      </w:r>
      <w:r w:rsidRPr="00A55F74">
        <w:t xml:space="preserve">access </w:t>
      </w:r>
      <w:r w:rsidR="00191F44">
        <w:t xml:space="preserve">them through </w:t>
      </w:r>
      <w:r w:rsidRPr="00A55F74">
        <w:t>the Scheme.</w:t>
      </w:r>
    </w:p>
    <w:p w14:paraId="0735AF30" w14:textId="0CEB4CF9" w:rsidR="00276D6F" w:rsidRPr="00A55F74" w:rsidRDefault="00276D6F" w:rsidP="00E442CB">
      <w:pPr>
        <w:pStyle w:val="ListNumber"/>
        <w:numPr>
          <w:ilvl w:val="0"/>
          <w:numId w:val="25"/>
        </w:numPr>
      </w:pPr>
      <w:r w:rsidRPr="00A55F74">
        <w:t xml:space="preserve">The current responsibility of </w:t>
      </w:r>
      <w:r w:rsidR="00191F44">
        <w:t xml:space="preserve">ordering </w:t>
      </w:r>
      <w:r w:rsidR="007E3844">
        <w:t xml:space="preserve">products largely falls on </w:t>
      </w:r>
      <w:r w:rsidRPr="00A55F74">
        <w:t xml:space="preserve">the ostomate, </w:t>
      </w:r>
      <w:r w:rsidR="007E3844">
        <w:t xml:space="preserve">sometimes resulting in </w:t>
      </w:r>
      <w:r w:rsidRPr="00A55F74">
        <w:t xml:space="preserve">“self-prescription” of products that may have no clinical benefit </w:t>
      </w:r>
      <w:r w:rsidR="000917D0">
        <w:t xml:space="preserve">or worse lead to </w:t>
      </w:r>
      <w:r w:rsidRPr="00A55F74">
        <w:t>skin complications.</w:t>
      </w:r>
    </w:p>
    <w:p w14:paraId="318E67E1" w14:textId="39F4AAB9" w:rsidR="00276D6F" w:rsidRPr="00A55F74" w:rsidRDefault="000917D0" w:rsidP="00E442CB">
      <w:pPr>
        <w:pStyle w:val="ListNumber"/>
        <w:numPr>
          <w:ilvl w:val="0"/>
          <w:numId w:val="25"/>
        </w:numPr>
      </w:pPr>
      <w:r>
        <w:t>The u</w:t>
      </w:r>
      <w:r w:rsidR="00276D6F" w:rsidRPr="00A55F74">
        <w:t>se of newly marketed accessories</w:t>
      </w:r>
      <w:r w:rsidR="00EE64BA">
        <w:t>, while un</w:t>
      </w:r>
      <w:r w:rsidR="00276D6F" w:rsidRPr="00A55F74">
        <w:t>necessary</w:t>
      </w:r>
      <w:r w:rsidR="00EE64BA">
        <w:t xml:space="preserve">, can lead to </w:t>
      </w:r>
      <w:r w:rsidR="00276D6F" w:rsidRPr="00A55F74">
        <w:t>additional product</w:t>
      </w:r>
      <w:r w:rsidR="000E69F8">
        <w:t xml:space="preserve"> requirements</w:t>
      </w:r>
      <w:r w:rsidR="00276D6F" w:rsidRPr="00A55F74">
        <w:t xml:space="preserve">, e.g. use of skin creams </w:t>
      </w:r>
      <w:r w:rsidR="00E15786">
        <w:t xml:space="preserve">necessitating extra </w:t>
      </w:r>
      <w:r w:rsidR="00276D6F" w:rsidRPr="00A55F74">
        <w:t xml:space="preserve">adhesives to </w:t>
      </w:r>
      <w:r w:rsidR="00E15786">
        <w:t xml:space="preserve">secure </w:t>
      </w:r>
      <w:r w:rsidR="00276D6F" w:rsidRPr="00A55F74">
        <w:t>products in place.</w:t>
      </w:r>
    </w:p>
    <w:p w14:paraId="1A204E19" w14:textId="77777777" w:rsidR="00704848" w:rsidRDefault="00704848" w:rsidP="00E442CB">
      <w:pPr>
        <w:pStyle w:val="ListNumber"/>
        <w:numPr>
          <w:ilvl w:val="0"/>
          <w:numId w:val="25"/>
        </w:numPr>
      </w:pPr>
      <w:r w:rsidRPr="00704848">
        <w:t xml:space="preserve">Feedback from </w:t>
      </w:r>
      <w:r>
        <w:t>a few of the</w:t>
      </w:r>
      <w:r w:rsidRPr="00704848">
        <w:t xml:space="preserve"> associations highlighted a common practice of automatically sending products monthly without confirming their ongoing necessity or usage by ostomates. The assumption is that if there's no change in the order, the products are still needed. However, associations vary in their ability to check monthly order requirements. Some lack the necessary knowledge or resources, such as access to an STN, or the capacity to follow up with ostomates to ensure continued necessity for the products.</w:t>
      </w:r>
    </w:p>
    <w:p w14:paraId="47F1F100" w14:textId="384A6C0F" w:rsidR="00276D6F" w:rsidRPr="00A55F74" w:rsidRDefault="00C80625" w:rsidP="00E442CB">
      <w:pPr>
        <w:pStyle w:val="ListNumber"/>
        <w:numPr>
          <w:ilvl w:val="0"/>
          <w:numId w:val="25"/>
        </w:numPr>
      </w:pPr>
      <w:r>
        <w:t>O</w:t>
      </w:r>
      <w:r w:rsidR="00276D6F" w:rsidRPr="00A55F74">
        <w:t xml:space="preserve">stomates </w:t>
      </w:r>
      <w:r>
        <w:t xml:space="preserve">often fear </w:t>
      </w:r>
      <w:r w:rsidR="00276D6F" w:rsidRPr="00A55F74">
        <w:t xml:space="preserve">running out of products within their usual </w:t>
      </w:r>
      <w:r w:rsidR="0095378F">
        <w:t xml:space="preserve">maximum </w:t>
      </w:r>
      <w:r w:rsidR="00276D6F" w:rsidRPr="00A55F74">
        <w:t>allocation</w:t>
      </w:r>
      <w:r w:rsidR="00F135FF">
        <w:t xml:space="preserve">, prompting them to </w:t>
      </w:r>
      <w:r w:rsidR="00276D6F" w:rsidRPr="00A55F74">
        <w:t>stockpile</w:t>
      </w:r>
      <w:r w:rsidR="00F135FF">
        <w:t xml:space="preserve"> to ensure adequate supply</w:t>
      </w:r>
      <w:r w:rsidR="00276D6F" w:rsidRPr="00A55F74">
        <w:t xml:space="preserve">. This fear </w:t>
      </w:r>
      <w:r w:rsidR="00F135FF">
        <w:t xml:space="preserve">intensified during the </w:t>
      </w:r>
      <w:r w:rsidR="00276D6F" w:rsidRPr="00A55F74">
        <w:t>COVID-19 pandemic</w:t>
      </w:r>
      <w:r w:rsidR="005A2881">
        <w:t xml:space="preserve">, when </w:t>
      </w:r>
      <w:r w:rsidR="00276D6F" w:rsidRPr="00A55F74">
        <w:t>delays in product</w:t>
      </w:r>
      <w:r w:rsidR="005A2881">
        <w:t xml:space="preserve"> delivery were a concern</w:t>
      </w:r>
      <w:r w:rsidR="00276D6F" w:rsidRPr="00A55F74">
        <w:t xml:space="preserve">, </w:t>
      </w:r>
      <w:r w:rsidR="005A2881">
        <w:t xml:space="preserve">especially </w:t>
      </w:r>
      <w:r w:rsidR="00276D6F" w:rsidRPr="00A55F74">
        <w:t>for rural and remote ostomates.</w:t>
      </w:r>
    </w:p>
    <w:p w14:paraId="27B757C8" w14:textId="57592EF9" w:rsidR="00276D6F" w:rsidRPr="00A55F74" w:rsidRDefault="001C13DB" w:rsidP="00E442CB">
      <w:pPr>
        <w:pStyle w:val="ListNumber"/>
        <w:numPr>
          <w:ilvl w:val="0"/>
          <w:numId w:val="25"/>
        </w:numPr>
      </w:pPr>
      <w:r w:rsidRPr="001C13DB">
        <w:t xml:space="preserve">In some cases, the quantities of certain products available through the Scheme </w:t>
      </w:r>
      <w:r w:rsidR="00DF3823">
        <w:t>d</w:t>
      </w:r>
      <w:r w:rsidRPr="001C13DB">
        <w:t>on't align with ostoma</w:t>
      </w:r>
      <w:r w:rsidR="00DF3823">
        <w:t>t</w:t>
      </w:r>
      <w:r w:rsidRPr="001C13DB">
        <w:t xml:space="preserve">es' actual needs, leading to the necessity of ordering more than their </w:t>
      </w:r>
      <w:r w:rsidR="0095378F">
        <w:t xml:space="preserve">maximum </w:t>
      </w:r>
      <w:r w:rsidRPr="001C13DB">
        <w:t>allocation, particularly in cases where caps or seals for the bags are insufficient.</w:t>
      </w:r>
    </w:p>
    <w:p w14:paraId="3FAF51C6" w14:textId="77777777" w:rsidR="00276D6F" w:rsidRPr="003707E0" w:rsidRDefault="00276D6F" w:rsidP="00276D6F">
      <w:pPr>
        <w:pStyle w:val="Heading2"/>
      </w:pPr>
      <w:r>
        <w:t>Other emerging issues</w:t>
      </w:r>
    </w:p>
    <w:p w14:paraId="43E0E2A9" w14:textId="6B825913" w:rsidR="00276D6F" w:rsidRPr="005A0C16" w:rsidRDefault="00276D6F" w:rsidP="002B285C">
      <w:pPr>
        <w:pStyle w:val="BodyText"/>
      </w:pPr>
      <w:r>
        <w:t xml:space="preserve">Throughout consultations, </w:t>
      </w:r>
      <w:r w:rsidR="00694845">
        <w:t>several</w:t>
      </w:r>
      <w:r>
        <w:t xml:space="preserve"> other issues emerged related to the Schedule and how the Scheme is administered for consideration in the Review:</w:t>
      </w:r>
    </w:p>
    <w:p w14:paraId="25643D0C" w14:textId="7EE5FDE9" w:rsidR="00276D6F" w:rsidRPr="003707E0" w:rsidRDefault="002E73C1" w:rsidP="00E442CB">
      <w:pPr>
        <w:pStyle w:val="ListNumber"/>
        <w:numPr>
          <w:ilvl w:val="0"/>
          <w:numId w:val="26"/>
        </w:numPr>
      </w:pPr>
      <w:r>
        <w:rPr>
          <w:b/>
        </w:rPr>
        <w:t xml:space="preserve">Diverse views </w:t>
      </w:r>
      <w:r w:rsidR="00276D6F" w:rsidRPr="00C316C3">
        <w:rPr>
          <w:b/>
        </w:rPr>
        <w:t xml:space="preserve">on </w:t>
      </w:r>
      <w:r w:rsidRPr="00C316C3">
        <w:rPr>
          <w:b/>
        </w:rPr>
        <w:t>available</w:t>
      </w:r>
      <w:r w:rsidRPr="00C316C3" w:rsidDel="002E73C1">
        <w:rPr>
          <w:b/>
        </w:rPr>
        <w:t xml:space="preserve"> </w:t>
      </w:r>
      <w:r w:rsidR="00276D6F" w:rsidRPr="00C316C3">
        <w:rPr>
          <w:b/>
        </w:rPr>
        <w:t>products</w:t>
      </w:r>
      <w:r w:rsidR="00276D6F">
        <w:t>:</w:t>
      </w:r>
      <w:r w:rsidR="00376DEA" w:rsidRPr="00376DEA">
        <w:t xml:space="preserve"> Stakeholders, primarily STNs, from different healthcare settings (hospital and community) and with experience in both adult and </w:t>
      </w:r>
      <w:r w:rsidR="00E85CB0" w:rsidRPr="00376DEA">
        <w:t>paediatric</w:t>
      </w:r>
      <w:r w:rsidR="00376DEA" w:rsidRPr="00376DEA">
        <w:t xml:space="preserve"> stoma care discussed the product range on the Schedule. While clinical necessity was emphasi</w:t>
      </w:r>
      <w:r w:rsidR="00893867">
        <w:t>s</w:t>
      </w:r>
      <w:r w:rsidR="00376DEA" w:rsidRPr="00376DEA">
        <w:t>ed,</w:t>
      </w:r>
      <w:r w:rsidR="00DF3823">
        <w:t xml:space="preserve"> </w:t>
      </w:r>
      <w:r w:rsidR="00376DEA" w:rsidRPr="00376DEA">
        <w:t>it's essential to also consider products that support ostoma</w:t>
      </w:r>
      <w:r w:rsidR="00DF3823">
        <w:t>t</w:t>
      </w:r>
      <w:r w:rsidR="00376DEA" w:rsidRPr="00376DEA">
        <w:t>es' confidence and discretion in stoma care. The social impact of product accessibility should not be overlooked.</w:t>
      </w:r>
    </w:p>
    <w:p w14:paraId="1186AC0F" w14:textId="49C21CC0" w:rsidR="00276D6F" w:rsidRPr="003707E0" w:rsidRDefault="006B09CC" w:rsidP="00E442CB">
      <w:pPr>
        <w:pStyle w:val="ListNumber"/>
        <w:numPr>
          <w:ilvl w:val="0"/>
          <w:numId w:val="26"/>
        </w:numPr>
      </w:pPr>
      <w:r w:rsidRPr="006B09CC">
        <w:rPr>
          <w:b/>
        </w:rPr>
        <w:t>Concerns about product suppli</w:t>
      </w:r>
      <w:r w:rsidR="00DF3823">
        <w:rPr>
          <w:b/>
        </w:rPr>
        <w:t>e</w:t>
      </w:r>
      <w:r w:rsidRPr="006B09CC">
        <w:rPr>
          <w:b/>
        </w:rPr>
        <w:t xml:space="preserve">rs' </w:t>
      </w:r>
      <w:proofErr w:type="gramStart"/>
      <w:r w:rsidRPr="006B09CC">
        <w:rPr>
          <w:b/>
        </w:rPr>
        <w:t>marketing</w:t>
      </w:r>
      <w:r w:rsidRPr="006B09CC" w:rsidDel="006B09CC">
        <w:rPr>
          <w:b/>
        </w:rPr>
        <w:t xml:space="preserve"> </w:t>
      </w:r>
      <w:r w:rsidR="00276D6F">
        <w:t>:</w:t>
      </w:r>
      <w:proofErr w:type="gramEnd"/>
      <w:r w:rsidR="00276D6F">
        <w:t xml:space="preserve"> </w:t>
      </w:r>
      <w:r w:rsidRPr="006B09CC">
        <w:t>Clinical stakeholders expressed worries about product suppliers directly marketing to ostomates through various channels. This could lead to over-ordering, misuse, and potential system wastage.</w:t>
      </w:r>
    </w:p>
    <w:p w14:paraId="768385DA" w14:textId="40A2EC0A" w:rsidR="00276D6F" w:rsidRDefault="00276D6F" w:rsidP="00E442CB">
      <w:pPr>
        <w:pStyle w:val="ListNumber"/>
        <w:numPr>
          <w:ilvl w:val="0"/>
          <w:numId w:val="26"/>
        </w:numPr>
      </w:pPr>
      <w:r w:rsidRPr="00C316C3">
        <w:rPr>
          <w:b/>
        </w:rPr>
        <w:t xml:space="preserve">Administrative </w:t>
      </w:r>
      <w:r w:rsidR="006B09CC">
        <w:rPr>
          <w:b/>
        </w:rPr>
        <w:t xml:space="preserve">challenges of imposing </w:t>
      </w:r>
      <w:r w:rsidRPr="00C316C3">
        <w:rPr>
          <w:b/>
        </w:rPr>
        <w:t>restrictions</w:t>
      </w:r>
      <w:r>
        <w:t>: if additional restrictions are placed on products,</w:t>
      </w:r>
      <w:r w:rsidR="00DF3823">
        <w:t xml:space="preserve"> </w:t>
      </w:r>
      <w:r w:rsidR="006B09CC" w:rsidRPr="006B09CC">
        <w:t xml:space="preserve">it's important to assess the impact on STNs and healthcare providers responsible for approving products. This could increase administrative burdens for healthcare professionals, ostomates, and the </w:t>
      </w:r>
      <w:r w:rsidR="00FC12ED">
        <w:t>G</w:t>
      </w:r>
      <w:r w:rsidR="006B09CC" w:rsidRPr="006B09CC">
        <w:t>overnment, potentially offsetting any cost-saving objectives.</w:t>
      </w:r>
    </w:p>
    <w:p w14:paraId="303EFA3D" w14:textId="454615D9" w:rsidR="007719DA" w:rsidRDefault="00276D6F" w:rsidP="00E442CB">
      <w:pPr>
        <w:pStyle w:val="ListNumber"/>
        <w:numPr>
          <w:ilvl w:val="0"/>
          <w:numId w:val="26"/>
        </w:numPr>
      </w:pPr>
      <w:r w:rsidRPr="006B09CC">
        <w:rPr>
          <w:b/>
        </w:rPr>
        <w:t>Communications and change management:</w:t>
      </w:r>
      <w:r>
        <w:t xml:space="preserve"> </w:t>
      </w:r>
      <w:r w:rsidR="00741830">
        <w:t>It was the views of some stakeholders, such as ostomates, product suppliers and STNs, that d</w:t>
      </w:r>
      <w:r w:rsidR="006B09CC" w:rsidRPr="006B09CC">
        <w:t xml:space="preserve">ecisions regarding changes to the Schedule often seem disconnected from ostomates and clinicians working within the system. The perception </w:t>
      </w:r>
      <w:r w:rsidR="00F00720">
        <w:t xml:space="preserve">of some stakeholders </w:t>
      </w:r>
      <w:r w:rsidR="006B09CC" w:rsidRPr="006B09CC">
        <w:t xml:space="preserve">is that decisions made solely by SPAP members do not </w:t>
      </w:r>
      <w:r w:rsidR="006B09CC" w:rsidRPr="006B09CC">
        <w:lastRenderedPageBreak/>
        <w:t>adequately represent the wider stoma care community. Feedback suggests that any recommendations from this Review should be subject to broader consultation before pursuing changes.</w:t>
      </w:r>
    </w:p>
    <w:p w14:paraId="6E3A79ED" w14:textId="77777777" w:rsidR="008514E9" w:rsidRDefault="008514E9" w:rsidP="008514E9">
      <w:pPr>
        <w:pStyle w:val="Heading1"/>
      </w:pPr>
      <w:bookmarkStart w:id="46" w:name="_Toc157525620"/>
      <w:bookmarkStart w:id="47" w:name="_Toc156898589"/>
      <w:bookmarkStart w:id="48" w:name="_Ref157079173"/>
      <w:bookmarkStart w:id="49" w:name="_Ref157430553"/>
      <w:bookmarkStart w:id="50" w:name="_Toc161743093"/>
      <w:bookmarkEnd w:id="46"/>
      <w:r w:rsidRPr="001528FE">
        <w:lastRenderedPageBreak/>
        <w:t xml:space="preserve">Pricing </w:t>
      </w:r>
      <w:r>
        <w:t>Methodology and Alternatives</w:t>
      </w:r>
      <w:bookmarkEnd w:id="47"/>
      <w:bookmarkEnd w:id="48"/>
      <w:bookmarkEnd w:id="49"/>
      <w:bookmarkEnd w:id="50"/>
    </w:p>
    <w:p w14:paraId="5464685E" w14:textId="50C4847A" w:rsidR="008514E9" w:rsidRDefault="008514E9" w:rsidP="002B285C">
      <w:pPr>
        <w:pStyle w:val="BodyText"/>
      </w:pPr>
      <w:r>
        <w:t>This Chapter provides an overview of the current pricing methodology, analyses the main features including advantages and disadvantages and key considerations for alternative approaches and their feasibility for the Scheme.</w:t>
      </w:r>
    </w:p>
    <w:p w14:paraId="2B04ADF3" w14:textId="77777777" w:rsidR="008514E9" w:rsidRDefault="008514E9" w:rsidP="008514E9">
      <w:pPr>
        <w:pStyle w:val="Heading2"/>
      </w:pPr>
      <w:r>
        <w:t>Current pricing methodology</w:t>
      </w:r>
    </w:p>
    <w:p w14:paraId="2458A593" w14:textId="77777777" w:rsidR="00225BA2" w:rsidRDefault="00225BA2" w:rsidP="008514E9">
      <w:pPr>
        <w:pStyle w:val="BodyText"/>
      </w:pPr>
      <w:r>
        <w:t>The Scheme has a well-established pricing methodology that has been developed and refined over the past 40 years since its inception.</w:t>
      </w:r>
    </w:p>
    <w:p w14:paraId="6D9207E9" w14:textId="2C612720" w:rsidR="008514E9" w:rsidRDefault="008514E9" w:rsidP="008514E9">
      <w:pPr>
        <w:pStyle w:val="BodyText"/>
      </w:pPr>
      <w:r>
        <w:t xml:space="preserve">Product prices in the Schedule are set by the Department following advice from SPAP and negotiation with </w:t>
      </w:r>
      <w:r w:rsidR="00C316C3">
        <w:t>Scheme</w:t>
      </w:r>
      <w:r>
        <w:t xml:space="preserve"> sponsors.</w:t>
      </w:r>
    </w:p>
    <w:p w14:paraId="16465E2C" w14:textId="77777777" w:rsidR="008514E9" w:rsidRDefault="008514E9" w:rsidP="008514E9">
      <w:pPr>
        <w:pStyle w:val="BodyText"/>
      </w:pPr>
      <w:r>
        <w:t>There are two pricing categories:</w:t>
      </w:r>
    </w:p>
    <w:p w14:paraId="24978073" w14:textId="5E4A56B6" w:rsidR="008514E9" w:rsidRDefault="008514E9" w:rsidP="00A969C1">
      <w:pPr>
        <w:pStyle w:val="ListBullet"/>
        <w:numPr>
          <w:ilvl w:val="0"/>
          <w:numId w:val="2"/>
        </w:numPr>
      </w:pPr>
      <w:r w:rsidRPr="00225BA2">
        <w:rPr>
          <w:color w:val="3B0083" w:themeColor="accent1"/>
        </w:rPr>
        <w:t xml:space="preserve">Benchmark prices </w:t>
      </w:r>
      <w:r>
        <w:t xml:space="preserve">– the product prices set by the Department and defined in the </w:t>
      </w:r>
      <w:r w:rsidR="00C316C3">
        <w:t>Scheme</w:t>
      </w:r>
      <w:r>
        <w:t xml:space="preserve"> Schedule.</w:t>
      </w:r>
    </w:p>
    <w:p w14:paraId="632773AC" w14:textId="77777777" w:rsidR="008514E9" w:rsidRDefault="008514E9" w:rsidP="00A969C1">
      <w:pPr>
        <w:pStyle w:val="ListBullet"/>
        <w:numPr>
          <w:ilvl w:val="0"/>
          <w:numId w:val="2"/>
        </w:numPr>
      </w:pPr>
      <w:r w:rsidRPr="00225BA2">
        <w:rPr>
          <w:color w:val="3B0083" w:themeColor="accent1"/>
        </w:rPr>
        <w:t xml:space="preserve">Premium prices </w:t>
      </w:r>
      <w:r>
        <w:t>– Products may be listed at a price higher than the benchmark if they are assessed by SPAP as providing superior efficacy and/or safety and their cost-effectiveness is relative to their clinical effectiveness at the higher price.</w:t>
      </w:r>
    </w:p>
    <w:p w14:paraId="7B8D7AA7" w14:textId="77777777" w:rsidR="008514E9" w:rsidRDefault="008514E9" w:rsidP="008514E9">
      <w:pPr>
        <w:pStyle w:val="BodyText"/>
      </w:pPr>
      <w:r>
        <w:t>Current pricing and maximum quantities of products in each of the Schedule groups are:</w:t>
      </w:r>
    </w:p>
    <w:p w14:paraId="7DA74B74" w14:textId="77777777" w:rsidR="008514E9" w:rsidRDefault="008514E9" w:rsidP="00A969C1">
      <w:pPr>
        <w:pStyle w:val="ListBullet"/>
        <w:numPr>
          <w:ilvl w:val="0"/>
          <w:numId w:val="2"/>
        </w:numPr>
      </w:pPr>
      <w:r>
        <w:t>Groups 1 to 7 have a defined benchmark price.</w:t>
      </w:r>
    </w:p>
    <w:p w14:paraId="1606ABD6" w14:textId="4E4DC3AF" w:rsidR="008514E9" w:rsidRDefault="008514E9" w:rsidP="00A969C1">
      <w:pPr>
        <w:pStyle w:val="ListBullet"/>
        <w:numPr>
          <w:ilvl w:val="0"/>
          <w:numId w:val="2"/>
        </w:numPr>
      </w:pPr>
      <w:r>
        <w:t xml:space="preserve">Products in Groups 1-7 may be eligible to be listed at a price premium </w:t>
      </w:r>
      <w:r w:rsidR="00494A5F">
        <w:t>relative to the</w:t>
      </w:r>
      <w:r>
        <w:t xml:space="preserve"> benchmark if they are assessed by the SPAP as providing improved health outcomes and are cost-effective at the higher price.</w:t>
      </w:r>
    </w:p>
    <w:p w14:paraId="0FEBB4C4" w14:textId="77777777" w:rsidR="008C69BC" w:rsidRDefault="008514E9" w:rsidP="00A969C1">
      <w:pPr>
        <w:pStyle w:val="ListBullet"/>
        <w:numPr>
          <w:ilvl w:val="0"/>
          <w:numId w:val="2"/>
        </w:numPr>
      </w:pPr>
      <w:r>
        <w:t>Products listed in Groups 8 to 11 are reviewed by the SPAP to determine the most appropriate benchmark price and restriction quantities for these products.</w:t>
      </w:r>
    </w:p>
    <w:p w14:paraId="49E56899" w14:textId="477B909B" w:rsidR="008514E9" w:rsidRDefault="008C69BC" w:rsidP="00A969C1">
      <w:pPr>
        <w:pStyle w:val="ListBullet"/>
        <w:numPr>
          <w:ilvl w:val="0"/>
          <w:numId w:val="0"/>
        </w:numPr>
      </w:pPr>
      <w:r>
        <w:fldChar w:fldCharType="begin"/>
      </w:r>
      <w:r>
        <w:instrText xml:space="preserve"> REF _Ref157093521 \h </w:instrText>
      </w:r>
      <w:r>
        <w:fldChar w:fldCharType="separate"/>
      </w:r>
      <w:r w:rsidR="00FE1418">
        <w:t xml:space="preserve">Figure </w:t>
      </w:r>
      <w:r w:rsidR="00FE1418">
        <w:rPr>
          <w:noProof/>
        </w:rPr>
        <w:t>7</w:t>
      </w:r>
      <w:r>
        <w:fldChar w:fldCharType="end"/>
      </w:r>
      <w:r w:rsidR="008514E9">
        <w:t xml:space="preserve"> </w:t>
      </w:r>
      <w:r w:rsidR="008514E9" w:rsidRPr="001B23D8">
        <w:t>highlights the p</w:t>
      </w:r>
      <w:r w:rsidR="00225BA2">
        <w:t xml:space="preserve">roportion </w:t>
      </w:r>
      <w:r w:rsidR="008514E9" w:rsidRPr="001B23D8">
        <w:t>of products with benchmark vs premium prices for 2022-23</w:t>
      </w:r>
      <w:r w:rsidR="005C0D74">
        <w:t xml:space="preserve">, and </w:t>
      </w:r>
      <w:r w:rsidR="00FA59D4">
        <w:fldChar w:fldCharType="begin"/>
      </w:r>
      <w:r w:rsidR="00FA59D4">
        <w:instrText xml:space="preserve"> REF _Ref157613401 \h </w:instrText>
      </w:r>
      <w:r w:rsidR="00FA59D4">
        <w:fldChar w:fldCharType="separate"/>
      </w:r>
      <w:r w:rsidR="00FE1418">
        <w:t xml:space="preserve">Figure </w:t>
      </w:r>
      <w:r w:rsidR="00FE1418">
        <w:rPr>
          <w:noProof/>
        </w:rPr>
        <w:t>8</w:t>
      </w:r>
      <w:r w:rsidR="00FA59D4">
        <w:fldChar w:fldCharType="end"/>
      </w:r>
      <w:r w:rsidR="00FA59D4">
        <w:t xml:space="preserve"> and </w:t>
      </w:r>
      <w:r w:rsidR="00FA59D4">
        <w:fldChar w:fldCharType="begin"/>
      </w:r>
      <w:r w:rsidR="00FA59D4">
        <w:instrText xml:space="preserve"> REF _Ref157613403 \h </w:instrText>
      </w:r>
      <w:r w:rsidR="00FA59D4">
        <w:fldChar w:fldCharType="separate"/>
      </w:r>
      <w:r w:rsidR="00FE1418">
        <w:t xml:space="preserve">Figure </w:t>
      </w:r>
      <w:r w:rsidR="00FE1418">
        <w:rPr>
          <w:noProof/>
        </w:rPr>
        <w:t>9</w:t>
      </w:r>
      <w:r w:rsidR="00FA59D4">
        <w:fldChar w:fldCharType="end"/>
      </w:r>
      <w:r w:rsidR="005C0D74">
        <w:t xml:space="preserve"> </w:t>
      </w:r>
      <w:r w:rsidR="00FA59D4">
        <w:t>provide the average costs of benchmark and premium prices</w:t>
      </w:r>
      <w:r w:rsidR="00A12933">
        <w:t xml:space="preserve"> in each subgroup.</w:t>
      </w:r>
    </w:p>
    <w:p w14:paraId="3FB2E5A2" w14:textId="17E353A3" w:rsidR="0015042A" w:rsidRDefault="0015042A" w:rsidP="0015042A">
      <w:pPr>
        <w:pStyle w:val="Caption"/>
      </w:pPr>
      <w:bookmarkStart w:id="51" w:name="_Ref157093521"/>
      <w:bookmarkStart w:id="52" w:name="_Toc161743131"/>
      <w:r>
        <w:lastRenderedPageBreak/>
        <w:t xml:space="preserve">Figure </w:t>
      </w:r>
      <w:r>
        <w:fldChar w:fldCharType="begin"/>
      </w:r>
      <w:r>
        <w:instrText xml:space="preserve"> SEQ Figure \* ARABIC </w:instrText>
      </w:r>
      <w:r>
        <w:fldChar w:fldCharType="separate"/>
      </w:r>
      <w:r w:rsidR="00FE1418">
        <w:rPr>
          <w:noProof/>
        </w:rPr>
        <w:t>7</w:t>
      </w:r>
      <w:r>
        <w:rPr>
          <w:noProof/>
        </w:rPr>
        <w:fldChar w:fldCharType="end"/>
      </w:r>
      <w:bookmarkEnd w:id="51"/>
      <w:r>
        <w:t xml:space="preserve">: </w:t>
      </w:r>
      <w:r w:rsidRPr="003A0B9B">
        <w:t>P</w:t>
      </w:r>
      <w:r w:rsidR="000D1FB9">
        <w:t xml:space="preserve">roportion </w:t>
      </w:r>
      <w:r w:rsidRPr="003A0B9B">
        <w:t xml:space="preserve">of products in Groups 1 to 7 with premium vs benchmark price, </w:t>
      </w:r>
      <w:proofErr w:type="gramStart"/>
      <w:r w:rsidRPr="003A0B9B">
        <w:t>2022-23</w:t>
      </w:r>
      <w:bookmarkEnd w:id="52"/>
      <w:proofErr w:type="gramEnd"/>
    </w:p>
    <w:p w14:paraId="2A788AE4" w14:textId="64D47365" w:rsidR="00C316C3" w:rsidRPr="00C316C3" w:rsidRDefault="00C316C3" w:rsidP="00225BA2">
      <w:pPr>
        <w:pStyle w:val="BodyText"/>
        <w:spacing w:after="0"/>
        <w:jc w:val="center"/>
      </w:pPr>
      <w:r>
        <w:rPr>
          <w:noProof/>
        </w:rPr>
        <w:drawing>
          <wp:inline distT="0" distB="0" distL="0" distR="0" wp14:anchorId="3E23504A" wp14:editId="4A97D722">
            <wp:extent cx="5730875" cy="3169920"/>
            <wp:effectExtent l="0" t="0" r="3175" b="0"/>
            <wp:docPr id="1662142204" name="Picture 4" descr="Figure 7: Proportion of products in Groups 1 to 7 with premium vs benchmark price,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42204" name="Picture 4" descr="Figure 7: Proportion of products in Groups 1 to 7 with premium vs benchmark price, 2022-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3169920"/>
                    </a:xfrm>
                    <a:prstGeom prst="rect">
                      <a:avLst/>
                    </a:prstGeom>
                    <a:noFill/>
                  </pic:spPr>
                </pic:pic>
              </a:graphicData>
            </a:graphic>
          </wp:inline>
        </w:drawing>
      </w:r>
    </w:p>
    <w:p w14:paraId="405C419D" w14:textId="06507718" w:rsidR="008514E9" w:rsidRPr="002B285C" w:rsidRDefault="008514E9" w:rsidP="002B285C">
      <w:pPr>
        <w:pStyle w:val="Source"/>
        <w:spacing w:before="0" w:after="0"/>
        <w:rPr>
          <w:sz w:val="16"/>
          <w:szCs w:val="16"/>
        </w:rPr>
      </w:pPr>
      <w:r w:rsidRPr="002557C9">
        <w:rPr>
          <w:color w:val="auto"/>
          <w:sz w:val="16"/>
          <w:szCs w:val="16"/>
        </w:rPr>
        <w:t xml:space="preserve">Note: products listed with a negative premium price on the </w:t>
      </w:r>
      <w:r w:rsidR="00C316C3" w:rsidRPr="002557C9">
        <w:rPr>
          <w:color w:val="auto"/>
          <w:sz w:val="16"/>
          <w:szCs w:val="16"/>
        </w:rPr>
        <w:t>Scheme</w:t>
      </w:r>
      <w:r w:rsidRPr="002557C9">
        <w:rPr>
          <w:color w:val="auto"/>
          <w:sz w:val="16"/>
          <w:szCs w:val="16"/>
        </w:rPr>
        <w:t xml:space="preserve"> are assumed to have zero premium (i.e., are counted as benchmark price only)</w:t>
      </w:r>
    </w:p>
    <w:p w14:paraId="2E4E0C43" w14:textId="0330653E" w:rsidR="008514E9" w:rsidRPr="002B285C" w:rsidRDefault="008514E9" w:rsidP="002B285C">
      <w:pPr>
        <w:pStyle w:val="Source"/>
        <w:spacing w:before="0" w:after="0"/>
        <w:rPr>
          <w:sz w:val="16"/>
          <w:szCs w:val="16"/>
        </w:rPr>
      </w:pPr>
      <w:r w:rsidRPr="002557C9">
        <w:rPr>
          <w:color w:val="auto"/>
          <w:sz w:val="16"/>
          <w:szCs w:val="16"/>
        </w:rPr>
        <w:t xml:space="preserve">Source: </w:t>
      </w:r>
      <w:r w:rsidR="00C316C3" w:rsidRPr="002557C9">
        <w:rPr>
          <w:color w:val="auto"/>
          <w:sz w:val="16"/>
          <w:szCs w:val="16"/>
        </w:rPr>
        <w:t>Scheme</w:t>
      </w:r>
      <w:r w:rsidRPr="002557C9">
        <w:rPr>
          <w:color w:val="auto"/>
          <w:sz w:val="16"/>
          <w:szCs w:val="16"/>
        </w:rPr>
        <w:t xml:space="preserve"> October 2023, </w:t>
      </w:r>
      <w:proofErr w:type="spellStart"/>
      <w:r w:rsidRPr="002557C9">
        <w:rPr>
          <w:color w:val="auto"/>
          <w:sz w:val="16"/>
          <w:szCs w:val="16"/>
        </w:rPr>
        <w:t>HealthConsult</w:t>
      </w:r>
      <w:proofErr w:type="spellEnd"/>
      <w:r w:rsidRPr="002557C9">
        <w:rPr>
          <w:color w:val="auto"/>
          <w:sz w:val="16"/>
          <w:szCs w:val="16"/>
        </w:rPr>
        <w:t xml:space="preserve"> analysis</w:t>
      </w:r>
    </w:p>
    <w:p w14:paraId="03393EAF" w14:textId="6F5FEA87" w:rsidR="008514E9" w:rsidRDefault="008514E9" w:rsidP="008514E9">
      <w:pPr>
        <w:pStyle w:val="Caption"/>
      </w:pPr>
      <w:bookmarkStart w:id="53" w:name="_Ref157613401"/>
      <w:bookmarkStart w:id="54" w:name="_Ref157613395"/>
      <w:bookmarkStart w:id="55" w:name="_Toc161743132"/>
      <w:r>
        <w:t xml:space="preserve">Figure </w:t>
      </w:r>
      <w:r>
        <w:fldChar w:fldCharType="begin"/>
      </w:r>
      <w:r>
        <w:instrText xml:space="preserve"> SEQ Figure \* ARABIC </w:instrText>
      </w:r>
      <w:r>
        <w:fldChar w:fldCharType="separate"/>
      </w:r>
      <w:r w:rsidR="00FE1418">
        <w:rPr>
          <w:noProof/>
        </w:rPr>
        <w:t>8</w:t>
      </w:r>
      <w:r>
        <w:rPr>
          <w:noProof/>
        </w:rPr>
        <w:fldChar w:fldCharType="end"/>
      </w:r>
      <w:bookmarkEnd w:id="53"/>
      <w:r>
        <w:t xml:space="preserve">: Average price of products in Groups 1 to 7, </w:t>
      </w:r>
      <w:proofErr w:type="gramStart"/>
      <w:r>
        <w:t>2022-23</w:t>
      </w:r>
      <w:bookmarkEnd w:id="54"/>
      <w:bookmarkEnd w:id="55"/>
      <w:proofErr w:type="gramEnd"/>
    </w:p>
    <w:p w14:paraId="54F26B91" w14:textId="5ADEFF37" w:rsidR="00C316C3" w:rsidRPr="00C316C3" w:rsidRDefault="00C316C3" w:rsidP="00225BA2">
      <w:pPr>
        <w:pStyle w:val="BodyText"/>
        <w:spacing w:after="0"/>
        <w:jc w:val="center"/>
      </w:pPr>
      <w:r>
        <w:rPr>
          <w:noProof/>
        </w:rPr>
        <w:drawing>
          <wp:inline distT="0" distB="0" distL="0" distR="0" wp14:anchorId="1CD19487" wp14:editId="289485BD">
            <wp:extent cx="5955323" cy="3576002"/>
            <wp:effectExtent l="0" t="0" r="7620" b="5715"/>
            <wp:docPr id="1142233442" name="Picture 3" descr="Figure 8: Average price of products in Groups 1 to 7,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233442" name="Picture 3" descr="Figure 8: Average price of products in Groups 1 to 7, 2022-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9154" cy="3578302"/>
                    </a:xfrm>
                    <a:prstGeom prst="rect">
                      <a:avLst/>
                    </a:prstGeom>
                    <a:noFill/>
                  </pic:spPr>
                </pic:pic>
              </a:graphicData>
            </a:graphic>
          </wp:inline>
        </w:drawing>
      </w:r>
    </w:p>
    <w:p w14:paraId="4CFBA12E" w14:textId="4C964171" w:rsidR="008514E9" w:rsidRPr="002B285C" w:rsidRDefault="008514E9" w:rsidP="002B285C">
      <w:pPr>
        <w:pStyle w:val="Source"/>
        <w:spacing w:before="0" w:after="0"/>
        <w:rPr>
          <w:sz w:val="16"/>
          <w:szCs w:val="16"/>
        </w:rPr>
      </w:pPr>
      <w:r w:rsidRPr="002557C9">
        <w:rPr>
          <w:color w:val="auto"/>
          <w:sz w:val="16"/>
          <w:szCs w:val="16"/>
        </w:rPr>
        <w:t xml:space="preserve">Note: products listed with a negative premium price on the </w:t>
      </w:r>
      <w:r w:rsidR="00C316C3" w:rsidRPr="002557C9">
        <w:rPr>
          <w:color w:val="auto"/>
          <w:sz w:val="16"/>
          <w:szCs w:val="16"/>
        </w:rPr>
        <w:t>Scheme</w:t>
      </w:r>
      <w:r w:rsidRPr="002557C9">
        <w:rPr>
          <w:color w:val="auto"/>
          <w:sz w:val="16"/>
          <w:szCs w:val="16"/>
        </w:rPr>
        <w:t xml:space="preserve"> are assumed to have zero premium (i.e., are counted as benchmark price only)</w:t>
      </w:r>
    </w:p>
    <w:p w14:paraId="6C633F72" w14:textId="6F16F3F7" w:rsidR="008514E9" w:rsidRPr="002B285C" w:rsidRDefault="008514E9" w:rsidP="002B285C">
      <w:pPr>
        <w:pStyle w:val="Source"/>
        <w:spacing w:before="0" w:after="0"/>
        <w:rPr>
          <w:sz w:val="16"/>
          <w:szCs w:val="16"/>
        </w:rPr>
      </w:pPr>
      <w:r w:rsidRPr="002557C9">
        <w:rPr>
          <w:color w:val="auto"/>
          <w:sz w:val="16"/>
          <w:szCs w:val="16"/>
        </w:rPr>
        <w:t xml:space="preserve">Source: </w:t>
      </w:r>
      <w:r w:rsidR="00C316C3" w:rsidRPr="002557C9">
        <w:rPr>
          <w:color w:val="auto"/>
          <w:sz w:val="16"/>
          <w:szCs w:val="16"/>
        </w:rPr>
        <w:t>Scheme</w:t>
      </w:r>
      <w:r w:rsidRPr="002557C9">
        <w:rPr>
          <w:color w:val="auto"/>
          <w:sz w:val="16"/>
          <w:szCs w:val="16"/>
        </w:rPr>
        <w:t xml:space="preserve"> October 2023, </w:t>
      </w:r>
      <w:proofErr w:type="spellStart"/>
      <w:r w:rsidRPr="002557C9">
        <w:rPr>
          <w:color w:val="auto"/>
          <w:sz w:val="16"/>
          <w:szCs w:val="16"/>
        </w:rPr>
        <w:t>HealthConsult</w:t>
      </w:r>
      <w:proofErr w:type="spellEnd"/>
      <w:r w:rsidRPr="002557C9">
        <w:rPr>
          <w:color w:val="auto"/>
          <w:sz w:val="16"/>
          <w:szCs w:val="16"/>
        </w:rPr>
        <w:t xml:space="preserve"> analysis</w:t>
      </w:r>
    </w:p>
    <w:p w14:paraId="3685DB2C" w14:textId="595E2564" w:rsidR="008514E9" w:rsidRDefault="008514E9" w:rsidP="008514E9">
      <w:pPr>
        <w:pStyle w:val="Caption"/>
      </w:pPr>
      <w:bookmarkStart w:id="56" w:name="_Ref157613403"/>
      <w:bookmarkStart w:id="57" w:name="_Toc161743133"/>
      <w:r>
        <w:lastRenderedPageBreak/>
        <w:t xml:space="preserve">Figure </w:t>
      </w:r>
      <w:r>
        <w:fldChar w:fldCharType="begin"/>
      </w:r>
      <w:r>
        <w:instrText xml:space="preserve"> SEQ Figure \* ARABIC </w:instrText>
      </w:r>
      <w:r>
        <w:fldChar w:fldCharType="separate"/>
      </w:r>
      <w:r w:rsidR="00FE1418">
        <w:rPr>
          <w:noProof/>
        </w:rPr>
        <w:t>9</w:t>
      </w:r>
      <w:r>
        <w:rPr>
          <w:noProof/>
        </w:rPr>
        <w:fldChar w:fldCharType="end"/>
      </w:r>
      <w:bookmarkEnd w:id="56"/>
      <w:r>
        <w:t xml:space="preserve">: Average price of products in Groups 8 to 11, </w:t>
      </w:r>
      <w:proofErr w:type="gramStart"/>
      <w:r>
        <w:t>2022-23</w:t>
      </w:r>
      <w:bookmarkEnd w:id="57"/>
      <w:proofErr w:type="gramEnd"/>
    </w:p>
    <w:p w14:paraId="41CD19B4" w14:textId="2A8DA8D3" w:rsidR="00C316C3" w:rsidRPr="00C316C3" w:rsidRDefault="00C316C3" w:rsidP="00C316C3">
      <w:pPr>
        <w:pStyle w:val="BodyText"/>
      </w:pPr>
      <w:r>
        <w:rPr>
          <w:noProof/>
        </w:rPr>
        <w:drawing>
          <wp:inline distT="0" distB="0" distL="0" distR="0" wp14:anchorId="1D9C59C6" wp14:editId="5256E629">
            <wp:extent cx="5986780" cy="3274060"/>
            <wp:effectExtent l="0" t="0" r="0" b="2540"/>
            <wp:docPr id="338807497" name="Picture 5" descr="Figure 9: Average price of products in Groups 8 to 11,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07497" name="Picture 5" descr="Figure 9: Average price of products in Groups 8 to 11, 2022-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6780" cy="3274060"/>
                    </a:xfrm>
                    <a:prstGeom prst="rect">
                      <a:avLst/>
                    </a:prstGeom>
                    <a:noFill/>
                  </pic:spPr>
                </pic:pic>
              </a:graphicData>
            </a:graphic>
          </wp:inline>
        </w:drawing>
      </w:r>
    </w:p>
    <w:p w14:paraId="576097A3" w14:textId="5C8AAEFD" w:rsidR="008514E9" w:rsidRDefault="008514E9" w:rsidP="008514E9">
      <w:pPr>
        <w:pStyle w:val="Source"/>
      </w:pPr>
      <w:r w:rsidRPr="002557C9">
        <w:rPr>
          <w:color w:val="auto"/>
        </w:rPr>
        <w:t xml:space="preserve">Source: </w:t>
      </w:r>
      <w:r w:rsidR="00C316C3" w:rsidRPr="002557C9">
        <w:rPr>
          <w:color w:val="auto"/>
        </w:rPr>
        <w:t>Scheme</w:t>
      </w:r>
      <w:r w:rsidRPr="002557C9">
        <w:rPr>
          <w:color w:val="auto"/>
        </w:rPr>
        <w:t xml:space="preserve"> October 2023, </w:t>
      </w:r>
      <w:proofErr w:type="spellStart"/>
      <w:r w:rsidRPr="002557C9">
        <w:rPr>
          <w:color w:val="auto"/>
        </w:rPr>
        <w:t>HealthConsult</w:t>
      </w:r>
      <w:proofErr w:type="spellEnd"/>
      <w:r w:rsidRPr="002557C9">
        <w:rPr>
          <w:color w:val="auto"/>
        </w:rPr>
        <w:t xml:space="preserve"> analysis</w:t>
      </w:r>
    </w:p>
    <w:p w14:paraId="4E9D14C8" w14:textId="30B27E91" w:rsidR="00B52641" w:rsidRDefault="008514E9" w:rsidP="00B52641">
      <w:pPr>
        <w:pStyle w:val="BodyText"/>
        <w:rPr>
          <w:lang w:eastAsia="en-AU"/>
        </w:rPr>
      </w:pPr>
      <w:r>
        <w:rPr>
          <w:lang w:eastAsia="en-AU"/>
        </w:rPr>
        <w:t xml:space="preserve">Up until 2013 there was annual indexation of the </w:t>
      </w:r>
      <w:r w:rsidR="00C316C3">
        <w:rPr>
          <w:lang w:eastAsia="en-AU"/>
        </w:rPr>
        <w:t>Scheme</w:t>
      </w:r>
      <w:r>
        <w:rPr>
          <w:lang w:eastAsia="en-AU"/>
        </w:rPr>
        <w:t xml:space="preserve"> product prices. In the 2013-14 Budget, there was a commitment to remove the annual indexation process and undertake annual pricing reviews. To date no review has been undertaken and prices have been maintained at 2013 </w:t>
      </w:r>
      <w:r w:rsidR="00DE2CAC">
        <w:rPr>
          <w:lang w:eastAsia="en-AU"/>
        </w:rPr>
        <w:t>levels</w:t>
      </w:r>
      <w:r>
        <w:rPr>
          <w:lang w:eastAsia="en-AU"/>
        </w:rPr>
        <w:t>.</w:t>
      </w:r>
    </w:p>
    <w:p w14:paraId="3BA01FC9" w14:textId="24668AB9" w:rsidR="008514E9" w:rsidRDefault="00B52641" w:rsidP="00B52641">
      <w:pPr>
        <w:pStyle w:val="BodyText"/>
        <w:rPr>
          <w:lang w:eastAsia="en-AU"/>
        </w:rPr>
      </w:pPr>
      <w:r>
        <w:rPr>
          <w:lang w:eastAsia="en-AU"/>
        </w:rPr>
        <w:fldChar w:fldCharType="begin"/>
      </w:r>
      <w:r>
        <w:instrText xml:space="preserve"> REF _Ref157093614 \h </w:instrText>
      </w:r>
      <w:r>
        <w:rPr>
          <w:lang w:eastAsia="en-AU"/>
        </w:rPr>
      </w:r>
      <w:r>
        <w:rPr>
          <w:lang w:eastAsia="en-AU"/>
        </w:rPr>
        <w:fldChar w:fldCharType="separate"/>
      </w:r>
      <w:r w:rsidR="00FE1418">
        <w:t xml:space="preserve">Table </w:t>
      </w:r>
      <w:r w:rsidR="00FE1418">
        <w:rPr>
          <w:noProof/>
        </w:rPr>
        <w:t>8</w:t>
      </w:r>
      <w:r>
        <w:rPr>
          <w:lang w:eastAsia="en-AU"/>
        </w:rPr>
        <w:fldChar w:fldCharType="end"/>
      </w:r>
      <w:r>
        <w:rPr>
          <w:lang w:eastAsia="en-AU"/>
        </w:rPr>
        <w:t xml:space="preserve"> </w:t>
      </w:r>
      <w:r w:rsidR="008514E9">
        <w:t>provides a summary of the key advantages and disadvantages of the current pricing methodology.</w:t>
      </w:r>
    </w:p>
    <w:p w14:paraId="5F57FA54" w14:textId="0AFAB8A9" w:rsidR="00B52641" w:rsidRDefault="00B52641" w:rsidP="00B52641">
      <w:pPr>
        <w:pStyle w:val="Caption"/>
      </w:pPr>
      <w:bookmarkStart w:id="58" w:name="_Ref157093614"/>
      <w:bookmarkStart w:id="59" w:name="_Toc161743111"/>
      <w:r>
        <w:t xml:space="preserve">Table </w:t>
      </w:r>
      <w:r>
        <w:fldChar w:fldCharType="begin"/>
      </w:r>
      <w:r>
        <w:instrText xml:space="preserve"> SEQ Table \* ARABIC </w:instrText>
      </w:r>
      <w:r>
        <w:fldChar w:fldCharType="separate"/>
      </w:r>
      <w:r w:rsidR="00FE1418">
        <w:rPr>
          <w:noProof/>
        </w:rPr>
        <w:t>8</w:t>
      </w:r>
      <w:r>
        <w:rPr>
          <w:noProof/>
        </w:rPr>
        <w:fldChar w:fldCharType="end"/>
      </w:r>
      <w:bookmarkEnd w:id="58"/>
      <w:r>
        <w:t xml:space="preserve">: </w:t>
      </w:r>
      <w:r w:rsidRPr="00B611C5">
        <w:t>Advantages and disadvantages of current pricing methodology</w:t>
      </w:r>
      <w:bookmarkEnd w:id="59"/>
    </w:p>
    <w:tbl>
      <w:tblPr>
        <w:tblStyle w:val="TableHealthConsultPurple"/>
        <w:tblW w:w="5000" w:type="pct"/>
        <w:tblLook w:val="04A0" w:firstRow="1" w:lastRow="0" w:firstColumn="1" w:lastColumn="0" w:noHBand="0" w:noVBand="1"/>
      </w:tblPr>
      <w:tblGrid>
        <w:gridCol w:w="4819"/>
        <w:gridCol w:w="4819"/>
      </w:tblGrid>
      <w:tr w:rsidR="008514E9" w:rsidRPr="00B52641" w14:paraId="02820318" w14:textId="77777777" w:rsidTr="00225BA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08F038CA" w14:textId="77777777" w:rsidR="008514E9" w:rsidRPr="00B52641" w:rsidRDefault="008514E9" w:rsidP="00B52641">
            <w:pPr>
              <w:spacing w:before="0" w:after="0"/>
              <w:rPr>
                <w:sz w:val="16"/>
                <w:szCs w:val="16"/>
              </w:rPr>
            </w:pPr>
            <w:r w:rsidRPr="00B52641">
              <w:rPr>
                <w:sz w:val="16"/>
                <w:szCs w:val="16"/>
              </w:rPr>
              <w:t>Advantages</w:t>
            </w:r>
          </w:p>
        </w:tc>
        <w:tc>
          <w:tcPr>
            <w:tcW w:w="2500" w:type="pct"/>
          </w:tcPr>
          <w:p w14:paraId="02BF5DE6" w14:textId="77777777" w:rsidR="008514E9" w:rsidRPr="00B52641" w:rsidRDefault="008514E9" w:rsidP="00B52641">
            <w:pPr>
              <w:spacing w:before="0" w:after="0"/>
              <w:cnfStyle w:val="100000000000" w:firstRow="1" w:lastRow="0" w:firstColumn="0" w:lastColumn="0" w:oddVBand="0" w:evenVBand="0" w:oddHBand="0" w:evenHBand="0" w:firstRowFirstColumn="0" w:firstRowLastColumn="0" w:lastRowFirstColumn="0" w:lastRowLastColumn="0"/>
              <w:rPr>
                <w:sz w:val="16"/>
                <w:szCs w:val="16"/>
              </w:rPr>
            </w:pPr>
            <w:r w:rsidRPr="00B52641">
              <w:rPr>
                <w:sz w:val="16"/>
                <w:szCs w:val="16"/>
              </w:rPr>
              <w:t>Disadvantages</w:t>
            </w:r>
          </w:p>
        </w:tc>
      </w:tr>
      <w:tr w:rsidR="008514E9" w:rsidRPr="00B52641" w14:paraId="543D7DFD" w14:textId="77777777" w:rsidTr="00225BA2">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50BD6E96" w14:textId="77777777" w:rsidR="008514E9" w:rsidRPr="0006563F" w:rsidRDefault="008514E9" w:rsidP="00B52641">
            <w:pPr>
              <w:spacing w:before="0" w:after="0"/>
              <w:rPr>
                <w:b w:val="0"/>
                <w:color w:val="3B0083" w:themeColor="accent1"/>
                <w:sz w:val="16"/>
                <w:szCs w:val="16"/>
              </w:rPr>
            </w:pPr>
            <w:r w:rsidRPr="0006563F">
              <w:rPr>
                <w:color w:val="3B0083" w:themeColor="accent1"/>
                <w:sz w:val="16"/>
                <w:szCs w:val="16"/>
              </w:rPr>
              <w:t>Transparency and uniformity</w:t>
            </w:r>
          </w:p>
          <w:p w14:paraId="0E484A2E" w14:textId="77777777" w:rsidR="008514E9" w:rsidRPr="00B52641" w:rsidRDefault="008514E9" w:rsidP="00B52641">
            <w:pPr>
              <w:spacing w:before="0" w:after="0"/>
              <w:rPr>
                <w:sz w:val="16"/>
                <w:szCs w:val="16"/>
              </w:rPr>
            </w:pPr>
            <w:r w:rsidRPr="00B52641">
              <w:rPr>
                <w:b w:val="0"/>
                <w:bCs/>
                <w:color w:val="auto"/>
                <w:sz w:val="16"/>
                <w:szCs w:val="16"/>
              </w:rPr>
              <w:t>The current pricing methodology maintains benchmark and premium pricing, ensuring transparency and uniformity among manufacturers but also promotes higher pricing when required for higher cost, clinically effective products.</w:t>
            </w:r>
          </w:p>
        </w:tc>
        <w:tc>
          <w:tcPr>
            <w:tcW w:w="2500" w:type="pct"/>
            <w:shd w:val="clear" w:color="auto" w:fill="FFFFFF" w:themeFill="background1"/>
          </w:tcPr>
          <w:p w14:paraId="065282CF" w14:textId="77777777" w:rsidR="008514E9" w:rsidRPr="00B52641" w:rsidRDefault="008514E9" w:rsidP="00B52641">
            <w:pPr>
              <w:spacing w:before="0" w:after="0"/>
              <w:cnfStyle w:val="000000000000" w:firstRow="0" w:lastRow="0" w:firstColumn="0" w:lastColumn="0" w:oddVBand="0" w:evenVBand="0" w:oddHBand="0" w:evenHBand="0" w:firstRowFirstColumn="0" w:firstRowLastColumn="0" w:lastRowFirstColumn="0" w:lastRowLastColumn="0"/>
              <w:rPr>
                <w:b/>
                <w:color w:val="3B0083" w:themeColor="accent1"/>
                <w:sz w:val="16"/>
                <w:szCs w:val="16"/>
              </w:rPr>
            </w:pPr>
            <w:r w:rsidRPr="00B52641">
              <w:rPr>
                <w:b/>
                <w:color w:val="3B0083" w:themeColor="accent1"/>
                <w:sz w:val="16"/>
                <w:szCs w:val="16"/>
              </w:rPr>
              <w:t>Lack of indexation</w:t>
            </w:r>
          </w:p>
          <w:p w14:paraId="2670E63D" w14:textId="0F4D778F" w:rsidR="008514E9" w:rsidRPr="00B52641" w:rsidRDefault="00116230" w:rsidP="00B52641">
            <w:pPr>
              <w:spacing w:before="0" w:after="0"/>
              <w:cnfStyle w:val="000000000000" w:firstRow="0" w:lastRow="0" w:firstColumn="0" w:lastColumn="0" w:oddVBand="0" w:evenVBand="0" w:oddHBand="0" w:evenHBand="0" w:firstRowFirstColumn="0" w:firstRowLastColumn="0" w:lastRowFirstColumn="0" w:lastRowLastColumn="0"/>
              <w:rPr>
                <w:b/>
                <w:color w:val="3B0083" w:themeColor="accent1"/>
                <w:sz w:val="16"/>
                <w:szCs w:val="16"/>
              </w:rPr>
            </w:pPr>
            <w:r w:rsidRPr="00116230">
              <w:rPr>
                <w:bCs/>
                <w:sz w:val="16"/>
                <w:szCs w:val="16"/>
              </w:rPr>
              <w:t>The absence of indexation since 2013 is a significant concern. Cost increases faced by product suppliers like inflation, increased labour costs, increased travel and freight and rising raw material expenses have not been reflected in the Scheme prices. This is potentially eroding in the profit margin of product suppliers.</w:t>
            </w:r>
          </w:p>
        </w:tc>
      </w:tr>
      <w:tr w:rsidR="008514E9" w:rsidRPr="00B52641" w14:paraId="5273B180" w14:textId="77777777" w:rsidTr="00225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EBE5F2" w:themeFill="accent5" w:themeFillTint="33"/>
          </w:tcPr>
          <w:p w14:paraId="561725DB" w14:textId="77777777" w:rsidR="008514E9" w:rsidRPr="0006563F" w:rsidRDefault="008514E9" w:rsidP="00B52641">
            <w:pPr>
              <w:spacing w:before="0" w:after="0"/>
              <w:rPr>
                <w:b w:val="0"/>
                <w:color w:val="3B0083" w:themeColor="accent1"/>
                <w:sz w:val="16"/>
                <w:szCs w:val="16"/>
              </w:rPr>
            </w:pPr>
            <w:r w:rsidRPr="0006563F">
              <w:rPr>
                <w:color w:val="3B0083" w:themeColor="accent1"/>
                <w:sz w:val="16"/>
                <w:szCs w:val="16"/>
              </w:rPr>
              <w:t>Reduced competition on price</w:t>
            </w:r>
          </w:p>
          <w:p w14:paraId="51141F52" w14:textId="77777777" w:rsidR="008514E9" w:rsidRPr="00B52641" w:rsidRDefault="008514E9" w:rsidP="00B52641">
            <w:pPr>
              <w:spacing w:before="0" w:after="0"/>
              <w:rPr>
                <w:b w:val="0"/>
                <w:color w:val="auto"/>
                <w:sz w:val="16"/>
                <w:szCs w:val="16"/>
              </w:rPr>
            </w:pPr>
            <w:r w:rsidRPr="00B52641">
              <w:rPr>
                <w:b w:val="0"/>
                <w:color w:val="auto"/>
                <w:sz w:val="16"/>
                <w:szCs w:val="16"/>
              </w:rPr>
              <w:t xml:space="preserve">The current methodology discourages competition based solely on price, potentially promoting product availability over price. </w:t>
            </w:r>
          </w:p>
        </w:tc>
        <w:tc>
          <w:tcPr>
            <w:tcW w:w="2500" w:type="pct"/>
          </w:tcPr>
          <w:p w14:paraId="0C0261B0" w14:textId="77777777" w:rsidR="008514E9" w:rsidRPr="00B52641" w:rsidRDefault="008514E9" w:rsidP="00B52641">
            <w:pPr>
              <w:spacing w:before="0" w:after="0"/>
              <w:cnfStyle w:val="000000010000" w:firstRow="0" w:lastRow="0" w:firstColumn="0" w:lastColumn="0" w:oddVBand="0" w:evenVBand="0" w:oddHBand="0" w:evenHBand="1" w:firstRowFirstColumn="0" w:firstRowLastColumn="0" w:lastRowFirstColumn="0" w:lastRowLastColumn="0"/>
              <w:rPr>
                <w:b/>
                <w:color w:val="3B0083" w:themeColor="accent1"/>
                <w:sz w:val="16"/>
                <w:szCs w:val="16"/>
              </w:rPr>
            </w:pPr>
            <w:r w:rsidRPr="00B52641">
              <w:rPr>
                <w:b/>
                <w:color w:val="3B0083" w:themeColor="accent1"/>
                <w:sz w:val="16"/>
                <w:szCs w:val="16"/>
              </w:rPr>
              <w:t>No mechanism for price reviews</w:t>
            </w:r>
          </w:p>
          <w:p w14:paraId="526A48B2" w14:textId="77777777" w:rsidR="008514E9" w:rsidRPr="00B52641" w:rsidRDefault="008514E9" w:rsidP="00B52641">
            <w:pPr>
              <w:spacing w:before="0" w:after="0"/>
              <w:cnfStyle w:val="000000010000" w:firstRow="0" w:lastRow="0" w:firstColumn="0" w:lastColumn="0" w:oddVBand="0" w:evenVBand="0" w:oddHBand="0" w:evenHBand="1" w:firstRowFirstColumn="0" w:firstRowLastColumn="0" w:lastRowFirstColumn="0" w:lastRowLastColumn="0"/>
              <w:rPr>
                <w:b/>
                <w:color w:val="3B0083" w:themeColor="accent1"/>
                <w:sz w:val="16"/>
                <w:szCs w:val="16"/>
              </w:rPr>
            </w:pPr>
            <w:proofErr w:type="gramStart"/>
            <w:r w:rsidRPr="00B52641">
              <w:rPr>
                <w:bCs/>
                <w:sz w:val="16"/>
                <w:szCs w:val="16"/>
              </w:rPr>
              <w:t>Similar to</w:t>
            </w:r>
            <w:proofErr w:type="gramEnd"/>
            <w:r w:rsidRPr="00B52641">
              <w:rPr>
                <w:bCs/>
                <w:sz w:val="16"/>
                <w:szCs w:val="16"/>
              </w:rPr>
              <w:t xml:space="preserve"> indexation, there has been no review or update of the benchmark pricing since 2013. This may lead to outdated pricing and a failure to account for changes in market dynamics. This is reportedly affecting the competitiveness of products and availability in Australian markets.</w:t>
            </w:r>
          </w:p>
        </w:tc>
      </w:tr>
      <w:tr w:rsidR="008514E9" w:rsidRPr="00B52641" w14:paraId="5343B2B0" w14:textId="77777777" w:rsidTr="00225BA2">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Pr>
          <w:p w14:paraId="3B6D575D" w14:textId="77777777" w:rsidR="008514E9" w:rsidRPr="0006563F" w:rsidRDefault="008514E9" w:rsidP="00B52641">
            <w:pPr>
              <w:spacing w:before="0" w:after="0"/>
              <w:rPr>
                <w:b w:val="0"/>
                <w:color w:val="3B0083" w:themeColor="accent1"/>
                <w:sz w:val="16"/>
                <w:szCs w:val="16"/>
              </w:rPr>
            </w:pPr>
            <w:r w:rsidRPr="0006563F">
              <w:rPr>
                <w:color w:val="3B0083" w:themeColor="accent1"/>
                <w:sz w:val="16"/>
                <w:szCs w:val="16"/>
              </w:rPr>
              <w:t>Wider range of product choice</w:t>
            </w:r>
          </w:p>
          <w:p w14:paraId="6CBD58C8" w14:textId="77777777" w:rsidR="008514E9" w:rsidRPr="00B52641" w:rsidRDefault="008514E9" w:rsidP="00B52641">
            <w:pPr>
              <w:spacing w:before="0" w:after="0"/>
              <w:rPr>
                <w:sz w:val="16"/>
                <w:szCs w:val="16"/>
              </w:rPr>
            </w:pPr>
            <w:r w:rsidRPr="00B52641">
              <w:rPr>
                <w:b w:val="0"/>
                <w:color w:val="auto"/>
                <w:sz w:val="16"/>
                <w:szCs w:val="16"/>
              </w:rPr>
              <w:t>Having benchmark pricing across the core product categories ensures a wide range of products are made available to ostomates and to suit their needs.</w:t>
            </w:r>
          </w:p>
        </w:tc>
        <w:tc>
          <w:tcPr>
            <w:tcW w:w="2500" w:type="pct"/>
            <w:shd w:val="clear" w:color="auto" w:fill="FFFFFF" w:themeFill="background1"/>
          </w:tcPr>
          <w:p w14:paraId="3703F43B" w14:textId="77777777" w:rsidR="008514E9" w:rsidRPr="00B52641" w:rsidRDefault="008514E9" w:rsidP="00B52641">
            <w:pPr>
              <w:spacing w:before="0" w:after="0"/>
              <w:cnfStyle w:val="000000000000" w:firstRow="0" w:lastRow="0" w:firstColumn="0" w:lastColumn="0" w:oddVBand="0" w:evenVBand="0" w:oddHBand="0" w:evenHBand="0" w:firstRowFirstColumn="0" w:firstRowLastColumn="0" w:lastRowFirstColumn="0" w:lastRowLastColumn="0"/>
              <w:rPr>
                <w:b/>
                <w:color w:val="3B0083" w:themeColor="accent1"/>
                <w:sz w:val="16"/>
                <w:szCs w:val="16"/>
              </w:rPr>
            </w:pPr>
            <w:r w:rsidRPr="00B52641">
              <w:rPr>
                <w:b/>
                <w:color w:val="3B0083" w:themeColor="accent1"/>
                <w:sz w:val="16"/>
                <w:szCs w:val="16"/>
              </w:rPr>
              <w:t>Premium pricing requirements</w:t>
            </w:r>
          </w:p>
          <w:p w14:paraId="2DBD53C7" w14:textId="77777777" w:rsidR="008514E9" w:rsidRPr="00B52641" w:rsidRDefault="008514E9" w:rsidP="00B52641">
            <w:pPr>
              <w:spacing w:before="0" w:after="0"/>
              <w:cnfStyle w:val="000000000000" w:firstRow="0" w:lastRow="0" w:firstColumn="0" w:lastColumn="0" w:oddVBand="0" w:evenVBand="0" w:oddHBand="0" w:evenHBand="0" w:firstRowFirstColumn="0" w:firstRowLastColumn="0" w:lastRowFirstColumn="0" w:lastRowLastColumn="0"/>
              <w:rPr>
                <w:sz w:val="16"/>
                <w:szCs w:val="16"/>
              </w:rPr>
            </w:pPr>
            <w:r w:rsidRPr="00B52641">
              <w:rPr>
                <w:sz w:val="16"/>
                <w:szCs w:val="16"/>
              </w:rPr>
              <w:t>There are mixed views on the clinical evidence and economic justification requirements for premium pricing. Some find the requirements too stringent, while others believe more evidence should be provided for new technologies, especially if proven effective overseas.</w:t>
            </w:r>
          </w:p>
        </w:tc>
      </w:tr>
      <w:tr w:rsidR="008514E9" w:rsidRPr="00B52641" w14:paraId="53DA14C1" w14:textId="77777777" w:rsidTr="00225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shd w:val="clear" w:color="auto" w:fill="EBE5F2" w:themeFill="accent5" w:themeFillTint="33"/>
          </w:tcPr>
          <w:p w14:paraId="672AE905" w14:textId="77777777" w:rsidR="008514E9" w:rsidRPr="0006563F" w:rsidRDefault="008514E9" w:rsidP="00B52641">
            <w:pPr>
              <w:spacing w:before="0" w:after="0"/>
              <w:rPr>
                <w:b w:val="0"/>
                <w:color w:val="3B0083" w:themeColor="accent1"/>
                <w:sz w:val="16"/>
                <w:szCs w:val="16"/>
              </w:rPr>
            </w:pPr>
            <w:r w:rsidRPr="0006563F">
              <w:rPr>
                <w:color w:val="3B0083" w:themeColor="accent1"/>
                <w:sz w:val="16"/>
                <w:szCs w:val="16"/>
              </w:rPr>
              <w:lastRenderedPageBreak/>
              <w:t>Effective mechanism for subsidising associations</w:t>
            </w:r>
          </w:p>
          <w:p w14:paraId="743A51E9" w14:textId="47D4E8FF" w:rsidR="008514E9" w:rsidRPr="00C316C3" w:rsidRDefault="00C316C3" w:rsidP="00B52641">
            <w:pPr>
              <w:spacing w:before="0" w:after="0"/>
              <w:rPr>
                <w:b w:val="0"/>
                <w:color w:val="auto"/>
                <w:sz w:val="16"/>
                <w:szCs w:val="16"/>
              </w:rPr>
            </w:pPr>
            <w:r w:rsidRPr="00C316C3">
              <w:rPr>
                <w:b w:val="0"/>
                <w:color w:val="auto"/>
                <w:sz w:val="16"/>
                <w:szCs w:val="16"/>
              </w:rPr>
              <w:t>A streamlined and efficient method for subsidi</w:t>
            </w:r>
            <w:r>
              <w:rPr>
                <w:b w:val="0"/>
                <w:color w:val="auto"/>
                <w:sz w:val="16"/>
                <w:szCs w:val="16"/>
              </w:rPr>
              <w:t>s</w:t>
            </w:r>
            <w:r w:rsidRPr="00C316C3">
              <w:rPr>
                <w:b w:val="0"/>
                <w:color w:val="auto"/>
                <w:sz w:val="16"/>
                <w:szCs w:val="16"/>
              </w:rPr>
              <w:t xml:space="preserve">ing stoma associations </w:t>
            </w:r>
            <w:r>
              <w:rPr>
                <w:b w:val="0"/>
                <w:color w:val="auto"/>
                <w:sz w:val="16"/>
                <w:szCs w:val="16"/>
              </w:rPr>
              <w:t>to</w:t>
            </w:r>
            <w:r w:rsidRPr="00C316C3">
              <w:rPr>
                <w:b w:val="0"/>
                <w:color w:val="auto"/>
                <w:sz w:val="16"/>
                <w:szCs w:val="16"/>
              </w:rPr>
              <w:t xml:space="preserve"> purchas</w:t>
            </w:r>
            <w:r>
              <w:rPr>
                <w:b w:val="0"/>
                <w:color w:val="auto"/>
                <w:sz w:val="16"/>
                <w:szCs w:val="16"/>
              </w:rPr>
              <w:t>e and distribute</w:t>
            </w:r>
            <w:r w:rsidRPr="00C316C3">
              <w:rPr>
                <w:b w:val="0"/>
                <w:color w:val="auto"/>
                <w:sz w:val="16"/>
                <w:szCs w:val="16"/>
              </w:rPr>
              <w:t xml:space="preserve"> stoma-related products to their members</w:t>
            </w:r>
            <w:r>
              <w:rPr>
                <w:b w:val="0"/>
                <w:color w:val="auto"/>
                <w:sz w:val="16"/>
                <w:szCs w:val="16"/>
              </w:rPr>
              <w:t xml:space="preserve">. </w:t>
            </w:r>
            <w:r w:rsidRPr="00C316C3">
              <w:rPr>
                <w:b w:val="0"/>
                <w:color w:val="auto"/>
                <w:sz w:val="16"/>
                <w:szCs w:val="16"/>
              </w:rPr>
              <w:t xml:space="preserve">This process ensures that </w:t>
            </w:r>
            <w:r>
              <w:rPr>
                <w:b w:val="0"/>
                <w:color w:val="auto"/>
                <w:sz w:val="16"/>
                <w:szCs w:val="16"/>
              </w:rPr>
              <w:t>ostomates</w:t>
            </w:r>
            <w:r w:rsidRPr="00C316C3">
              <w:rPr>
                <w:b w:val="0"/>
                <w:color w:val="auto"/>
                <w:sz w:val="16"/>
                <w:szCs w:val="16"/>
              </w:rPr>
              <w:t xml:space="preserve"> have access to necessary products while maintaining a sustainable and cost-effective subsidy mechanism.</w:t>
            </w:r>
          </w:p>
        </w:tc>
        <w:tc>
          <w:tcPr>
            <w:tcW w:w="2500" w:type="pct"/>
          </w:tcPr>
          <w:p w14:paraId="3EFC8C4D" w14:textId="77777777" w:rsidR="008514E9" w:rsidRDefault="008514E9" w:rsidP="00B52641">
            <w:pPr>
              <w:spacing w:before="0" w:after="0"/>
              <w:cnfStyle w:val="000000010000" w:firstRow="0" w:lastRow="0" w:firstColumn="0" w:lastColumn="0" w:oddVBand="0" w:evenVBand="0" w:oddHBand="0" w:evenHBand="1" w:firstRowFirstColumn="0" w:firstRowLastColumn="0" w:lastRowFirstColumn="0" w:lastRowLastColumn="0"/>
              <w:rPr>
                <w:b/>
                <w:color w:val="3B0083" w:themeColor="accent1"/>
                <w:sz w:val="16"/>
                <w:szCs w:val="16"/>
              </w:rPr>
            </w:pPr>
            <w:r w:rsidRPr="00B52641">
              <w:rPr>
                <w:b/>
                <w:color w:val="3B0083" w:themeColor="accent1"/>
                <w:sz w:val="16"/>
                <w:szCs w:val="16"/>
              </w:rPr>
              <w:t xml:space="preserve">Handling fee tied to product </w:t>
            </w:r>
            <w:proofErr w:type="gramStart"/>
            <w:r w:rsidRPr="00B52641">
              <w:rPr>
                <w:b/>
                <w:color w:val="3B0083" w:themeColor="accent1"/>
                <w:sz w:val="16"/>
                <w:szCs w:val="16"/>
              </w:rPr>
              <w:t>pricing</w:t>
            </w:r>
            <w:proofErr w:type="gramEnd"/>
          </w:p>
          <w:p w14:paraId="7C654377" w14:textId="2CC0F3FC" w:rsidR="00C316C3" w:rsidRPr="00B52641" w:rsidRDefault="00036580" w:rsidP="00B52641">
            <w:pPr>
              <w:spacing w:before="0" w:after="0"/>
              <w:cnfStyle w:val="000000010000" w:firstRow="0" w:lastRow="0" w:firstColumn="0" w:lastColumn="0" w:oddVBand="0" w:evenVBand="0" w:oddHBand="0" w:evenHBand="1" w:firstRowFirstColumn="0" w:firstRowLastColumn="0" w:lastRowFirstColumn="0" w:lastRowLastColumn="0"/>
              <w:rPr>
                <w:b/>
                <w:color w:val="3B0083" w:themeColor="accent1"/>
                <w:sz w:val="16"/>
                <w:szCs w:val="16"/>
              </w:rPr>
            </w:pPr>
            <w:r>
              <w:rPr>
                <w:sz w:val="16"/>
                <w:szCs w:val="16"/>
              </w:rPr>
              <w:t>Whilst not in scope for this Review, f</w:t>
            </w:r>
            <w:r w:rsidR="00C316C3" w:rsidRPr="00C316C3">
              <w:rPr>
                <w:sz w:val="16"/>
                <w:szCs w:val="16"/>
              </w:rPr>
              <w:t>eedback from associations suggested that the subsidies received should not be explicitly tied to the product pricing</w:t>
            </w:r>
            <w:r w:rsidR="00C316C3">
              <w:rPr>
                <w:sz w:val="16"/>
                <w:szCs w:val="16"/>
              </w:rPr>
              <w:t xml:space="preserve">, given the prices are the domain of SPAP and the product suppliers. This does not allow for associations to have any buy-in or negotiation related to increasing their distribution and handling fee. </w:t>
            </w:r>
          </w:p>
        </w:tc>
      </w:tr>
    </w:tbl>
    <w:p w14:paraId="705B18EF" w14:textId="77777777" w:rsidR="008514E9" w:rsidRDefault="008514E9" w:rsidP="008514E9">
      <w:pPr>
        <w:pStyle w:val="Heading2"/>
      </w:pPr>
      <w:r>
        <w:t>Alternative price-setting methods</w:t>
      </w:r>
    </w:p>
    <w:p w14:paraId="71D88D72" w14:textId="39C2DC9F" w:rsidR="008514E9" w:rsidRDefault="008514E9" w:rsidP="008514E9">
      <w:r w:rsidRPr="005A60B5">
        <w:t xml:space="preserve">The establishment of an effective pricing strategy is crucial for the successful implementation of the </w:t>
      </w:r>
      <w:r>
        <w:t xml:space="preserve">Scheme. </w:t>
      </w:r>
      <w:r w:rsidRPr="005A60B5">
        <w:t>Various pricing options have been identifie</w:t>
      </w:r>
      <w:r w:rsidR="00CF7569">
        <w:t>d</w:t>
      </w:r>
      <w:r w:rsidRPr="005A60B5">
        <w:t xml:space="preserve">, each </w:t>
      </w:r>
      <w:r w:rsidR="00CF7569">
        <w:t>with</w:t>
      </w:r>
      <w:r w:rsidRPr="005A60B5">
        <w:t xml:space="preserve"> its own set of advantages and considerations.</w:t>
      </w:r>
    </w:p>
    <w:p w14:paraId="1BB73BBD" w14:textId="77777777" w:rsidR="008514E9" w:rsidRDefault="008514E9" w:rsidP="008514E9">
      <w:r>
        <w:t>The Scheme currently uses two methods for price-setting:</w:t>
      </w:r>
    </w:p>
    <w:p w14:paraId="35414A76" w14:textId="529DCD73" w:rsidR="0006563F" w:rsidRDefault="008514E9" w:rsidP="00E442CB">
      <w:pPr>
        <w:pStyle w:val="ListNumber"/>
        <w:numPr>
          <w:ilvl w:val="0"/>
          <w:numId w:val="28"/>
        </w:numPr>
      </w:pPr>
      <w:r w:rsidRPr="00C316C3">
        <w:rPr>
          <w:b/>
          <w:bCs/>
        </w:rPr>
        <w:t>Reference (benchmark) pricing:</w:t>
      </w:r>
      <w:r w:rsidRPr="0006563F">
        <w:t xml:space="preserve"> Reference pricing applies where products considered to be of similar safety and efficacy for pricing purposes are linked and are recommended on a cost minimisation basis. This means the lowest priced brand or product sets a benchmark price for either the other brands of that product or the other products within the same sub</w:t>
      </w:r>
      <w:r w:rsidR="008A25D6">
        <w:t>group</w:t>
      </w:r>
      <w:r w:rsidRPr="0006563F">
        <w:t>.</w:t>
      </w:r>
      <w:r w:rsidRPr="00C316C3">
        <w:rPr>
          <w:rStyle w:val="FootnoteReference"/>
          <w:b w:val="0"/>
          <w:color w:val="auto"/>
        </w:rPr>
        <w:footnoteReference w:id="22"/>
      </w:r>
      <w:r w:rsidRPr="00C316C3">
        <w:rPr>
          <w:vertAlign w:val="superscript"/>
        </w:rPr>
        <w:t xml:space="preserve"> </w:t>
      </w:r>
      <w:r w:rsidRPr="0006563F">
        <w:t>Benchmark pricing is currently the pricing approach used in the Scheme. As previously highlighted, the Department has defined a benchmark price for each subgroup in Groups 1 to 7 of the Schedule. The benchmark price is derived by calculating the sum of the base product price plus the specified cost of each key feature of the benchmark product additional to the base product’s set of key features. For a product to receive the benchmark price that applies for a subgroup, the product must include all the specified key features.</w:t>
      </w:r>
      <w:r w:rsidRPr="00C316C3">
        <w:rPr>
          <w:rStyle w:val="FootnoteReference"/>
          <w:b w:val="0"/>
          <w:color w:val="auto"/>
          <w:vertAlign w:val="baseline"/>
        </w:rPr>
        <w:t xml:space="preserve"> </w:t>
      </w:r>
      <w:r w:rsidRPr="00C316C3">
        <w:rPr>
          <w:rStyle w:val="FootnoteReference"/>
          <w:b w:val="0"/>
          <w:color w:val="auto"/>
        </w:rPr>
        <w:footnoteReference w:id="23"/>
      </w:r>
      <w:r w:rsidRPr="0006563F">
        <w:t xml:space="preserve"> This allows new products listed on the Schedule in these subgroups to be priced consistently and transparently in relation to existing products.</w:t>
      </w:r>
    </w:p>
    <w:p w14:paraId="1E60905B" w14:textId="3C168378" w:rsidR="008514E9" w:rsidRDefault="008514E9" w:rsidP="00E442CB">
      <w:pPr>
        <w:pStyle w:val="ListNumber"/>
        <w:numPr>
          <w:ilvl w:val="0"/>
          <w:numId w:val="28"/>
        </w:numPr>
      </w:pPr>
      <w:r w:rsidRPr="00C316C3">
        <w:rPr>
          <w:b/>
          <w:bCs/>
        </w:rPr>
        <w:t>Premium pricing</w:t>
      </w:r>
      <w:r w:rsidRPr="0006563F">
        <w:t>: Premium pricing is a component of benchmark pricing and is currently used in the Scheme. It describes the incremental price that has been justified for a key feature that provides improved health outcomes, additional to those provided by the benchmark product.</w:t>
      </w:r>
      <w:r w:rsidRPr="00C316C3">
        <w:rPr>
          <w:rStyle w:val="FootnoteReference"/>
          <w:b w:val="0"/>
          <w:color w:val="auto"/>
        </w:rPr>
        <w:footnoteReference w:id="24"/>
      </w:r>
      <w:r w:rsidRPr="00C316C3">
        <w:rPr>
          <w:vertAlign w:val="superscript"/>
        </w:rPr>
        <w:t xml:space="preserve"> </w:t>
      </w:r>
      <w:r w:rsidRPr="0006563F">
        <w:t>Assessment of benefits that justify a price premium are based on evaluation by SPAP, which considers</w:t>
      </w:r>
      <w:r>
        <w:t xml:space="preserve"> whether the product provides improved cost-effectiveness, quality of life and/or survival. </w:t>
      </w:r>
      <w:r w:rsidRPr="000941DC">
        <w:t>Premium pricing is also a feature of the PBS. The premium is an additional payment to the supplier of the specified brand of a PBS medicine. The additional charge does not mean there is any difference in quality between brands, although</w:t>
      </w:r>
      <w:r>
        <w:t xml:space="preserve"> </w:t>
      </w:r>
      <w:r w:rsidRPr="002E1C30">
        <w:t xml:space="preserve">a prescriber may direct </w:t>
      </w:r>
      <w:r>
        <w:t xml:space="preserve">patients </w:t>
      </w:r>
      <w:r w:rsidRPr="002E1C30">
        <w:t xml:space="preserve">to a specific brand </w:t>
      </w:r>
      <w:r>
        <w:t xml:space="preserve">where a price premium would be incurred </w:t>
      </w:r>
      <w:r w:rsidRPr="002E1C30">
        <w:t xml:space="preserve">for reasons specific to </w:t>
      </w:r>
      <w:r>
        <w:t xml:space="preserve">each patient. Consumers pay the difference between any price premium and the amount subsidised by the </w:t>
      </w:r>
      <w:r w:rsidR="00FC12ED">
        <w:t>G</w:t>
      </w:r>
      <w:r>
        <w:t>overnment for that medicine under the PBS.</w:t>
      </w:r>
      <w:r w:rsidRPr="00566462">
        <w:rPr>
          <w:rStyle w:val="FootnoteReference"/>
          <w:b w:val="0"/>
          <w:bCs/>
          <w:color w:val="auto"/>
        </w:rPr>
        <w:footnoteReference w:id="25"/>
      </w:r>
      <w:r w:rsidRPr="0064324E">
        <w:rPr>
          <w:bCs/>
        </w:rPr>
        <w:t xml:space="preserve"> </w:t>
      </w:r>
      <w:r>
        <w:t xml:space="preserve">This is a key difference to the premium pricing arrangements under the Scheme, </w:t>
      </w:r>
      <w:r w:rsidRPr="00FE0D60">
        <w:t>where</w:t>
      </w:r>
      <w:r>
        <w:t xml:space="preserve"> the premium is paid by the Government.</w:t>
      </w:r>
    </w:p>
    <w:p w14:paraId="798EAB7A" w14:textId="77777777" w:rsidR="008514E9" w:rsidRDefault="008514E9" w:rsidP="008514E9">
      <w:r>
        <w:lastRenderedPageBreak/>
        <w:t>Several options were identified for setting prices that could be adopted for the Scheme, including:</w:t>
      </w:r>
    </w:p>
    <w:p w14:paraId="2CCEF681" w14:textId="46BE591A" w:rsidR="00C316C3" w:rsidRDefault="008514E9" w:rsidP="00E442CB">
      <w:pPr>
        <w:pStyle w:val="ListNumber"/>
        <w:numPr>
          <w:ilvl w:val="0"/>
          <w:numId w:val="29"/>
        </w:numPr>
      </w:pPr>
      <w:r w:rsidRPr="00C316C3">
        <w:rPr>
          <w:b/>
          <w:bCs/>
        </w:rPr>
        <w:t>Negotiation</w:t>
      </w:r>
      <w:r w:rsidRPr="00F343C4">
        <w:t>: a common approach to price</w:t>
      </w:r>
      <w:r w:rsidR="006A60F2">
        <w:t>-</w:t>
      </w:r>
      <w:r w:rsidRPr="00F343C4">
        <w:t>setting for schemes where products are supplied from providers operating in the private sector, including for the Scheme. Negotiation is also part of the price-setting approach for programs such as the PBS and for blood products supplied under the National Blood Agreement. In each case, the Department of Health and Aged Care or the National Blood Authority negotiates with pharmaceutical companies to set prices. Parameters for negotiating prices are commonly informed by expert assessment of clinical safety, efficacy, and cost-effectiveness by committees such as the MSAC, PBAC or SPAP.</w:t>
      </w:r>
    </w:p>
    <w:p w14:paraId="096115F0" w14:textId="7AAA164F" w:rsidR="00C316C3" w:rsidRDefault="008514E9" w:rsidP="00E442CB">
      <w:pPr>
        <w:pStyle w:val="ListNumber"/>
        <w:numPr>
          <w:ilvl w:val="0"/>
          <w:numId w:val="29"/>
        </w:numPr>
      </w:pPr>
      <w:r w:rsidRPr="00C316C3">
        <w:rPr>
          <w:b/>
          <w:bCs/>
        </w:rPr>
        <w:t>Tendering</w:t>
      </w:r>
      <w:r w:rsidRPr="00F343C4">
        <w:t xml:space="preserve">: Tendering involves specifying a range of products (and conditions/requirements that suppliers must meet) and inviting responses from the market. Tenders may be evaluated on price only, or a combination of factors that lead to an overall ranking of suppliers that determines which will be offered supply contracts. Tenders for products such as those listed on the Schedule may occur for all products, at the group level or individual product level. </w:t>
      </w:r>
      <w:r w:rsidR="00EF6638">
        <w:t xml:space="preserve">Tendering can also be used to set a benchmark price for a group of products with similar characteristics. </w:t>
      </w:r>
      <w:r w:rsidRPr="00F343C4">
        <w:t>Tendering may result in an exclusive or non-exclusive contracting arrangement</w:t>
      </w:r>
      <w:r w:rsidR="00410E6F">
        <w:t xml:space="preserve">, such as </w:t>
      </w:r>
      <w:r w:rsidR="00D50DC6">
        <w:t xml:space="preserve">a preferred panel </w:t>
      </w:r>
      <w:r w:rsidR="00D858FC">
        <w:t>of suppliers</w:t>
      </w:r>
      <w:r w:rsidRPr="00F343C4">
        <w:t>. Under an exclusive contracting arrangement, a single supplier is awarded the contract(s) to supply all products listed on the Schedule (or alternatively, all products within a certain group/category). Exclusive contract may result in lower scheme administration costs/time but could also restrict consumer choice and create competition concerns. If a single supplier is awarded a contract, then consumers may still be able to access alternative (or premium) products available on the market via a co-payment above the government subsidised price.</w:t>
      </w:r>
      <w:r w:rsidR="006B7F6E">
        <w:t xml:space="preserve"> </w:t>
      </w:r>
      <w:r w:rsidR="006B7F6E" w:rsidRPr="00461B71">
        <w:t xml:space="preserve">Tendering may be typically well suited to small groups of homogenous products but may be more complex for large groups of different products such as those under the </w:t>
      </w:r>
      <w:r w:rsidR="006B7F6E">
        <w:t>Schedule</w:t>
      </w:r>
      <w:r w:rsidR="006B7F6E" w:rsidRPr="00461B71">
        <w:t>.</w:t>
      </w:r>
    </w:p>
    <w:p w14:paraId="30A931BC" w14:textId="0B022D66" w:rsidR="008514E9" w:rsidRPr="001B71C0" w:rsidRDefault="008514E9" w:rsidP="00E442CB">
      <w:pPr>
        <w:pStyle w:val="ListNumber"/>
        <w:numPr>
          <w:ilvl w:val="0"/>
          <w:numId w:val="29"/>
        </w:numPr>
      </w:pPr>
      <w:r w:rsidRPr="00C316C3">
        <w:rPr>
          <w:b/>
          <w:bCs/>
        </w:rPr>
        <w:t>Cost-based pricing:</w:t>
      </w:r>
      <w:r w:rsidRPr="00F343C4">
        <w:t xml:space="preserve"> Cost-based pricing relies on identifying and measuring the costs associated with the delivery of services, or the development of products. Prices may be set with reference to various measures of cost, such as the average, median or within an identified range, such as a confidence interval. Activity-based funding of public hospital services uses cost-based pricing, whereby the Independent Health and Aged Care Pricing Authority (IHACPA) calculates an annual National Efficient Price</w:t>
      </w:r>
      <w:r w:rsidRPr="001B71C0">
        <w:t xml:space="preserve"> (and cost) using cost data submitted by public hospitals. Cost-based pricing via </w:t>
      </w:r>
      <w:r w:rsidR="00A51789">
        <w:t>Activity Based Funding (</w:t>
      </w:r>
      <w:r w:rsidRPr="001B71C0">
        <w:t>ABF</w:t>
      </w:r>
      <w:r w:rsidR="00A51789">
        <w:t>)</w:t>
      </w:r>
      <w:r w:rsidRPr="001B71C0">
        <w:t xml:space="preserve"> has been proven to be an effective way of transparently containing cost escalation but relies on the submission of cost data by suppliers, which may be challenging in competitive markets such as those involving the suppliers of products listed in the </w:t>
      </w:r>
      <w:r>
        <w:t>Schedule</w:t>
      </w:r>
      <w:r w:rsidRPr="001B71C0">
        <w:t xml:space="preserve">. </w:t>
      </w:r>
    </w:p>
    <w:p w14:paraId="65E5C9D8" w14:textId="69E836C4" w:rsidR="008514E9" w:rsidRDefault="008514E9" w:rsidP="002B285C">
      <w:pPr>
        <w:pStyle w:val="BodyText"/>
      </w:pPr>
      <w:r>
        <w:t xml:space="preserve">In some cases, these different approaches are used together to price different components of health-related programs or fee schedules. This currently occurs in the </w:t>
      </w:r>
      <w:r w:rsidR="00C316C3">
        <w:t>Scheme</w:t>
      </w:r>
      <w:r>
        <w:t xml:space="preserve">, where negotiation is used to set prices and reference pricing is used to </w:t>
      </w:r>
      <w:r w:rsidR="006157EF">
        <w:t>group benchmark</w:t>
      </w:r>
      <w:r>
        <w:t xml:space="preserve"> price</w:t>
      </w:r>
      <w:r w:rsidR="006157EF">
        <w:t>s</w:t>
      </w:r>
      <w:r>
        <w:t>. A similar combination of price</w:t>
      </w:r>
      <w:r w:rsidR="006A60F2">
        <w:t>-</w:t>
      </w:r>
      <w:r>
        <w:t>setting approaches is used in the PBS, where drug prices are negotiated between Government and suppliers. The price paid by consumers includes a co-payment amount that is indexed annually, along with a price premium for some products related to certain brands or therapeutic groups.</w:t>
      </w:r>
    </w:p>
    <w:bookmarkStart w:id="60" w:name="_Ref156894330"/>
    <w:p w14:paraId="5029DFE9" w14:textId="416C98E1" w:rsidR="008514E9" w:rsidRDefault="00DB107D" w:rsidP="002B285C">
      <w:pPr>
        <w:pStyle w:val="BodyText"/>
      </w:pPr>
      <w:r>
        <w:lastRenderedPageBreak/>
        <w:fldChar w:fldCharType="begin"/>
      </w:r>
      <w:r>
        <w:instrText xml:space="preserve"> REF _Ref157093932 \h </w:instrText>
      </w:r>
      <w:r w:rsidR="002B285C">
        <w:instrText xml:space="preserve"> \* MERGEFORMAT </w:instrText>
      </w:r>
      <w:r>
        <w:fldChar w:fldCharType="separate"/>
      </w:r>
      <w:r w:rsidR="00FE1418">
        <w:t xml:space="preserve">Table </w:t>
      </w:r>
      <w:r w:rsidR="00FE1418">
        <w:rPr>
          <w:noProof/>
        </w:rPr>
        <w:t>9</w:t>
      </w:r>
      <w:r>
        <w:fldChar w:fldCharType="end"/>
      </w:r>
      <w:r>
        <w:t xml:space="preserve"> </w:t>
      </w:r>
      <w:r w:rsidR="008514E9">
        <w:t>summarises the advantages and disadvantages identified through this Review of these price</w:t>
      </w:r>
      <w:r w:rsidR="006A60F2">
        <w:t>-</w:t>
      </w:r>
      <w:r w:rsidR="008514E9">
        <w:t>setting options, based both on publicly available information on these methods but also stakeholder feedback elicited through the consultation process.</w:t>
      </w:r>
      <w:bookmarkEnd w:id="60"/>
    </w:p>
    <w:p w14:paraId="116FB6A6" w14:textId="78900BB5" w:rsidR="00DB107D" w:rsidRDefault="00DB107D" w:rsidP="00DB107D">
      <w:pPr>
        <w:pStyle w:val="Caption"/>
      </w:pPr>
      <w:bookmarkStart w:id="61" w:name="_Ref157093932"/>
      <w:bookmarkStart w:id="62" w:name="_Toc161743112"/>
      <w:r>
        <w:t xml:space="preserve">Table </w:t>
      </w:r>
      <w:r>
        <w:fldChar w:fldCharType="begin"/>
      </w:r>
      <w:r>
        <w:instrText xml:space="preserve"> SEQ Table \* ARABIC </w:instrText>
      </w:r>
      <w:r>
        <w:fldChar w:fldCharType="separate"/>
      </w:r>
      <w:r w:rsidR="00FE1418">
        <w:rPr>
          <w:noProof/>
        </w:rPr>
        <w:t>9</w:t>
      </w:r>
      <w:r>
        <w:rPr>
          <w:noProof/>
        </w:rPr>
        <w:fldChar w:fldCharType="end"/>
      </w:r>
      <w:bookmarkEnd w:id="61"/>
      <w:r>
        <w:t xml:space="preserve">: </w:t>
      </w:r>
      <w:r w:rsidRPr="00C34283">
        <w:t>Advantages and disadvantages of price</w:t>
      </w:r>
      <w:r w:rsidR="006A60F2">
        <w:t>-</w:t>
      </w:r>
      <w:r w:rsidRPr="00C34283">
        <w:t>setting options</w:t>
      </w:r>
      <w:bookmarkEnd w:id="62"/>
    </w:p>
    <w:tbl>
      <w:tblPr>
        <w:tblStyle w:val="TableHealthConsult2"/>
        <w:tblW w:w="5000" w:type="pct"/>
        <w:tblLook w:val="0420" w:firstRow="1" w:lastRow="0" w:firstColumn="0" w:lastColumn="0" w:noHBand="0" w:noVBand="1"/>
      </w:tblPr>
      <w:tblGrid>
        <w:gridCol w:w="2151"/>
        <w:gridCol w:w="2361"/>
        <w:gridCol w:w="2482"/>
        <w:gridCol w:w="2644"/>
      </w:tblGrid>
      <w:tr w:rsidR="008514E9" w:rsidRPr="00A12933" w14:paraId="6120F3B3" w14:textId="77777777" w:rsidTr="00566462">
        <w:trPr>
          <w:cnfStyle w:val="100000000000" w:firstRow="1" w:lastRow="0" w:firstColumn="0" w:lastColumn="0" w:oddVBand="0" w:evenVBand="0" w:oddHBand="0" w:evenHBand="0" w:firstRowFirstColumn="0" w:firstRowLastColumn="0" w:lastRowFirstColumn="0" w:lastRowLastColumn="0"/>
          <w:trHeight w:val="622"/>
        </w:trPr>
        <w:tc>
          <w:tcPr>
            <w:tcW w:w="0" w:type="pct"/>
          </w:tcPr>
          <w:p w14:paraId="717FDA23" w14:textId="1FB519C0" w:rsidR="00C316C3" w:rsidRPr="00A12933" w:rsidRDefault="008514E9" w:rsidP="00F343C4">
            <w:pPr>
              <w:pStyle w:val="BodyText"/>
              <w:spacing w:before="0" w:after="0"/>
              <w:rPr>
                <w:rFonts w:cstheme="minorHAnsi"/>
                <w:b w:val="0"/>
                <w:szCs w:val="16"/>
              </w:rPr>
            </w:pPr>
            <w:r w:rsidRPr="00A12933">
              <w:rPr>
                <w:rFonts w:cstheme="minorHAnsi"/>
                <w:szCs w:val="16"/>
              </w:rPr>
              <w:t>Approach and description</w:t>
            </w:r>
          </w:p>
        </w:tc>
        <w:tc>
          <w:tcPr>
            <w:tcW w:w="0" w:type="pct"/>
            <w:vAlign w:val="center"/>
          </w:tcPr>
          <w:p w14:paraId="50E07184" w14:textId="77777777" w:rsidR="008514E9" w:rsidRPr="00A12933" w:rsidRDefault="008514E9" w:rsidP="00566462">
            <w:pPr>
              <w:pStyle w:val="BodyText"/>
              <w:spacing w:before="0" w:after="0"/>
              <w:jc w:val="center"/>
              <w:rPr>
                <w:rFonts w:cstheme="minorHAnsi"/>
                <w:szCs w:val="16"/>
              </w:rPr>
            </w:pPr>
            <w:r w:rsidRPr="00A12933">
              <w:rPr>
                <w:rFonts w:cstheme="minorHAnsi"/>
                <w:szCs w:val="16"/>
              </w:rPr>
              <w:t>Examples</w:t>
            </w:r>
          </w:p>
        </w:tc>
        <w:tc>
          <w:tcPr>
            <w:tcW w:w="0" w:type="pct"/>
            <w:vAlign w:val="center"/>
          </w:tcPr>
          <w:p w14:paraId="4D6FB815" w14:textId="4F229A38" w:rsidR="008514E9" w:rsidRPr="00A12933" w:rsidRDefault="008514E9" w:rsidP="00566462">
            <w:pPr>
              <w:pStyle w:val="BodyText"/>
              <w:spacing w:before="0" w:after="0"/>
              <w:jc w:val="center"/>
              <w:rPr>
                <w:rFonts w:cstheme="minorHAnsi"/>
                <w:szCs w:val="16"/>
              </w:rPr>
            </w:pPr>
            <w:r w:rsidRPr="00A12933">
              <w:rPr>
                <w:rFonts w:eastAsia="Wingdings" w:cstheme="minorHAnsi"/>
                <w:szCs w:val="16"/>
              </w:rPr>
              <w:sym w:font="Wingdings" w:char="F0FC"/>
            </w:r>
            <w:r w:rsidRPr="00A12933">
              <w:rPr>
                <w:rFonts w:cstheme="minorHAnsi"/>
                <w:szCs w:val="16"/>
              </w:rPr>
              <w:t xml:space="preserve"> Advantages</w:t>
            </w:r>
          </w:p>
        </w:tc>
        <w:tc>
          <w:tcPr>
            <w:tcW w:w="0" w:type="pct"/>
            <w:vAlign w:val="center"/>
          </w:tcPr>
          <w:p w14:paraId="51F5E361" w14:textId="7D83405D" w:rsidR="008514E9" w:rsidRPr="00A12933" w:rsidRDefault="008514E9" w:rsidP="00566462">
            <w:pPr>
              <w:pStyle w:val="BodyText"/>
              <w:spacing w:before="0" w:after="0"/>
              <w:jc w:val="center"/>
              <w:rPr>
                <w:rFonts w:cstheme="minorHAnsi"/>
                <w:szCs w:val="16"/>
              </w:rPr>
            </w:pPr>
            <w:r w:rsidRPr="00A12933">
              <w:rPr>
                <w:rFonts w:eastAsia="Wingdings" w:cstheme="minorHAnsi"/>
                <w:szCs w:val="16"/>
              </w:rPr>
              <w:sym w:font="Wingdings" w:char="F0FB"/>
            </w:r>
            <w:r w:rsidRPr="00A12933">
              <w:rPr>
                <w:rFonts w:cstheme="minorHAnsi"/>
                <w:szCs w:val="16"/>
              </w:rPr>
              <w:t xml:space="preserve"> Disadvantages</w:t>
            </w:r>
          </w:p>
        </w:tc>
      </w:tr>
      <w:tr w:rsidR="008514E9" w:rsidRPr="00A12933" w14:paraId="50FCE40C" w14:textId="77777777" w:rsidTr="00566462">
        <w:trPr>
          <w:cnfStyle w:val="000000100000" w:firstRow="0" w:lastRow="0" w:firstColumn="0" w:lastColumn="0" w:oddVBand="0" w:evenVBand="0" w:oddHBand="1" w:evenHBand="0" w:firstRowFirstColumn="0" w:firstRowLastColumn="0" w:lastRowFirstColumn="0" w:lastRowLastColumn="0"/>
        </w:trPr>
        <w:tc>
          <w:tcPr>
            <w:tcW w:w="0" w:type="pct"/>
          </w:tcPr>
          <w:p w14:paraId="483216B5" w14:textId="77777777" w:rsidR="008514E9" w:rsidRPr="00A12933" w:rsidRDefault="008514E9" w:rsidP="00F343C4">
            <w:pPr>
              <w:pStyle w:val="BodyText"/>
              <w:spacing w:before="0" w:after="0"/>
              <w:rPr>
                <w:rFonts w:cstheme="minorHAnsi"/>
                <w:color w:val="auto"/>
                <w:szCs w:val="16"/>
              </w:rPr>
            </w:pPr>
            <w:r w:rsidRPr="00A12933">
              <w:rPr>
                <w:rFonts w:cstheme="minorHAnsi"/>
                <w:b/>
                <w:color w:val="auto"/>
                <w:szCs w:val="16"/>
              </w:rPr>
              <w:t>Reference (benchmark) pricing</w:t>
            </w:r>
            <w:r w:rsidRPr="00A12933">
              <w:rPr>
                <w:rFonts w:cstheme="minorHAnsi"/>
                <w:bCs/>
                <w:color w:val="auto"/>
                <w:szCs w:val="16"/>
              </w:rPr>
              <w:br/>
            </w:r>
            <w:r w:rsidRPr="00A12933">
              <w:rPr>
                <w:rFonts w:cstheme="minorHAnsi"/>
                <w:color w:val="auto"/>
                <w:szCs w:val="16"/>
              </w:rPr>
              <w:t>Products considered to be of similar safety and efficacy for pricing purposes are linked and priced (typically) on a cost minimisation basis</w:t>
            </w:r>
          </w:p>
        </w:tc>
        <w:tc>
          <w:tcPr>
            <w:tcW w:w="0" w:type="pct"/>
          </w:tcPr>
          <w:p w14:paraId="449E012F" w14:textId="47374563" w:rsidR="008514E9" w:rsidRPr="00A12933" w:rsidRDefault="00C316C3" w:rsidP="00E442CB">
            <w:pPr>
              <w:pStyle w:val="ListBullet"/>
              <w:numPr>
                <w:ilvl w:val="0"/>
                <w:numId w:val="27"/>
              </w:numPr>
              <w:rPr>
                <w:rFonts w:cstheme="minorHAnsi"/>
                <w:szCs w:val="16"/>
              </w:rPr>
            </w:pPr>
            <w:r w:rsidRPr="00A12933">
              <w:rPr>
                <w:rFonts w:cstheme="minorHAnsi"/>
                <w:szCs w:val="16"/>
              </w:rPr>
              <w:t>Scheme</w:t>
            </w:r>
          </w:p>
          <w:p w14:paraId="7CA04355"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t>PBS</w:t>
            </w:r>
          </w:p>
          <w:p w14:paraId="2B441D39"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t>Prostheses List</w:t>
            </w:r>
          </w:p>
        </w:tc>
        <w:tc>
          <w:tcPr>
            <w:tcW w:w="0" w:type="pct"/>
          </w:tcPr>
          <w:p w14:paraId="6F21EB98"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t>Well-established method of minimising costs</w:t>
            </w:r>
          </w:p>
          <w:p w14:paraId="035828E6"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t>Transparent</w:t>
            </w:r>
          </w:p>
          <w:p w14:paraId="6825AAA3" w14:textId="0F3BB209" w:rsidR="008514E9" w:rsidRPr="00A12933" w:rsidRDefault="008514E9" w:rsidP="00E442CB">
            <w:pPr>
              <w:pStyle w:val="ListBullet"/>
              <w:numPr>
                <w:ilvl w:val="0"/>
                <w:numId w:val="27"/>
              </w:numPr>
              <w:rPr>
                <w:rFonts w:cstheme="minorHAnsi"/>
                <w:szCs w:val="16"/>
              </w:rPr>
            </w:pPr>
            <w:r w:rsidRPr="00A12933">
              <w:rPr>
                <w:rFonts w:cstheme="minorHAnsi"/>
                <w:szCs w:val="16"/>
              </w:rPr>
              <w:t>A wide range of approaches can be used to establish benchmarks</w:t>
            </w:r>
            <w:r w:rsidR="005055C8">
              <w:rPr>
                <w:rFonts w:cstheme="minorHAnsi"/>
                <w:szCs w:val="16"/>
              </w:rPr>
              <w:t xml:space="preserve">, including </w:t>
            </w:r>
            <w:r w:rsidR="007916B0">
              <w:rPr>
                <w:rFonts w:cstheme="minorHAnsi"/>
                <w:szCs w:val="16"/>
              </w:rPr>
              <w:t xml:space="preserve">an </w:t>
            </w:r>
            <w:r w:rsidR="009A66B3">
              <w:rPr>
                <w:rFonts w:cstheme="minorHAnsi"/>
                <w:szCs w:val="16"/>
              </w:rPr>
              <w:t>independent pricing review</w:t>
            </w:r>
            <w:r w:rsidR="00106C81">
              <w:rPr>
                <w:rFonts w:cstheme="minorHAnsi"/>
                <w:szCs w:val="16"/>
              </w:rPr>
              <w:t xml:space="preserve"> </w:t>
            </w:r>
            <w:r w:rsidR="007916B0">
              <w:rPr>
                <w:rFonts w:cstheme="minorHAnsi"/>
                <w:szCs w:val="16"/>
              </w:rPr>
              <w:t>or</w:t>
            </w:r>
            <w:r w:rsidR="00106C81">
              <w:rPr>
                <w:rFonts w:cstheme="minorHAnsi"/>
                <w:szCs w:val="16"/>
              </w:rPr>
              <w:t xml:space="preserve"> </w:t>
            </w:r>
            <w:r w:rsidR="005055C8">
              <w:rPr>
                <w:rFonts w:cstheme="minorHAnsi"/>
                <w:szCs w:val="16"/>
              </w:rPr>
              <w:t>tendering</w:t>
            </w:r>
          </w:p>
        </w:tc>
        <w:tc>
          <w:tcPr>
            <w:tcW w:w="0" w:type="pct"/>
          </w:tcPr>
          <w:p w14:paraId="487DD5A8" w14:textId="77777777" w:rsidR="00CE3679" w:rsidRDefault="008514E9" w:rsidP="00E442CB">
            <w:pPr>
              <w:pStyle w:val="ListBullet"/>
              <w:numPr>
                <w:ilvl w:val="0"/>
                <w:numId w:val="27"/>
              </w:numPr>
              <w:rPr>
                <w:rFonts w:cstheme="minorHAnsi"/>
                <w:szCs w:val="16"/>
              </w:rPr>
            </w:pPr>
            <w:r w:rsidRPr="00A12933">
              <w:rPr>
                <w:rFonts w:cstheme="minorHAnsi"/>
                <w:szCs w:val="16"/>
              </w:rPr>
              <w:t xml:space="preserve">Can be administratively complex and time-consuming. </w:t>
            </w:r>
          </w:p>
          <w:p w14:paraId="08101A11" w14:textId="7799206C" w:rsidR="008514E9" w:rsidRPr="00A12933" w:rsidRDefault="008514E9" w:rsidP="00E442CB">
            <w:pPr>
              <w:pStyle w:val="ListBullet"/>
              <w:numPr>
                <w:ilvl w:val="0"/>
                <w:numId w:val="27"/>
              </w:numPr>
              <w:rPr>
                <w:rFonts w:cstheme="minorHAnsi"/>
                <w:szCs w:val="16"/>
              </w:rPr>
            </w:pPr>
            <w:r w:rsidRPr="00A12933">
              <w:rPr>
                <w:rFonts w:cstheme="minorHAnsi"/>
                <w:szCs w:val="16"/>
              </w:rPr>
              <w:t xml:space="preserve">Relies on multiple (often expert) inputs, complex </w:t>
            </w:r>
            <w:proofErr w:type="gramStart"/>
            <w:r w:rsidRPr="00A12933">
              <w:rPr>
                <w:rFonts w:cstheme="minorHAnsi"/>
                <w:szCs w:val="16"/>
              </w:rPr>
              <w:t>analysis</w:t>
            </w:r>
            <w:proofErr w:type="gramEnd"/>
            <w:r w:rsidRPr="00A12933">
              <w:rPr>
                <w:rFonts w:cstheme="minorHAnsi"/>
                <w:szCs w:val="16"/>
              </w:rPr>
              <w:t xml:space="preserve"> and high-quality data.</w:t>
            </w:r>
          </w:p>
          <w:p w14:paraId="6CC4B266"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t xml:space="preserve">Can be time-consuming to administer due to requirements for analysis, </w:t>
            </w:r>
            <w:proofErr w:type="gramStart"/>
            <w:r w:rsidRPr="00A12933">
              <w:rPr>
                <w:rFonts w:cstheme="minorHAnsi"/>
                <w:szCs w:val="16"/>
              </w:rPr>
              <w:t>information-gathering</w:t>
            </w:r>
            <w:proofErr w:type="gramEnd"/>
            <w:r w:rsidRPr="00A12933">
              <w:rPr>
                <w:rFonts w:cstheme="minorHAnsi"/>
                <w:szCs w:val="16"/>
              </w:rPr>
              <w:t xml:space="preserve"> and expert input.</w:t>
            </w:r>
          </w:p>
        </w:tc>
      </w:tr>
      <w:tr w:rsidR="008514E9" w:rsidRPr="00A12933" w14:paraId="228DB1A9" w14:textId="77777777" w:rsidTr="00566462">
        <w:tc>
          <w:tcPr>
            <w:tcW w:w="0" w:type="pct"/>
          </w:tcPr>
          <w:p w14:paraId="10C576E8" w14:textId="77777777" w:rsidR="008514E9" w:rsidRPr="00A12933" w:rsidRDefault="008514E9" w:rsidP="00F343C4">
            <w:pPr>
              <w:pStyle w:val="BodyText"/>
              <w:spacing w:before="0" w:after="0"/>
              <w:rPr>
                <w:rFonts w:cstheme="minorHAnsi"/>
                <w:color w:val="auto"/>
                <w:szCs w:val="16"/>
              </w:rPr>
            </w:pPr>
            <w:r w:rsidRPr="00A12933">
              <w:rPr>
                <w:rFonts w:cstheme="minorHAnsi"/>
                <w:b/>
                <w:color w:val="auto"/>
                <w:szCs w:val="16"/>
              </w:rPr>
              <w:t>Premium pricing</w:t>
            </w:r>
            <w:r w:rsidRPr="00A12933">
              <w:rPr>
                <w:rFonts w:cstheme="minorHAnsi"/>
                <w:bCs/>
                <w:color w:val="auto"/>
                <w:szCs w:val="16"/>
              </w:rPr>
              <w:br/>
            </w:r>
            <w:r w:rsidRPr="00A12933">
              <w:rPr>
                <w:rFonts w:cstheme="minorHAnsi"/>
                <w:color w:val="auto"/>
                <w:szCs w:val="16"/>
              </w:rPr>
              <w:t>An incremental price that has been justified for a key feature that provides improved health outcomes, additional to those provided by the benchmark product</w:t>
            </w:r>
          </w:p>
        </w:tc>
        <w:tc>
          <w:tcPr>
            <w:tcW w:w="0" w:type="pct"/>
          </w:tcPr>
          <w:p w14:paraId="026F4DE5" w14:textId="4536BD3D" w:rsidR="008514E9" w:rsidRPr="00A12933" w:rsidRDefault="00C316C3" w:rsidP="00E442CB">
            <w:pPr>
              <w:pStyle w:val="ListBullet"/>
              <w:numPr>
                <w:ilvl w:val="0"/>
                <w:numId w:val="27"/>
              </w:numPr>
              <w:rPr>
                <w:rFonts w:cstheme="minorHAnsi"/>
                <w:szCs w:val="16"/>
              </w:rPr>
            </w:pPr>
            <w:r w:rsidRPr="00A12933">
              <w:rPr>
                <w:rFonts w:cstheme="minorHAnsi"/>
                <w:szCs w:val="16"/>
              </w:rPr>
              <w:t>Scheme</w:t>
            </w:r>
          </w:p>
          <w:p w14:paraId="030BF2BB"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t>PBS</w:t>
            </w:r>
          </w:p>
        </w:tc>
        <w:tc>
          <w:tcPr>
            <w:tcW w:w="0" w:type="pct"/>
          </w:tcPr>
          <w:p w14:paraId="7C6BADAC"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t xml:space="preserve">Provides flexibility for higher prices to be paid for products that can demonstrate superior safety, efficacy or </w:t>
            </w:r>
            <w:proofErr w:type="gramStart"/>
            <w:r w:rsidRPr="00A12933">
              <w:rPr>
                <w:rFonts w:cstheme="minorHAnsi"/>
                <w:szCs w:val="16"/>
              </w:rPr>
              <w:t>cost-effectiveness</w:t>
            </w:r>
            <w:proofErr w:type="gramEnd"/>
          </w:p>
          <w:p w14:paraId="49F2AA19" w14:textId="4EA5CB63" w:rsidR="008514E9" w:rsidRPr="00A12933" w:rsidRDefault="00A37DE3" w:rsidP="00E442CB">
            <w:pPr>
              <w:pStyle w:val="ListBullet"/>
              <w:numPr>
                <w:ilvl w:val="0"/>
                <w:numId w:val="27"/>
              </w:numPr>
              <w:rPr>
                <w:rFonts w:cstheme="minorHAnsi"/>
                <w:szCs w:val="16"/>
              </w:rPr>
            </w:pPr>
            <w:r>
              <w:rPr>
                <w:rFonts w:cstheme="minorHAnsi"/>
                <w:szCs w:val="16"/>
              </w:rPr>
              <w:t>Improves access</w:t>
            </w:r>
            <w:r w:rsidR="008514E9" w:rsidRPr="00A12933">
              <w:rPr>
                <w:rFonts w:cstheme="minorHAnsi"/>
                <w:szCs w:val="16"/>
              </w:rPr>
              <w:t xml:space="preserve"> for consumers.</w:t>
            </w:r>
          </w:p>
        </w:tc>
        <w:tc>
          <w:tcPr>
            <w:tcW w:w="0" w:type="pct"/>
          </w:tcPr>
          <w:p w14:paraId="7D7454C6"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t xml:space="preserve">Can be administratively complex and time-consuming. Relies on multiple (often expert) inputs, complex </w:t>
            </w:r>
            <w:proofErr w:type="gramStart"/>
            <w:r w:rsidRPr="00A12933">
              <w:rPr>
                <w:rFonts w:cstheme="minorHAnsi"/>
                <w:szCs w:val="16"/>
              </w:rPr>
              <w:t>analysis</w:t>
            </w:r>
            <w:proofErr w:type="gramEnd"/>
            <w:r w:rsidRPr="00A12933">
              <w:rPr>
                <w:rFonts w:cstheme="minorHAnsi"/>
                <w:szCs w:val="16"/>
              </w:rPr>
              <w:t xml:space="preserve"> and high-quality data.</w:t>
            </w:r>
          </w:p>
          <w:p w14:paraId="72E52C02"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t xml:space="preserve">Can be time-consuming to administer due to requirements for analysis, </w:t>
            </w:r>
            <w:proofErr w:type="gramStart"/>
            <w:r w:rsidRPr="00A12933">
              <w:rPr>
                <w:rFonts w:cstheme="minorHAnsi"/>
                <w:szCs w:val="16"/>
              </w:rPr>
              <w:t>information-gathering</w:t>
            </w:r>
            <w:proofErr w:type="gramEnd"/>
            <w:r w:rsidRPr="00A12933">
              <w:rPr>
                <w:rFonts w:cstheme="minorHAnsi"/>
                <w:szCs w:val="16"/>
              </w:rPr>
              <w:t xml:space="preserve"> and expert input.</w:t>
            </w:r>
          </w:p>
          <w:p w14:paraId="5CD64123" w14:textId="015CCF56" w:rsidR="008514E9" w:rsidRPr="00A12933" w:rsidRDefault="008514E9" w:rsidP="00E442CB">
            <w:pPr>
              <w:pStyle w:val="ListBullet"/>
              <w:numPr>
                <w:ilvl w:val="0"/>
                <w:numId w:val="27"/>
              </w:numPr>
              <w:rPr>
                <w:rFonts w:cstheme="minorHAnsi"/>
                <w:szCs w:val="16"/>
              </w:rPr>
            </w:pPr>
            <w:r w:rsidRPr="00A12933">
              <w:rPr>
                <w:rFonts w:cstheme="minorHAnsi"/>
                <w:szCs w:val="16"/>
              </w:rPr>
              <w:t xml:space="preserve">May result in out-of-pocket costs for </w:t>
            </w:r>
            <w:r w:rsidR="00794BE0">
              <w:rPr>
                <w:rFonts w:cstheme="minorHAnsi"/>
                <w:szCs w:val="16"/>
              </w:rPr>
              <w:t>consumers</w:t>
            </w:r>
            <w:r w:rsidR="001221A8">
              <w:rPr>
                <w:rFonts w:cstheme="minorHAnsi"/>
                <w:szCs w:val="16"/>
              </w:rPr>
              <w:t xml:space="preserve"> (although not the case for the Scheme)</w:t>
            </w:r>
            <w:r w:rsidRPr="00A12933">
              <w:rPr>
                <w:rFonts w:cstheme="minorHAnsi"/>
                <w:szCs w:val="16"/>
              </w:rPr>
              <w:t>, and/or additional costs for Government.</w:t>
            </w:r>
          </w:p>
        </w:tc>
      </w:tr>
      <w:tr w:rsidR="008514E9" w:rsidRPr="00A12933" w14:paraId="7E10C249" w14:textId="77777777" w:rsidTr="00566462">
        <w:trPr>
          <w:cnfStyle w:val="000000100000" w:firstRow="0" w:lastRow="0" w:firstColumn="0" w:lastColumn="0" w:oddVBand="0" w:evenVBand="0" w:oddHBand="1" w:evenHBand="0" w:firstRowFirstColumn="0" w:firstRowLastColumn="0" w:lastRowFirstColumn="0" w:lastRowLastColumn="0"/>
        </w:trPr>
        <w:tc>
          <w:tcPr>
            <w:tcW w:w="0" w:type="pct"/>
          </w:tcPr>
          <w:p w14:paraId="30E560FC" w14:textId="77777777" w:rsidR="008514E9" w:rsidRPr="00A12933" w:rsidRDefault="008514E9" w:rsidP="00F343C4">
            <w:pPr>
              <w:pStyle w:val="BodyText"/>
              <w:spacing w:before="0" w:after="0"/>
              <w:rPr>
                <w:rFonts w:cstheme="minorHAnsi"/>
                <w:b/>
                <w:bCs/>
                <w:color w:val="auto"/>
                <w:szCs w:val="16"/>
              </w:rPr>
            </w:pPr>
            <w:r w:rsidRPr="00A12933">
              <w:rPr>
                <w:rFonts w:cstheme="minorHAnsi"/>
                <w:b/>
                <w:color w:val="auto"/>
                <w:szCs w:val="16"/>
              </w:rPr>
              <w:t>Negotiation</w:t>
            </w:r>
            <w:r w:rsidRPr="00A12933">
              <w:rPr>
                <w:rFonts w:cstheme="minorHAnsi"/>
                <w:bCs/>
                <w:color w:val="auto"/>
                <w:szCs w:val="16"/>
              </w:rPr>
              <w:br/>
            </w:r>
            <w:r w:rsidRPr="00A12933">
              <w:rPr>
                <w:rFonts w:cstheme="minorHAnsi"/>
                <w:color w:val="auto"/>
                <w:szCs w:val="16"/>
              </w:rPr>
              <w:t>Pricing arrangements for health-related products are negotiated between suppliers and government departments or agencies.</w:t>
            </w:r>
          </w:p>
        </w:tc>
        <w:tc>
          <w:tcPr>
            <w:tcW w:w="0" w:type="pct"/>
          </w:tcPr>
          <w:p w14:paraId="6AC66D0D" w14:textId="54F23346" w:rsidR="008514E9" w:rsidRPr="00A12933" w:rsidRDefault="00C316C3" w:rsidP="00E442CB">
            <w:pPr>
              <w:pStyle w:val="ListBullet"/>
              <w:numPr>
                <w:ilvl w:val="0"/>
                <w:numId w:val="27"/>
              </w:numPr>
              <w:rPr>
                <w:rFonts w:cstheme="minorHAnsi"/>
                <w:szCs w:val="16"/>
              </w:rPr>
            </w:pPr>
            <w:r w:rsidRPr="00A12933">
              <w:rPr>
                <w:rFonts w:cstheme="minorHAnsi"/>
                <w:szCs w:val="16"/>
              </w:rPr>
              <w:t>Scheme</w:t>
            </w:r>
            <w:r w:rsidR="008514E9" w:rsidRPr="00A12933">
              <w:rPr>
                <w:rFonts w:cstheme="minorHAnsi"/>
                <w:szCs w:val="16"/>
              </w:rPr>
              <w:t xml:space="preserve"> – negotiations with suppliers undertaken by </w:t>
            </w:r>
            <w:r w:rsidR="006A0C44">
              <w:rPr>
                <w:rFonts w:cstheme="minorHAnsi"/>
                <w:szCs w:val="16"/>
              </w:rPr>
              <w:t>Department of Health and Aged Care (</w:t>
            </w:r>
            <w:proofErr w:type="spellStart"/>
            <w:r w:rsidR="008514E9" w:rsidRPr="00A12933">
              <w:rPr>
                <w:rFonts w:cstheme="minorHAnsi"/>
                <w:szCs w:val="16"/>
              </w:rPr>
              <w:t>DoHAC</w:t>
            </w:r>
            <w:proofErr w:type="spellEnd"/>
            <w:r w:rsidR="006A0C44">
              <w:rPr>
                <w:rFonts w:cstheme="minorHAnsi"/>
                <w:szCs w:val="16"/>
              </w:rPr>
              <w:t>)</w:t>
            </w:r>
          </w:p>
          <w:p w14:paraId="59526CD4" w14:textId="663FEB3C" w:rsidR="008514E9" w:rsidRPr="00A12933" w:rsidRDefault="008514E9" w:rsidP="00E442CB">
            <w:pPr>
              <w:pStyle w:val="ListBullet"/>
              <w:numPr>
                <w:ilvl w:val="0"/>
                <w:numId w:val="27"/>
              </w:numPr>
              <w:rPr>
                <w:rFonts w:cstheme="minorHAnsi"/>
                <w:szCs w:val="16"/>
              </w:rPr>
            </w:pPr>
            <w:r w:rsidRPr="00A12933">
              <w:rPr>
                <w:rFonts w:cstheme="minorHAnsi"/>
                <w:szCs w:val="16"/>
              </w:rPr>
              <w:t xml:space="preserve">PBS – negotiations with suppliers undertaken by </w:t>
            </w:r>
            <w:proofErr w:type="spellStart"/>
            <w:proofErr w:type="gramStart"/>
            <w:r w:rsidRPr="00A12933">
              <w:rPr>
                <w:rFonts w:cstheme="minorHAnsi"/>
                <w:szCs w:val="16"/>
              </w:rPr>
              <w:t>DoHAC</w:t>
            </w:r>
            <w:proofErr w:type="spellEnd"/>
            <w:proofErr w:type="gramEnd"/>
          </w:p>
          <w:p w14:paraId="4A25EA70"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t xml:space="preserve">Products funded under the National Blood Agreement – negotiations with suppliers undertaken </w:t>
            </w:r>
            <w:r w:rsidRPr="00A12933">
              <w:rPr>
                <w:rFonts w:cstheme="minorHAnsi"/>
                <w:szCs w:val="16"/>
              </w:rPr>
              <w:lastRenderedPageBreak/>
              <w:t>by the National Blood Authority.</w:t>
            </w:r>
          </w:p>
        </w:tc>
        <w:tc>
          <w:tcPr>
            <w:tcW w:w="0" w:type="pct"/>
          </w:tcPr>
          <w:p w14:paraId="2B9FBA55"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lastRenderedPageBreak/>
              <w:t xml:space="preserve">Familiar approach that is commonly used by similar government-funded </w:t>
            </w:r>
            <w:proofErr w:type="gramStart"/>
            <w:r w:rsidRPr="00A12933">
              <w:rPr>
                <w:rFonts w:cstheme="minorHAnsi"/>
                <w:szCs w:val="16"/>
              </w:rPr>
              <w:t>schemes</w:t>
            </w:r>
            <w:proofErr w:type="gramEnd"/>
          </w:p>
          <w:p w14:paraId="29BC1B15"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t>Provides flexibility in prices paid in response to factors such as cost and clinical benefits.</w:t>
            </w:r>
          </w:p>
        </w:tc>
        <w:tc>
          <w:tcPr>
            <w:tcW w:w="0" w:type="pct"/>
          </w:tcPr>
          <w:p w14:paraId="3067C40E"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t xml:space="preserve">Administratively complex, </w:t>
            </w:r>
            <w:proofErr w:type="gramStart"/>
            <w:r w:rsidRPr="00A12933">
              <w:rPr>
                <w:rFonts w:cstheme="minorHAnsi"/>
                <w:szCs w:val="16"/>
              </w:rPr>
              <w:t>time-consuming</w:t>
            </w:r>
            <w:proofErr w:type="gramEnd"/>
            <w:r w:rsidRPr="00A12933">
              <w:rPr>
                <w:rFonts w:cstheme="minorHAnsi"/>
                <w:szCs w:val="16"/>
              </w:rPr>
              <w:t xml:space="preserve"> and often dependent on complex data analysis and expert input via committees.</w:t>
            </w:r>
          </w:p>
          <w:p w14:paraId="17D9153F"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t>Limited transparency – requires decisions and rationale to be documented and made publicly available.</w:t>
            </w:r>
          </w:p>
        </w:tc>
      </w:tr>
      <w:tr w:rsidR="008514E9" w:rsidRPr="00A12933" w14:paraId="7740F755" w14:textId="77777777" w:rsidTr="00566462">
        <w:tc>
          <w:tcPr>
            <w:tcW w:w="0" w:type="pct"/>
          </w:tcPr>
          <w:p w14:paraId="63FA77C2" w14:textId="77777777" w:rsidR="008514E9" w:rsidRPr="00A12933" w:rsidRDefault="008514E9" w:rsidP="00F343C4">
            <w:pPr>
              <w:pStyle w:val="BodyText"/>
              <w:spacing w:before="0" w:after="0"/>
              <w:rPr>
                <w:rFonts w:cstheme="minorHAnsi"/>
                <w:color w:val="auto"/>
                <w:szCs w:val="16"/>
              </w:rPr>
            </w:pPr>
            <w:r w:rsidRPr="00A12933">
              <w:rPr>
                <w:rFonts w:cstheme="minorHAnsi"/>
                <w:b/>
                <w:color w:val="auto"/>
                <w:szCs w:val="16"/>
              </w:rPr>
              <w:t>Tendering</w:t>
            </w:r>
            <w:r w:rsidRPr="00A12933">
              <w:rPr>
                <w:rFonts w:cstheme="minorHAnsi"/>
                <w:bCs/>
                <w:color w:val="auto"/>
                <w:szCs w:val="16"/>
              </w:rPr>
              <w:br/>
            </w:r>
            <w:r w:rsidRPr="00A12933">
              <w:rPr>
                <w:rFonts w:cstheme="minorHAnsi"/>
                <w:color w:val="auto"/>
                <w:szCs w:val="16"/>
              </w:rPr>
              <w:t>Suppliers invited to propose prices for items through a competitive process. Tendering may occur at the group level or individual product level.</w:t>
            </w:r>
          </w:p>
        </w:tc>
        <w:tc>
          <w:tcPr>
            <w:tcW w:w="0" w:type="pct"/>
          </w:tcPr>
          <w:p w14:paraId="1AD13674"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t>National Diabetes Services Scheme (NDSS) launched tender in September 2023</w:t>
            </w:r>
          </w:p>
        </w:tc>
        <w:tc>
          <w:tcPr>
            <w:tcW w:w="0" w:type="pct"/>
          </w:tcPr>
          <w:p w14:paraId="6722C5F9" w14:textId="7017ACC6" w:rsidR="008514E9" w:rsidRPr="00A12933" w:rsidRDefault="008514E9" w:rsidP="00E442CB">
            <w:pPr>
              <w:pStyle w:val="ListBullet"/>
              <w:numPr>
                <w:ilvl w:val="0"/>
                <w:numId w:val="27"/>
              </w:numPr>
              <w:rPr>
                <w:rFonts w:cstheme="minorHAnsi"/>
                <w:szCs w:val="16"/>
              </w:rPr>
            </w:pPr>
            <w:r w:rsidRPr="00A12933">
              <w:rPr>
                <w:rFonts w:cstheme="minorHAnsi"/>
                <w:szCs w:val="16"/>
              </w:rPr>
              <w:t xml:space="preserve">May be useful to contain costs if expanded clinical eligibility criteria for the </w:t>
            </w:r>
            <w:r w:rsidR="00C316C3" w:rsidRPr="00A12933">
              <w:rPr>
                <w:rFonts w:cstheme="minorHAnsi"/>
                <w:szCs w:val="16"/>
              </w:rPr>
              <w:t>Scheme</w:t>
            </w:r>
            <w:r w:rsidRPr="00A12933">
              <w:rPr>
                <w:rFonts w:cstheme="minorHAnsi"/>
                <w:szCs w:val="16"/>
              </w:rPr>
              <w:t xml:space="preserve"> would result in a significant increase in demand.</w:t>
            </w:r>
          </w:p>
          <w:p w14:paraId="3C11C663"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t>NDSS tendering approach is being used for a small number of product groups (four).</w:t>
            </w:r>
          </w:p>
          <w:p w14:paraId="10F49125"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t>Tendering may create a high level of competitive tension in mature markets such as those for stoma supplies and consumables.</w:t>
            </w:r>
          </w:p>
          <w:p w14:paraId="1170EF5E" w14:textId="0166B550" w:rsidR="008514E9" w:rsidRPr="00A12933" w:rsidRDefault="008514E9" w:rsidP="00E442CB">
            <w:pPr>
              <w:pStyle w:val="ListBullet"/>
              <w:numPr>
                <w:ilvl w:val="0"/>
                <w:numId w:val="27"/>
              </w:numPr>
              <w:rPr>
                <w:rFonts w:cstheme="minorHAnsi"/>
                <w:szCs w:val="16"/>
              </w:rPr>
            </w:pPr>
            <w:r w:rsidRPr="00A12933">
              <w:rPr>
                <w:rFonts w:cstheme="minorHAnsi"/>
                <w:szCs w:val="16"/>
              </w:rPr>
              <w:t xml:space="preserve">Could produce agreed product prices </w:t>
            </w:r>
            <w:r w:rsidR="00F552F7">
              <w:rPr>
                <w:rFonts w:cstheme="minorHAnsi"/>
                <w:szCs w:val="16"/>
              </w:rPr>
              <w:t xml:space="preserve">or establish benchmark prices </w:t>
            </w:r>
            <w:r w:rsidRPr="00A12933">
              <w:rPr>
                <w:rFonts w:cstheme="minorHAnsi"/>
                <w:szCs w:val="16"/>
              </w:rPr>
              <w:t xml:space="preserve">that are fixed for </w:t>
            </w:r>
            <w:proofErr w:type="gramStart"/>
            <w:r w:rsidRPr="00A12933">
              <w:rPr>
                <w:rFonts w:cstheme="minorHAnsi"/>
                <w:szCs w:val="16"/>
              </w:rPr>
              <w:t>a period of time</w:t>
            </w:r>
            <w:proofErr w:type="gramEnd"/>
            <w:r w:rsidRPr="00A12933">
              <w:rPr>
                <w:rFonts w:cstheme="minorHAnsi"/>
                <w:szCs w:val="16"/>
              </w:rPr>
              <w:t>, thus reducing requirements for ongoing analysis and approval processes.</w:t>
            </w:r>
          </w:p>
        </w:tc>
        <w:tc>
          <w:tcPr>
            <w:tcW w:w="0" w:type="pct"/>
          </w:tcPr>
          <w:p w14:paraId="349BA218"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t>Too early to determine whether NDSS tendering approach will deliver on its cost reduction objectives.</w:t>
            </w:r>
          </w:p>
          <w:p w14:paraId="51A64E5B" w14:textId="1C903600" w:rsidR="008514E9" w:rsidRPr="00A12933" w:rsidRDefault="008514E9" w:rsidP="00E442CB">
            <w:pPr>
              <w:pStyle w:val="ListBullet"/>
              <w:numPr>
                <w:ilvl w:val="0"/>
                <w:numId w:val="27"/>
              </w:numPr>
              <w:rPr>
                <w:rFonts w:cstheme="minorHAnsi"/>
                <w:szCs w:val="16"/>
              </w:rPr>
            </w:pPr>
            <w:r w:rsidRPr="00A12933">
              <w:rPr>
                <w:rFonts w:cstheme="minorHAnsi"/>
                <w:szCs w:val="16"/>
              </w:rPr>
              <w:t xml:space="preserve">May be too administratively complex for products such as those on the </w:t>
            </w:r>
            <w:r w:rsidR="00C316C3" w:rsidRPr="00A12933">
              <w:rPr>
                <w:rFonts w:cstheme="minorHAnsi"/>
                <w:szCs w:val="16"/>
              </w:rPr>
              <w:t>Scheme</w:t>
            </w:r>
            <w:r w:rsidRPr="00A12933">
              <w:rPr>
                <w:rFonts w:cstheme="minorHAnsi"/>
                <w:szCs w:val="16"/>
              </w:rPr>
              <w:t xml:space="preserve"> with many groups and high levels of heterogeneity between products.</w:t>
            </w:r>
          </w:p>
          <w:p w14:paraId="7418D884" w14:textId="3D1DC2F7" w:rsidR="008514E9" w:rsidRPr="00A12933" w:rsidRDefault="008514E9" w:rsidP="00E442CB">
            <w:pPr>
              <w:pStyle w:val="ListBullet"/>
              <w:numPr>
                <w:ilvl w:val="0"/>
                <w:numId w:val="27"/>
              </w:numPr>
              <w:rPr>
                <w:rFonts w:cstheme="minorHAnsi"/>
                <w:szCs w:val="16"/>
              </w:rPr>
            </w:pPr>
            <w:r w:rsidRPr="00A12933">
              <w:rPr>
                <w:rFonts w:cstheme="minorHAnsi"/>
                <w:szCs w:val="16"/>
              </w:rPr>
              <w:t>May lead to limiting the product range available on the Schedule, thus limiting choice and preference for ostomates.</w:t>
            </w:r>
          </w:p>
          <w:p w14:paraId="78372986" w14:textId="608ABFFA" w:rsidR="008514E9" w:rsidRPr="00A12933" w:rsidRDefault="008514E9" w:rsidP="00E442CB">
            <w:pPr>
              <w:pStyle w:val="ListBullet"/>
              <w:numPr>
                <w:ilvl w:val="0"/>
                <w:numId w:val="27"/>
              </w:numPr>
              <w:rPr>
                <w:rFonts w:cstheme="minorHAnsi"/>
                <w:szCs w:val="16"/>
              </w:rPr>
            </w:pPr>
            <w:r w:rsidRPr="00A12933">
              <w:rPr>
                <w:rFonts w:cstheme="minorHAnsi"/>
                <w:szCs w:val="16"/>
              </w:rPr>
              <w:t>May be difficult to implement premium prici</w:t>
            </w:r>
            <w:r w:rsidR="00D51B93">
              <w:rPr>
                <w:rFonts w:cstheme="minorHAnsi"/>
                <w:szCs w:val="16"/>
              </w:rPr>
              <w:t>n</w:t>
            </w:r>
            <w:r w:rsidRPr="00A12933">
              <w:rPr>
                <w:rFonts w:cstheme="minorHAnsi"/>
                <w:szCs w:val="16"/>
              </w:rPr>
              <w:t>g - additional consideration required to balance objectives related to cost minimisation and maximising consumer health benefits.</w:t>
            </w:r>
          </w:p>
        </w:tc>
      </w:tr>
      <w:tr w:rsidR="008514E9" w:rsidRPr="00A12933" w14:paraId="0B6AD3CA" w14:textId="77777777" w:rsidTr="00566462">
        <w:trPr>
          <w:cnfStyle w:val="000000100000" w:firstRow="0" w:lastRow="0" w:firstColumn="0" w:lastColumn="0" w:oddVBand="0" w:evenVBand="0" w:oddHBand="1" w:evenHBand="0" w:firstRowFirstColumn="0" w:firstRowLastColumn="0" w:lastRowFirstColumn="0" w:lastRowLastColumn="0"/>
        </w:trPr>
        <w:tc>
          <w:tcPr>
            <w:tcW w:w="0" w:type="pct"/>
          </w:tcPr>
          <w:p w14:paraId="125D6940" w14:textId="77777777" w:rsidR="008514E9" w:rsidRPr="00A12933" w:rsidRDefault="008514E9" w:rsidP="00F343C4">
            <w:pPr>
              <w:pStyle w:val="BodyText"/>
              <w:spacing w:before="0" w:after="0"/>
              <w:rPr>
                <w:rFonts w:cstheme="minorHAnsi"/>
                <w:b/>
                <w:bCs/>
                <w:color w:val="auto"/>
                <w:szCs w:val="16"/>
              </w:rPr>
            </w:pPr>
            <w:r w:rsidRPr="00A12933">
              <w:rPr>
                <w:rFonts w:cstheme="minorHAnsi"/>
                <w:b/>
                <w:color w:val="auto"/>
                <w:szCs w:val="16"/>
              </w:rPr>
              <w:t>Cost-based pricing</w:t>
            </w:r>
            <w:r w:rsidRPr="00A12933">
              <w:rPr>
                <w:rFonts w:cstheme="minorHAnsi"/>
                <w:bCs/>
                <w:color w:val="auto"/>
                <w:szCs w:val="16"/>
              </w:rPr>
              <w:br/>
            </w:r>
            <w:r w:rsidRPr="00A12933">
              <w:rPr>
                <w:rFonts w:cstheme="minorHAnsi"/>
                <w:color w:val="auto"/>
                <w:szCs w:val="16"/>
              </w:rPr>
              <w:t>Prices are set with reference to a measure of cost, such as the average, median, or within an identified range.</w:t>
            </w:r>
          </w:p>
        </w:tc>
        <w:tc>
          <w:tcPr>
            <w:tcW w:w="0" w:type="pct"/>
          </w:tcPr>
          <w:p w14:paraId="249B68FC"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t>Activity-based funding for hospitals – IHACPA calculates a National Efficient Price and National Efficient Cost based on analysis of cost data submitted by hospitals.</w:t>
            </w:r>
          </w:p>
        </w:tc>
        <w:tc>
          <w:tcPr>
            <w:tcW w:w="0" w:type="pct"/>
          </w:tcPr>
          <w:p w14:paraId="79174FE1"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t xml:space="preserve">Has been proven as an effective way to drive efficiencies in operating costs in application as part of </w:t>
            </w:r>
            <w:proofErr w:type="gramStart"/>
            <w:r w:rsidRPr="00A12933">
              <w:rPr>
                <w:rFonts w:cstheme="minorHAnsi"/>
                <w:szCs w:val="16"/>
              </w:rPr>
              <w:t>ABF</w:t>
            </w:r>
            <w:proofErr w:type="gramEnd"/>
          </w:p>
          <w:p w14:paraId="0E605DC2"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t xml:space="preserve">Can provide flexibility to adjust prices according to key drivers of </w:t>
            </w:r>
            <w:proofErr w:type="gramStart"/>
            <w:r w:rsidRPr="00A12933">
              <w:rPr>
                <w:rFonts w:cstheme="minorHAnsi"/>
                <w:szCs w:val="16"/>
              </w:rPr>
              <w:t>cost</w:t>
            </w:r>
            <w:proofErr w:type="gramEnd"/>
          </w:p>
          <w:p w14:paraId="21F98810"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t>Transparent – but transparency relies on publication of analysis methodology and results.</w:t>
            </w:r>
          </w:p>
        </w:tc>
        <w:tc>
          <w:tcPr>
            <w:tcW w:w="0" w:type="pct"/>
          </w:tcPr>
          <w:p w14:paraId="7CE58435" w14:textId="77777777" w:rsidR="008514E9" w:rsidRPr="00A12933" w:rsidRDefault="008514E9" w:rsidP="00E442CB">
            <w:pPr>
              <w:pStyle w:val="ListBullet"/>
              <w:numPr>
                <w:ilvl w:val="0"/>
                <w:numId w:val="27"/>
              </w:numPr>
              <w:rPr>
                <w:rFonts w:cstheme="minorHAnsi"/>
                <w:szCs w:val="16"/>
              </w:rPr>
            </w:pPr>
            <w:r w:rsidRPr="00A12933">
              <w:rPr>
                <w:rFonts w:cstheme="minorHAnsi"/>
                <w:szCs w:val="16"/>
              </w:rPr>
              <w:t>Cost analysis / studies would be required to implement cost-based pricing. This is likely to be highly challenging for markets where suppliers are based in the private sector due to competition and confidentiality issues.</w:t>
            </w:r>
          </w:p>
          <w:p w14:paraId="0C0DE084" w14:textId="0CBD67DA" w:rsidR="008514E9" w:rsidRPr="00A12933" w:rsidRDefault="008514E9" w:rsidP="00E442CB">
            <w:pPr>
              <w:pStyle w:val="ListBullet"/>
              <w:numPr>
                <w:ilvl w:val="0"/>
                <w:numId w:val="27"/>
              </w:numPr>
              <w:rPr>
                <w:rFonts w:cstheme="minorHAnsi"/>
                <w:szCs w:val="16"/>
              </w:rPr>
            </w:pPr>
            <w:r w:rsidRPr="00A12933">
              <w:rPr>
                <w:rFonts w:cstheme="minorHAnsi"/>
                <w:szCs w:val="16"/>
              </w:rPr>
              <w:t xml:space="preserve">Requires regular (often complex) </w:t>
            </w:r>
            <w:r w:rsidR="009905C4">
              <w:rPr>
                <w:rFonts w:cstheme="minorHAnsi"/>
                <w:szCs w:val="16"/>
              </w:rPr>
              <w:t xml:space="preserve">updates and </w:t>
            </w:r>
            <w:r w:rsidRPr="00A12933">
              <w:rPr>
                <w:rFonts w:cstheme="minorHAnsi"/>
                <w:szCs w:val="16"/>
              </w:rPr>
              <w:t>analysis to ensure prices are set with reference to changes in costs over time.</w:t>
            </w:r>
          </w:p>
        </w:tc>
      </w:tr>
    </w:tbl>
    <w:p w14:paraId="1DBEDB65" w14:textId="7EB2711D" w:rsidR="008514E9" w:rsidRDefault="008514E9" w:rsidP="002B285C">
      <w:pPr>
        <w:pStyle w:val="BodyText"/>
      </w:pPr>
      <w:r>
        <w:t>Alternative methods for setting prices on the Scheme were explored with stakeholders, and feedback provided valuable insights to be considered in the Review of the current pricing methodology and the viability of alternative methodologies.</w:t>
      </w:r>
    </w:p>
    <w:p w14:paraId="3DF38011" w14:textId="45F3BA54" w:rsidR="008514E9" w:rsidRDefault="008514E9" w:rsidP="002B285C">
      <w:pPr>
        <w:pStyle w:val="BodyText"/>
      </w:pPr>
      <w:r>
        <w:t xml:space="preserve">Firstly, stakeholders unanimously expressed scepticism regarding the feasibility of tendering as a pricing mechanism for the Scheme, given the extensive array of products available and listed </w:t>
      </w:r>
      <w:r>
        <w:lastRenderedPageBreak/>
        <w:t>on the Schedule. The consensus was that the large product range would render tendering inefficient and could potentially limit access to essential products for ostomates. Additionally, concerns were raised about the potential for tendering or other methods to limit the range, leading to increased utilisation of inappropriate products. It was consistently raised that the pricing approach needs to support and maintain similar product diversity as is current available on the Schedule.</w:t>
      </w:r>
    </w:p>
    <w:p w14:paraId="4184E5DD" w14:textId="77777777" w:rsidR="008514E9" w:rsidRDefault="008514E9" w:rsidP="002B285C">
      <w:pPr>
        <w:pStyle w:val="BodyText"/>
      </w:pPr>
      <w:r>
        <w:t>Regarding negotiation, there was partial support, particularly from product suppliers. However, stakeholders highlighted the administrative complexities associated with individual pricing for each appliance on the Schedule. The concern was that such complexity might outweigh the intended benefits for suppliers, emphasising the importance of a pricing approach that balances administrative efficiency with the interests of both suppliers and users.</w:t>
      </w:r>
    </w:p>
    <w:p w14:paraId="22733963" w14:textId="77777777" w:rsidR="008514E9" w:rsidRDefault="008514E9" w:rsidP="002B285C">
      <w:pPr>
        <w:pStyle w:val="BodyText"/>
      </w:pPr>
      <w:r>
        <w:t>Notably, there was unanimous disagreement among stakeholders regarding the implementation of cost-based pricing as an alternative to the existing benchmark and premium pricing model. The lack of support for cost-based pricing suggests a clear preference for maintaining the current pricing structure, indicating potential reservations about the practicality and effectiveness of a cost-based approach within the context of the Scheme.</w:t>
      </w:r>
    </w:p>
    <w:p w14:paraId="396D463C" w14:textId="0B87DA90" w:rsidR="008514E9" w:rsidRDefault="008514E9" w:rsidP="002B285C">
      <w:pPr>
        <w:pStyle w:val="BodyText"/>
      </w:pPr>
      <w:r>
        <w:t xml:space="preserve">These stakeholder sentiments underscore the importance of carefully weighing the implications of alternative pricing methods for the Scheme. As stakeholders were largely </w:t>
      </w:r>
      <w:r w:rsidR="00122666">
        <w:t xml:space="preserve">not </w:t>
      </w:r>
      <w:r>
        <w:t xml:space="preserve">supportive of implementing any of the presented alternatives with a strong preference to maintain the current benchmark and premium pricing, the Review has considered what modifications or enhancements could be made to the existing pricing model </w:t>
      </w:r>
      <w:r w:rsidR="00CB3670">
        <w:t>to</w:t>
      </w:r>
      <w:r>
        <w:t xml:space="preserve"> address the identified challenges and disadvantages summarised previously.</w:t>
      </w:r>
    </w:p>
    <w:p w14:paraId="302C3946" w14:textId="77777777" w:rsidR="008514E9" w:rsidRDefault="008514E9" w:rsidP="008514E9">
      <w:pPr>
        <w:pStyle w:val="Heading2"/>
      </w:pPr>
      <w:r>
        <w:t>Other mechanisms for pricing reviews and updates</w:t>
      </w:r>
    </w:p>
    <w:p w14:paraId="18620795" w14:textId="77777777" w:rsidR="00E03677" w:rsidRDefault="00E03677" w:rsidP="00E03677">
      <w:pPr>
        <w:pStyle w:val="BodyText"/>
        <w:rPr>
          <w:lang w:eastAsia="en-AU"/>
        </w:rPr>
      </w:pPr>
      <w:r>
        <w:t>As previously noted, there has been no mechanism in place for price reviews or updates since 2013 with the removal of a</w:t>
      </w:r>
      <w:r>
        <w:rPr>
          <w:lang w:eastAsia="en-AU"/>
        </w:rPr>
        <w:t xml:space="preserve">nnual indexation from the Schedule’s product prices. In this time, the Consumer Price Index (CPI) has increased approximately 32%, which means product suppliers have had to absorb the rising costs of goods and services without any significant change to the prices they are paid under the Scheme. </w:t>
      </w:r>
    </w:p>
    <w:p w14:paraId="03C9A6EA" w14:textId="77777777" w:rsidR="00E03677" w:rsidRDefault="00E03677" w:rsidP="00E03677">
      <w:pPr>
        <w:pStyle w:val="BodyText"/>
      </w:pPr>
      <w:r>
        <w:t>Various strategies for periodically updating prices that could be considered for adoption in the Scheme were identified, including:</w:t>
      </w:r>
    </w:p>
    <w:p w14:paraId="32507266" w14:textId="43B90D5A" w:rsidR="00C316C3" w:rsidRDefault="008514E9" w:rsidP="00E442CB">
      <w:pPr>
        <w:pStyle w:val="ListNumber"/>
        <w:numPr>
          <w:ilvl w:val="0"/>
          <w:numId w:val="53"/>
        </w:numPr>
      </w:pPr>
      <w:r w:rsidRPr="00C316C3">
        <w:rPr>
          <w:b/>
          <w:bCs/>
        </w:rPr>
        <w:t>Indexation</w:t>
      </w:r>
      <w:r w:rsidRPr="00C03C57">
        <w:t>: Indexation increases the base price of a product or service with reference to a key variable(s). In Australia, indexation of health-related fees and charges typically occurs annually, although the timing of when indexation applies can vary. For publicly funded health services, indexation is currently applied differently. For instance, fees paid under the Medicare Benefits Schedule (MBS) are indexed on 1 July each year with reference to the Australian Government Department of Finance’s Wage Cost Index, a combination of indices relating to wage levels and the C</w:t>
      </w:r>
      <w:r w:rsidR="00CF6B83">
        <w:t>PI</w:t>
      </w:r>
      <w:r w:rsidRPr="00C03C57">
        <w:t>.</w:t>
      </w:r>
    </w:p>
    <w:p w14:paraId="61874FC6" w14:textId="39ADA203" w:rsidR="00C316C3" w:rsidRDefault="008514E9" w:rsidP="00E442CB">
      <w:pPr>
        <w:pStyle w:val="ListNumber"/>
        <w:numPr>
          <w:ilvl w:val="0"/>
          <w:numId w:val="53"/>
        </w:numPr>
      </w:pPr>
      <w:r w:rsidRPr="00C316C3">
        <w:rPr>
          <w:b/>
          <w:bCs/>
        </w:rPr>
        <w:t>Price reviews</w:t>
      </w:r>
      <w:r w:rsidRPr="00C03C57">
        <w:t>: Regular price reviews of products or services may be conducted to examine the suitability of prices on a periodic basis. The mechanisms for conducting regular price reviews vary, and typically include data</w:t>
      </w:r>
      <w:r w:rsidR="003601DD">
        <w:t>-</w:t>
      </w:r>
      <w:r w:rsidRPr="00C03C57">
        <w:t xml:space="preserve">driven price reviews, such as IHACPA’s annual </w:t>
      </w:r>
      <w:r w:rsidRPr="00C03C57">
        <w:lastRenderedPageBreak/>
        <w:t>calculation of a National Efficient Price and National Efficient Cost, or qualitative price reviews, such as the N</w:t>
      </w:r>
      <w:r w:rsidR="00C545F7">
        <w:t>DIS’s</w:t>
      </w:r>
      <w:r w:rsidRPr="00C03C57">
        <w:t xml:space="preserve"> Annual Pricing Review process, which is conducted by engaging with participants, providers, the </w:t>
      </w:r>
      <w:proofErr w:type="gramStart"/>
      <w:r w:rsidRPr="00C03C57">
        <w:t>community</w:t>
      </w:r>
      <w:proofErr w:type="gramEnd"/>
      <w:r w:rsidRPr="00C03C57">
        <w:t xml:space="preserve"> and government stakeholders. In both cases, price reviews are conducted annually, however the frequency of price reviews can vary. Ideally, price reviews should be conducted at a frequency that will allow material variations in factors such as input costs, supply </w:t>
      </w:r>
      <w:r w:rsidR="007F29DA">
        <w:t xml:space="preserve">chain </w:t>
      </w:r>
      <w:r w:rsidRPr="00C03C57">
        <w:t>factors or consumer demand, to be identified and reflected in pricing arrangements.</w:t>
      </w:r>
    </w:p>
    <w:p w14:paraId="075D0159" w14:textId="608F18C9" w:rsidR="008514E9" w:rsidRPr="00FA0254" w:rsidRDefault="008514E9" w:rsidP="00E442CB">
      <w:pPr>
        <w:pStyle w:val="ListNumber"/>
        <w:numPr>
          <w:ilvl w:val="0"/>
          <w:numId w:val="53"/>
        </w:numPr>
      </w:pPr>
      <w:r w:rsidRPr="00C316C3">
        <w:rPr>
          <w:b/>
          <w:bCs/>
        </w:rPr>
        <w:t>Discounting</w:t>
      </w:r>
      <w:r w:rsidRPr="00C03C57">
        <w:t>: Discounting arrangements are a key feature of the PBS. Drugs listed on F1 Formulary Allocation of the PBS are subject to statutory price reductions (SPR) under the National Health Act 1953 (‘the Act’) on the 5</w:t>
      </w:r>
      <w:r w:rsidRPr="00566462">
        <w:rPr>
          <w:vertAlign w:val="superscript"/>
        </w:rPr>
        <w:t>th</w:t>
      </w:r>
      <w:r w:rsidRPr="00C03C57">
        <w:t xml:space="preserve">, </w:t>
      </w:r>
      <w:proofErr w:type="gramStart"/>
      <w:r w:rsidRPr="00C03C57">
        <w:t>10</w:t>
      </w:r>
      <w:r w:rsidRPr="00566462">
        <w:rPr>
          <w:vertAlign w:val="superscript"/>
        </w:rPr>
        <w:t>th</w:t>
      </w:r>
      <w:proofErr w:type="gramEnd"/>
      <w:r w:rsidR="0064324E">
        <w:t xml:space="preserve"> </w:t>
      </w:r>
      <w:r w:rsidRPr="00C03C57">
        <w:t>and 15</w:t>
      </w:r>
      <w:r w:rsidRPr="00566462">
        <w:rPr>
          <w:vertAlign w:val="superscript"/>
        </w:rPr>
        <w:t>th</w:t>
      </w:r>
      <w:r w:rsidR="0064324E">
        <w:t xml:space="preserve"> </w:t>
      </w:r>
      <w:r w:rsidRPr="00C03C57">
        <w:t>anniversary of the date that the drug was listed on the PBS.</w:t>
      </w:r>
      <w:r w:rsidRPr="00566462">
        <w:rPr>
          <w:rStyle w:val="FootnoteReference"/>
          <w:b w:val="0"/>
          <w:color w:val="auto"/>
        </w:rPr>
        <w:footnoteReference w:id="26"/>
      </w:r>
      <w:r w:rsidRPr="00C03C57">
        <w:t xml:space="preserve"> A range of other statutory price reduction mechanisms are provided for under the Act, but these occur in response to changes in other listings on the PBS. Other statutory price reduction mechanisms include first new brand price reductions, catch up </w:t>
      </w:r>
      <w:r w:rsidR="00600650">
        <w:t>SPR</w:t>
      </w:r>
      <w:r w:rsidRPr="00C03C57">
        <w:t xml:space="preserve"> and</w:t>
      </w:r>
      <w:r>
        <w:t xml:space="preserve"> flow-on price reductions for combination items.</w:t>
      </w:r>
    </w:p>
    <w:p w14:paraId="0274BC78" w14:textId="4F3EFDB9" w:rsidR="008514E9" w:rsidRDefault="008514E9" w:rsidP="00C316C3">
      <w:pPr>
        <w:pStyle w:val="BodyText"/>
      </w:pPr>
      <w:r>
        <w:t>Advantages and disadvantages of the price update options explored in this section are summarised in</w:t>
      </w:r>
      <w:r w:rsidR="00C03C57">
        <w:t xml:space="preserve"> </w:t>
      </w:r>
      <w:r w:rsidR="00C03C57">
        <w:rPr>
          <w:highlight w:val="yellow"/>
        </w:rPr>
        <w:fldChar w:fldCharType="begin"/>
      </w:r>
      <w:r w:rsidR="00C03C57">
        <w:instrText xml:space="preserve"> REF _Ref157094021 \h </w:instrText>
      </w:r>
      <w:r w:rsidR="00C03C57">
        <w:rPr>
          <w:highlight w:val="yellow"/>
        </w:rPr>
      </w:r>
      <w:r w:rsidR="00C03C57">
        <w:rPr>
          <w:highlight w:val="yellow"/>
        </w:rPr>
        <w:fldChar w:fldCharType="separate"/>
      </w:r>
      <w:r w:rsidR="00FE1418">
        <w:t xml:space="preserve">Table </w:t>
      </w:r>
      <w:r w:rsidR="00FE1418">
        <w:rPr>
          <w:noProof/>
        </w:rPr>
        <w:t>10</w:t>
      </w:r>
      <w:r w:rsidR="00C03C57">
        <w:rPr>
          <w:highlight w:val="yellow"/>
        </w:rPr>
        <w:fldChar w:fldCharType="end"/>
      </w:r>
      <w:r>
        <w:t>.</w:t>
      </w:r>
    </w:p>
    <w:p w14:paraId="22BA58EF" w14:textId="1B54F040" w:rsidR="00C03C57" w:rsidRDefault="00C03C57" w:rsidP="00C03C57">
      <w:pPr>
        <w:pStyle w:val="Caption"/>
      </w:pPr>
      <w:bookmarkStart w:id="63" w:name="_Ref157094021"/>
      <w:bookmarkStart w:id="64" w:name="_Toc161743113"/>
      <w:r>
        <w:t xml:space="preserve">Table </w:t>
      </w:r>
      <w:r>
        <w:fldChar w:fldCharType="begin"/>
      </w:r>
      <w:r>
        <w:instrText xml:space="preserve"> SEQ Table \* ARABIC </w:instrText>
      </w:r>
      <w:r>
        <w:fldChar w:fldCharType="separate"/>
      </w:r>
      <w:r w:rsidR="00FE1418">
        <w:rPr>
          <w:noProof/>
        </w:rPr>
        <w:t>10</w:t>
      </w:r>
      <w:r>
        <w:rPr>
          <w:noProof/>
        </w:rPr>
        <w:fldChar w:fldCharType="end"/>
      </w:r>
      <w:bookmarkEnd w:id="63"/>
      <w:r>
        <w:t xml:space="preserve">: </w:t>
      </w:r>
      <w:r w:rsidRPr="00972A61">
        <w:t>Potential price update options and their advantages and disadvantages</w:t>
      </w:r>
      <w:bookmarkEnd w:id="64"/>
    </w:p>
    <w:tbl>
      <w:tblPr>
        <w:tblStyle w:val="TableHealthConsult2"/>
        <w:tblW w:w="5000" w:type="pct"/>
        <w:tblLook w:val="0420" w:firstRow="1" w:lastRow="0" w:firstColumn="0" w:lastColumn="0" w:noHBand="0" w:noVBand="1"/>
      </w:tblPr>
      <w:tblGrid>
        <w:gridCol w:w="2118"/>
        <w:gridCol w:w="2309"/>
        <w:gridCol w:w="2653"/>
        <w:gridCol w:w="2558"/>
      </w:tblGrid>
      <w:tr w:rsidR="008514E9" w:rsidRPr="00C03C57" w14:paraId="528708EF" w14:textId="77777777" w:rsidTr="00566462">
        <w:trPr>
          <w:cnfStyle w:val="100000000000" w:firstRow="1" w:lastRow="0" w:firstColumn="0" w:lastColumn="0" w:oddVBand="0" w:evenVBand="0" w:oddHBand="0" w:evenHBand="0" w:firstRowFirstColumn="0" w:firstRowLastColumn="0" w:lastRowFirstColumn="0" w:lastRowLastColumn="0"/>
          <w:trHeight w:val="726"/>
        </w:trPr>
        <w:tc>
          <w:tcPr>
            <w:tcW w:w="0" w:type="pct"/>
          </w:tcPr>
          <w:p w14:paraId="536EFB4B" w14:textId="77777777" w:rsidR="008514E9" w:rsidRPr="00C03C57" w:rsidRDefault="008514E9" w:rsidP="00C03C57">
            <w:pPr>
              <w:pStyle w:val="BodyText"/>
              <w:spacing w:before="0" w:after="0"/>
              <w:rPr>
                <w:szCs w:val="20"/>
              </w:rPr>
            </w:pPr>
            <w:r w:rsidRPr="00C03C57">
              <w:rPr>
                <w:szCs w:val="20"/>
              </w:rPr>
              <w:t>Approach and description</w:t>
            </w:r>
          </w:p>
        </w:tc>
        <w:tc>
          <w:tcPr>
            <w:tcW w:w="0" w:type="pct"/>
          </w:tcPr>
          <w:p w14:paraId="63AB52D3" w14:textId="77777777" w:rsidR="008514E9" w:rsidRPr="00C03C57" w:rsidRDefault="008514E9" w:rsidP="00C03C57">
            <w:pPr>
              <w:pStyle w:val="BodyText"/>
              <w:spacing w:before="0" w:after="0"/>
              <w:rPr>
                <w:szCs w:val="20"/>
              </w:rPr>
            </w:pPr>
            <w:r w:rsidRPr="00C03C57">
              <w:rPr>
                <w:szCs w:val="20"/>
              </w:rPr>
              <w:t>Examples</w:t>
            </w:r>
          </w:p>
        </w:tc>
        <w:tc>
          <w:tcPr>
            <w:tcW w:w="0" w:type="pct"/>
          </w:tcPr>
          <w:p w14:paraId="3E954CAF" w14:textId="77777777" w:rsidR="008514E9" w:rsidRPr="00C03C57" w:rsidRDefault="008514E9" w:rsidP="00C03C57">
            <w:pPr>
              <w:pStyle w:val="BodyText"/>
              <w:spacing w:before="0" w:after="0"/>
              <w:rPr>
                <w:szCs w:val="20"/>
              </w:rPr>
            </w:pPr>
            <w:r w:rsidRPr="00C03C57">
              <w:rPr>
                <w:szCs w:val="20"/>
              </w:rPr>
              <w:t>Advantages</w:t>
            </w:r>
          </w:p>
        </w:tc>
        <w:tc>
          <w:tcPr>
            <w:tcW w:w="0" w:type="pct"/>
          </w:tcPr>
          <w:p w14:paraId="00AB9BDC" w14:textId="77777777" w:rsidR="008514E9" w:rsidRPr="00C03C57" w:rsidRDefault="008514E9" w:rsidP="00C03C57">
            <w:pPr>
              <w:pStyle w:val="BodyText"/>
              <w:spacing w:before="0" w:after="0"/>
              <w:rPr>
                <w:szCs w:val="20"/>
              </w:rPr>
            </w:pPr>
            <w:r w:rsidRPr="00C03C57">
              <w:rPr>
                <w:szCs w:val="20"/>
              </w:rPr>
              <w:t>Disadvantages</w:t>
            </w:r>
          </w:p>
        </w:tc>
      </w:tr>
      <w:tr w:rsidR="008514E9" w:rsidRPr="00C03C57" w14:paraId="32684704" w14:textId="77777777" w:rsidTr="00566462">
        <w:trPr>
          <w:cnfStyle w:val="000000100000" w:firstRow="0" w:lastRow="0" w:firstColumn="0" w:lastColumn="0" w:oddVBand="0" w:evenVBand="0" w:oddHBand="1" w:evenHBand="0" w:firstRowFirstColumn="0" w:firstRowLastColumn="0" w:lastRowFirstColumn="0" w:lastRowLastColumn="0"/>
        </w:trPr>
        <w:tc>
          <w:tcPr>
            <w:tcW w:w="0" w:type="pct"/>
          </w:tcPr>
          <w:p w14:paraId="216E93A4" w14:textId="77777777" w:rsidR="008514E9" w:rsidRPr="00C03C57" w:rsidRDefault="008514E9" w:rsidP="00C03C57">
            <w:pPr>
              <w:pStyle w:val="BodyText"/>
              <w:spacing w:before="0" w:after="0"/>
              <w:rPr>
                <w:color w:val="auto"/>
                <w:szCs w:val="20"/>
              </w:rPr>
            </w:pPr>
            <w:r w:rsidRPr="00897DCE">
              <w:rPr>
                <w:b/>
                <w:color w:val="auto"/>
                <w:szCs w:val="20"/>
              </w:rPr>
              <w:t>Indexation</w:t>
            </w:r>
            <w:r w:rsidRPr="00C03C57">
              <w:rPr>
                <w:bCs/>
                <w:color w:val="auto"/>
                <w:szCs w:val="20"/>
              </w:rPr>
              <w:br/>
            </w:r>
            <w:r w:rsidRPr="00C03C57">
              <w:rPr>
                <w:color w:val="auto"/>
                <w:szCs w:val="20"/>
              </w:rPr>
              <w:t>An increase the base price of a product or service with reference to a key variable(s).</w:t>
            </w:r>
          </w:p>
        </w:tc>
        <w:tc>
          <w:tcPr>
            <w:tcW w:w="0" w:type="pct"/>
          </w:tcPr>
          <w:p w14:paraId="2A22BF37" w14:textId="77777777" w:rsidR="008514E9" w:rsidRPr="00C03C57" w:rsidRDefault="008514E9" w:rsidP="00E442CB">
            <w:pPr>
              <w:pStyle w:val="ListBullet"/>
              <w:numPr>
                <w:ilvl w:val="0"/>
                <w:numId w:val="27"/>
              </w:numPr>
            </w:pPr>
            <w:r w:rsidRPr="00C03C57">
              <w:t>Annual indexation on the MBS</w:t>
            </w:r>
          </w:p>
          <w:p w14:paraId="120E6325" w14:textId="1471F21C" w:rsidR="008514E9" w:rsidRPr="00C03C57" w:rsidRDefault="008514E9" w:rsidP="00E442CB">
            <w:pPr>
              <w:pStyle w:val="ListBullet"/>
              <w:numPr>
                <w:ilvl w:val="0"/>
                <w:numId w:val="27"/>
              </w:numPr>
            </w:pPr>
            <w:r w:rsidRPr="00C03C57">
              <w:t>Annual indexation on dispensing co-payments under the PBS</w:t>
            </w:r>
          </w:p>
        </w:tc>
        <w:tc>
          <w:tcPr>
            <w:tcW w:w="0" w:type="pct"/>
          </w:tcPr>
          <w:p w14:paraId="4CFE44D4" w14:textId="77777777" w:rsidR="008514E9" w:rsidRPr="00C03C57" w:rsidRDefault="008514E9" w:rsidP="00E442CB">
            <w:pPr>
              <w:pStyle w:val="ListBullet"/>
              <w:numPr>
                <w:ilvl w:val="0"/>
                <w:numId w:val="27"/>
              </w:numPr>
            </w:pPr>
            <w:r w:rsidRPr="00C03C57">
              <w:t>Administratively simple</w:t>
            </w:r>
          </w:p>
          <w:p w14:paraId="51A3504E" w14:textId="05B6CFA2" w:rsidR="008514E9" w:rsidRPr="00C03C57" w:rsidRDefault="008514E9" w:rsidP="00E442CB">
            <w:pPr>
              <w:pStyle w:val="ListBullet"/>
              <w:numPr>
                <w:ilvl w:val="0"/>
                <w:numId w:val="27"/>
              </w:numPr>
            </w:pPr>
            <w:r w:rsidRPr="00C03C57">
              <w:t xml:space="preserve">Can provide for changes in fees/prices to respond to measures that are considered relevant to underlying changes in input </w:t>
            </w:r>
            <w:proofErr w:type="gramStart"/>
            <w:r w:rsidRPr="00C03C57">
              <w:t>costs</w:t>
            </w:r>
            <w:proofErr w:type="gramEnd"/>
          </w:p>
          <w:p w14:paraId="014CB1A2" w14:textId="77777777" w:rsidR="008514E9" w:rsidRPr="00C03C57" w:rsidRDefault="008514E9" w:rsidP="00E442CB">
            <w:pPr>
              <w:pStyle w:val="ListBullet"/>
              <w:numPr>
                <w:ilvl w:val="0"/>
                <w:numId w:val="27"/>
              </w:numPr>
            </w:pPr>
            <w:r w:rsidRPr="00C03C57">
              <w:t xml:space="preserve">Can be applied flexibly to meet a wide range of </w:t>
            </w:r>
            <w:proofErr w:type="gramStart"/>
            <w:r w:rsidRPr="00C03C57">
              <w:t>objectives</w:t>
            </w:r>
            <w:proofErr w:type="gramEnd"/>
          </w:p>
          <w:p w14:paraId="7647398A" w14:textId="77777777" w:rsidR="008514E9" w:rsidRPr="00C03C57" w:rsidRDefault="008514E9" w:rsidP="00E442CB">
            <w:pPr>
              <w:pStyle w:val="ListBullet"/>
              <w:numPr>
                <w:ilvl w:val="0"/>
                <w:numId w:val="27"/>
              </w:numPr>
            </w:pPr>
            <w:r w:rsidRPr="00C03C57">
              <w:t>Highly transparent</w:t>
            </w:r>
          </w:p>
        </w:tc>
        <w:tc>
          <w:tcPr>
            <w:tcW w:w="0" w:type="pct"/>
          </w:tcPr>
          <w:p w14:paraId="25774AFD" w14:textId="77777777" w:rsidR="008514E9" w:rsidRPr="00C03C57" w:rsidRDefault="008514E9" w:rsidP="00E442CB">
            <w:pPr>
              <w:pStyle w:val="ListBullet"/>
              <w:numPr>
                <w:ilvl w:val="0"/>
                <w:numId w:val="27"/>
              </w:numPr>
            </w:pPr>
            <w:r w:rsidRPr="00C03C57">
              <w:t xml:space="preserve">Requires detailed consideration to select an appropriate measure(s) to use as the basis for applying indexation </w:t>
            </w:r>
            <w:proofErr w:type="gramStart"/>
            <w:r w:rsidRPr="00C03C57">
              <w:t>amounts</w:t>
            </w:r>
            <w:proofErr w:type="gramEnd"/>
          </w:p>
          <w:p w14:paraId="5ABBC551" w14:textId="1696B61F" w:rsidR="008514E9" w:rsidRDefault="008514E9" w:rsidP="00E442CB">
            <w:pPr>
              <w:pStyle w:val="ListBullet"/>
              <w:numPr>
                <w:ilvl w:val="0"/>
                <w:numId w:val="27"/>
              </w:numPr>
            </w:pPr>
            <w:r w:rsidRPr="00C03C57">
              <w:t xml:space="preserve">Requires periodic review to ensure indexation variables are relevant and appropriate over </w:t>
            </w:r>
            <w:proofErr w:type="gramStart"/>
            <w:r w:rsidRPr="00C03C57">
              <w:t>time</w:t>
            </w:r>
            <w:proofErr w:type="gramEnd"/>
          </w:p>
          <w:p w14:paraId="6C84817B" w14:textId="41B01FF6" w:rsidR="001C1A8F" w:rsidRPr="00C03C57" w:rsidRDefault="001C1A8F" w:rsidP="00E442CB">
            <w:pPr>
              <w:pStyle w:val="ListBullet"/>
              <w:numPr>
                <w:ilvl w:val="0"/>
                <w:numId w:val="27"/>
              </w:numPr>
            </w:pPr>
            <w:r w:rsidRPr="001C1A8F">
              <w:t>Production costs do not always move with price indexes, e.g. there are circumstances where production costs fall due to technology advances</w:t>
            </w:r>
            <w:r w:rsidR="00C11BDE">
              <w:t>.</w:t>
            </w:r>
          </w:p>
        </w:tc>
      </w:tr>
      <w:tr w:rsidR="008514E9" w:rsidRPr="00C03C57" w14:paraId="62E45C8A" w14:textId="77777777" w:rsidTr="00566462">
        <w:tc>
          <w:tcPr>
            <w:tcW w:w="0" w:type="pct"/>
          </w:tcPr>
          <w:p w14:paraId="65793DB1" w14:textId="77777777" w:rsidR="008514E9" w:rsidRPr="00C03C57" w:rsidRDefault="008514E9" w:rsidP="00C03C57">
            <w:pPr>
              <w:pStyle w:val="BodyText"/>
              <w:spacing w:before="0" w:after="0"/>
              <w:rPr>
                <w:b/>
                <w:color w:val="auto"/>
                <w:szCs w:val="20"/>
              </w:rPr>
            </w:pPr>
            <w:r w:rsidRPr="00897DCE">
              <w:rPr>
                <w:b/>
                <w:color w:val="auto"/>
                <w:szCs w:val="20"/>
              </w:rPr>
              <w:t>Price reviews</w:t>
            </w:r>
            <w:r w:rsidRPr="00C03C57">
              <w:rPr>
                <w:bCs/>
                <w:color w:val="auto"/>
                <w:szCs w:val="20"/>
              </w:rPr>
              <w:br/>
            </w:r>
            <w:r w:rsidRPr="00C03C57">
              <w:rPr>
                <w:color w:val="auto"/>
                <w:szCs w:val="20"/>
              </w:rPr>
              <w:t>Regular examination of prices for products or services</w:t>
            </w:r>
          </w:p>
        </w:tc>
        <w:tc>
          <w:tcPr>
            <w:tcW w:w="0" w:type="pct"/>
          </w:tcPr>
          <w:p w14:paraId="774095F3" w14:textId="77777777" w:rsidR="008514E9" w:rsidRPr="00C03C57" w:rsidRDefault="008514E9" w:rsidP="00E442CB">
            <w:pPr>
              <w:pStyle w:val="ListBullet"/>
              <w:numPr>
                <w:ilvl w:val="0"/>
                <w:numId w:val="27"/>
              </w:numPr>
            </w:pPr>
            <w:r w:rsidRPr="00C03C57">
              <w:t>IHACPA’s annual calculation of a National Efficient Price and National Efficient Cost</w:t>
            </w:r>
          </w:p>
          <w:p w14:paraId="03C585A4" w14:textId="5233DE98" w:rsidR="008514E9" w:rsidRPr="00C03C57" w:rsidRDefault="008514E9" w:rsidP="00E442CB">
            <w:pPr>
              <w:pStyle w:val="ListBullet"/>
              <w:numPr>
                <w:ilvl w:val="0"/>
                <w:numId w:val="27"/>
              </w:numPr>
            </w:pPr>
            <w:r w:rsidRPr="00C03C57">
              <w:lastRenderedPageBreak/>
              <w:t>the N</w:t>
            </w:r>
            <w:r w:rsidR="00C545F7">
              <w:t>DIS’s</w:t>
            </w:r>
            <w:r w:rsidRPr="00C03C57">
              <w:t xml:space="preserve"> Annual Pricing Review process</w:t>
            </w:r>
          </w:p>
        </w:tc>
        <w:tc>
          <w:tcPr>
            <w:tcW w:w="0" w:type="pct"/>
          </w:tcPr>
          <w:p w14:paraId="4BA48984" w14:textId="1905AA00" w:rsidR="008514E9" w:rsidRPr="00C03C57" w:rsidRDefault="008514E9" w:rsidP="00E442CB">
            <w:pPr>
              <w:pStyle w:val="ListBullet"/>
              <w:numPr>
                <w:ilvl w:val="0"/>
                <w:numId w:val="27"/>
              </w:numPr>
            </w:pPr>
            <w:r w:rsidRPr="00C03C57">
              <w:lastRenderedPageBreak/>
              <w:t xml:space="preserve">Provide for regular consideration of price suitability – can be designed flexibly to focus on variables such as cost, </w:t>
            </w:r>
            <w:proofErr w:type="gramStart"/>
            <w:r w:rsidRPr="00C03C57">
              <w:t>demand</w:t>
            </w:r>
            <w:proofErr w:type="gramEnd"/>
            <w:r w:rsidRPr="00C03C57">
              <w:t xml:space="preserve"> or supply </w:t>
            </w:r>
            <w:r w:rsidR="003617DD">
              <w:t xml:space="preserve">chain </w:t>
            </w:r>
            <w:r w:rsidRPr="00C03C57">
              <w:t>factors</w:t>
            </w:r>
          </w:p>
        </w:tc>
        <w:tc>
          <w:tcPr>
            <w:tcW w:w="0" w:type="pct"/>
          </w:tcPr>
          <w:p w14:paraId="023C7BDA" w14:textId="0C3F1625" w:rsidR="008514E9" w:rsidRPr="00C03C57" w:rsidRDefault="008514E9" w:rsidP="00E442CB">
            <w:pPr>
              <w:pStyle w:val="ListBullet"/>
              <w:numPr>
                <w:ilvl w:val="0"/>
                <w:numId w:val="27"/>
              </w:numPr>
            </w:pPr>
            <w:r w:rsidRPr="00C03C57">
              <w:t>Data</w:t>
            </w:r>
            <w:r w:rsidR="00E12D92">
              <w:t>-</w:t>
            </w:r>
            <w:r w:rsidRPr="00C03C57">
              <w:t xml:space="preserve">driven price reviews rely on submission of consistent, accurate and reliable data, which may be challenging for private sector providers such as </w:t>
            </w:r>
            <w:r w:rsidRPr="00C03C57">
              <w:lastRenderedPageBreak/>
              <w:t xml:space="preserve">those that supply products under the </w:t>
            </w:r>
            <w:proofErr w:type="gramStart"/>
            <w:r w:rsidR="00C316C3">
              <w:t>Scheme</w:t>
            </w:r>
            <w:proofErr w:type="gramEnd"/>
          </w:p>
          <w:p w14:paraId="65680713" w14:textId="77777777" w:rsidR="008514E9" w:rsidRPr="00C03C57" w:rsidRDefault="008514E9" w:rsidP="00E442CB">
            <w:pPr>
              <w:pStyle w:val="ListBullet"/>
              <w:numPr>
                <w:ilvl w:val="0"/>
                <w:numId w:val="27"/>
              </w:numPr>
            </w:pPr>
            <w:r w:rsidRPr="00C03C57">
              <w:t xml:space="preserve">Often takes substantial time, </w:t>
            </w:r>
            <w:proofErr w:type="gramStart"/>
            <w:r w:rsidRPr="00C03C57">
              <w:t>effort</w:t>
            </w:r>
            <w:proofErr w:type="gramEnd"/>
            <w:r w:rsidRPr="00C03C57">
              <w:t xml:space="preserve"> and coordination to collect, analyse and report on the data / information that is gathered during the review period. </w:t>
            </w:r>
          </w:p>
        </w:tc>
      </w:tr>
      <w:tr w:rsidR="008514E9" w:rsidRPr="00C03C57" w14:paraId="5564C62C" w14:textId="77777777" w:rsidTr="00566462">
        <w:trPr>
          <w:cnfStyle w:val="000000100000" w:firstRow="0" w:lastRow="0" w:firstColumn="0" w:lastColumn="0" w:oddVBand="0" w:evenVBand="0" w:oddHBand="1" w:evenHBand="0" w:firstRowFirstColumn="0" w:firstRowLastColumn="0" w:lastRowFirstColumn="0" w:lastRowLastColumn="0"/>
        </w:trPr>
        <w:tc>
          <w:tcPr>
            <w:tcW w:w="0" w:type="pct"/>
          </w:tcPr>
          <w:p w14:paraId="6DBEF58B" w14:textId="286B3A10" w:rsidR="008514E9" w:rsidRPr="00C03C57" w:rsidRDefault="008514E9" w:rsidP="00C03C57">
            <w:pPr>
              <w:pStyle w:val="BodyText"/>
              <w:spacing w:before="0" w:after="0"/>
              <w:rPr>
                <w:color w:val="auto"/>
                <w:szCs w:val="20"/>
              </w:rPr>
            </w:pPr>
            <w:r w:rsidRPr="00897DCE">
              <w:rPr>
                <w:b/>
                <w:color w:val="auto"/>
                <w:szCs w:val="20"/>
              </w:rPr>
              <w:lastRenderedPageBreak/>
              <w:t>Discounting</w:t>
            </w:r>
            <w:r w:rsidRPr="00C03C57">
              <w:rPr>
                <w:bCs/>
                <w:color w:val="auto"/>
                <w:szCs w:val="20"/>
              </w:rPr>
              <w:br/>
            </w:r>
            <w:r w:rsidRPr="00C03C57">
              <w:rPr>
                <w:color w:val="auto"/>
                <w:szCs w:val="20"/>
              </w:rPr>
              <w:t>Prices are periodically decreased in accordance with a se</w:t>
            </w:r>
            <w:r w:rsidR="009D3D5C">
              <w:rPr>
                <w:color w:val="auto"/>
                <w:szCs w:val="20"/>
              </w:rPr>
              <w:t>t</w:t>
            </w:r>
            <w:r w:rsidRPr="00C03C57">
              <w:rPr>
                <w:color w:val="auto"/>
                <w:szCs w:val="20"/>
              </w:rPr>
              <w:t xml:space="preserve"> schedule and price reduction methodology.</w:t>
            </w:r>
          </w:p>
        </w:tc>
        <w:tc>
          <w:tcPr>
            <w:tcW w:w="0" w:type="pct"/>
          </w:tcPr>
          <w:p w14:paraId="51DEC66A" w14:textId="77777777" w:rsidR="008514E9" w:rsidRPr="00C03C57" w:rsidRDefault="008514E9" w:rsidP="00E442CB">
            <w:pPr>
              <w:pStyle w:val="ListBullet"/>
              <w:numPr>
                <w:ilvl w:val="0"/>
                <w:numId w:val="27"/>
              </w:numPr>
            </w:pPr>
            <w:r w:rsidRPr="00C03C57">
              <w:t>PBS anniversary price reductions</w:t>
            </w:r>
          </w:p>
        </w:tc>
        <w:tc>
          <w:tcPr>
            <w:tcW w:w="0" w:type="pct"/>
          </w:tcPr>
          <w:p w14:paraId="6A6EA028" w14:textId="77777777" w:rsidR="008514E9" w:rsidRPr="00C03C57" w:rsidRDefault="008514E9" w:rsidP="00E442CB">
            <w:pPr>
              <w:pStyle w:val="ListBullet"/>
              <w:numPr>
                <w:ilvl w:val="0"/>
                <w:numId w:val="27"/>
              </w:numPr>
            </w:pPr>
            <w:r w:rsidRPr="00C03C57">
              <w:t xml:space="preserve">Can support strong cost savings for government over </w:t>
            </w:r>
            <w:proofErr w:type="gramStart"/>
            <w:r w:rsidRPr="00C03C57">
              <w:t>time</w:t>
            </w:r>
            <w:proofErr w:type="gramEnd"/>
          </w:p>
          <w:p w14:paraId="3102FB98" w14:textId="38CF7A76" w:rsidR="008514E9" w:rsidRPr="00C03C57" w:rsidRDefault="00AC7961" w:rsidP="00E442CB">
            <w:pPr>
              <w:pStyle w:val="ListBullet"/>
              <w:numPr>
                <w:ilvl w:val="0"/>
                <w:numId w:val="27"/>
              </w:numPr>
            </w:pPr>
            <w:r w:rsidRPr="00AC7961">
              <w:t xml:space="preserve">Well-suited to products with reducing production costs, good revenue margins and / or </w:t>
            </w:r>
            <w:proofErr w:type="gramStart"/>
            <w:r w:rsidRPr="00AC7961">
              <w:t>high volume</w:t>
            </w:r>
            <w:proofErr w:type="gramEnd"/>
            <w:r w:rsidRPr="00AC7961">
              <w:t xml:space="preserve"> demand.</w:t>
            </w:r>
          </w:p>
        </w:tc>
        <w:tc>
          <w:tcPr>
            <w:tcW w:w="0" w:type="pct"/>
          </w:tcPr>
          <w:p w14:paraId="5A7AC09F" w14:textId="77777777" w:rsidR="008514E9" w:rsidRPr="00C03C57" w:rsidRDefault="008514E9" w:rsidP="00E442CB">
            <w:pPr>
              <w:pStyle w:val="ListBullet"/>
              <w:numPr>
                <w:ilvl w:val="0"/>
                <w:numId w:val="27"/>
              </w:numPr>
            </w:pPr>
            <w:r w:rsidRPr="00C03C57">
              <w:t xml:space="preserve">May not be attractive to some suppliers, which may restrict </w:t>
            </w:r>
            <w:proofErr w:type="gramStart"/>
            <w:r w:rsidRPr="00C03C57">
              <w:t>competition</w:t>
            </w:r>
            <w:proofErr w:type="gramEnd"/>
          </w:p>
          <w:p w14:paraId="323C7BC3" w14:textId="77777777" w:rsidR="008514E9" w:rsidRPr="00C03C57" w:rsidRDefault="008514E9" w:rsidP="00E442CB">
            <w:pPr>
              <w:pStyle w:val="ListBullet"/>
              <w:numPr>
                <w:ilvl w:val="0"/>
                <w:numId w:val="27"/>
              </w:numPr>
            </w:pPr>
            <w:r w:rsidRPr="00C03C57">
              <w:t>May be less suitable for products where margins are low, or volumes are restricted.</w:t>
            </w:r>
          </w:p>
        </w:tc>
      </w:tr>
    </w:tbl>
    <w:p w14:paraId="0440E5EF" w14:textId="58FC1C38" w:rsidR="008514E9" w:rsidRDefault="008514E9" w:rsidP="00C316C3">
      <w:pPr>
        <w:pStyle w:val="BodyText"/>
      </w:pPr>
      <w:r>
        <w:t>Among the various options presented to stakeholders, feedback received highlighted strong support for the inclusion of indexation and/or regular price reviews in the pricing methodology of the Scheme. Stakeholders emphasised the pressing need for these mechanisms, citing factors such as inflation, which has contributed to a general rise in the costs of goods and services (e.g., manufacturing, raw materials, energy, labour, transport, and shipping).</w:t>
      </w:r>
    </w:p>
    <w:p w14:paraId="48C1C02A" w14:textId="14BAAE2F" w:rsidR="008514E9" w:rsidRDefault="008514E9" w:rsidP="00C316C3">
      <w:pPr>
        <w:pStyle w:val="BodyText"/>
      </w:pPr>
      <w:r>
        <w:t xml:space="preserve">Notably, the absence of indexation since 2013 was identified as a significant concern. The Stoma Industry Association (SIA) has previously argued that the lack of indexation is posing challenges to the sustainability of suppliers and potentially affecting patient outcomes. In response to these concerns, the SIA proposed a one-off price increase of 32% </w:t>
      </w:r>
      <w:r w:rsidRPr="0064324E">
        <w:t xml:space="preserve">for products listed on the </w:t>
      </w:r>
      <w:r w:rsidR="00C316C3" w:rsidRPr="0064324E">
        <w:t>Scheme</w:t>
      </w:r>
      <w:r w:rsidRPr="0064324E">
        <w:t xml:space="preserve">, coupled with the reintroduction of </w:t>
      </w:r>
      <w:r w:rsidR="00D51B93" w:rsidRPr="0064324E">
        <w:t>annu</w:t>
      </w:r>
      <w:r w:rsidR="00D51B93">
        <w:t>al</w:t>
      </w:r>
      <w:r w:rsidRPr="0064324E">
        <w:t xml:space="preserve"> 'health </w:t>
      </w:r>
      <w:r w:rsidR="00F07DB8" w:rsidRPr="0064324E">
        <w:t>inflat</w:t>
      </w:r>
      <w:r w:rsidR="00F07DB8">
        <w:t>i</w:t>
      </w:r>
      <w:r w:rsidR="00F07DB8" w:rsidRPr="0064324E">
        <w:t>on</w:t>
      </w:r>
      <w:r w:rsidRPr="0064324E">
        <w:t>' from 1 July 2024.</w:t>
      </w:r>
      <w:r w:rsidRPr="00E675D6">
        <w:rPr>
          <w:rStyle w:val="FootnoteReference"/>
          <w:b w:val="0"/>
          <w:bCs/>
          <w:color w:val="auto"/>
        </w:rPr>
        <w:footnoteReference w:id="27"/>
      </w:r>
    </w:p>
    <w:p w14:paraId="4BF5E9E4" w14:textId="77777777" w:rsidR="008514E9" w:rsidRDefault="008514E9" w:rsidP="00C316C3">
      <w:pPr>
        <w:pStyle w:val="BodyText"/>
      </w:pPr>
      <w:r>
        <w:t>Conversely, stakeholders did not support the idea of introducing a discounting mechanism to the Scheme. Feedback from product suppliers underscored that the cost of manufacturing older products remains comparable to that of newer ones, with no apparent decrease in costs or efficiency gains over time.</w:t>
      </w:r>
    </w:p>
    <w:p w14:paraId="341AB97A" w14:textId="7C275889" w:rsidR="008514E9" w:rsidRPr="00373E08" w:rsidRDefault="008514E9" w:rsidP="008514E9">
      <w:pPr>
        <w:pStyle w:val="Heading2"/>
      </w:pPr>
      <w:r>
        <w:t xml:space="preserve">Comparison to other cost/price models in </w:t>
      </w:r>
      <w:r w:rsidRPr="00373E08">
        <w:t>international contexts</w:t>
      </w:r>
    </w:p>
    <w:p w14:paraId="004A5B82" w14:textId="0C7C7988" w:rsidR="008514E9" w:rsidRDefault="008514E9" w:rsidP="002B285C">
      <w:pPr>
        <w:pStyle w:val="BodyText"/>
      </w:pPr>
      <w:r>
        <w:t>Australia’s closest counterpart is the scheme administered by the N</w:t>
      </w:r>
      <w:r w:rsidR="00EF36DF">
        <w:t>HS</w:t>
      </w:r>
      <w:r>
        <w:t xml:space="preserve"> in U</w:t>
      </w:r>
      <w:r w:rsidR="00AD6AD8">
        <w:t>K</w:t>
      </w:r>
      <w:r>
        <w:t>.</w:t>
      </w:r>
    </w:p>
    <w:p w14:paraId="3FA54A11" w14:textId="58B9070E" w:rsidR="008514E9" w:rsidRDefault="008514E9" w:rsidP="002B285C">
      <w:pPr>
        <w:pStyle w:val="BodyText"/>
      </w:pPr>
      <w:r>
        <w:t xml:space="preserve">As a point of comparison, </w:t>
      </w:r>
      <w:r w:rsidRPr="00F4752C">
        <w:t>the</w:t>
      </w:r>
      <w:r w:rsidR="00D51B93">
        <w:t xml:space="preserve"> </w:t>
      </w:r>
      <w:r w:rsidRPr="00F4752C">
        <w:t xml:space="preserve">UK's reimbursement process involves a Health Technology Assessment (HTA) based assessment to determine the reimbursement rates for stoma </w:t>
      </w:r>
      <w:r w:rsidRPr="00F4752C">
        <w:lastRenderedPageBreak/>
        <w:t xml:space="preserve">appliances, a mechanism not explicitly adopted by the Australian </w:t>
      </w:r>
      <w:r>
        <w:t>Scheme which relies on benchmarking of prices within defined product categories</w:t>
      </w:r>
      <w:r w:rsidRPr="00F4752C">
        <w:t>.</w:t>
      </w:r>
    </w:p>
    <w:p w14:paraId="43173EBA" w14:textId="02DD78C1" w:rsidR="008514E9" w:rsidRDefault="008514E9" w:rsidP="002B285C">
      <w:pPr>
        <w:pStyle w:val="BodyText"/>
      </w:pPr>
      <w:r w:rsidRPr="00F4752C">
        <w:t xml:space="preserve">Moreover, the UK NHS Stoma Scheme </w:t>
      </w:r>
      <w:r>
        <w:t>implements</w:t>
      </w:r>
      <w:r w:rsidRPr="00F4752C">
        <w:t xml:space="preserve"> annual automatic indexation of the prices of stoma appliances. This measure ensures that the reimbursement rates keep pace with inflation and evolving economic factors. </w:t>
      </w:r>
      <w:r>
        <w:t>T</w:t>
      </w:r>
      <w:r w:rsidRPr="00F4752C">
        <w:t xml:space="preserve">he UK scheme </w:t>
      </w:r>
      <w:r>
        <w:t>also</w:t>
      </w:r>
      <w:r w:rsidRPr="00F4752C">
        <w:t xml:space="preserve"> provid</w:t>
      </w:r>
      <w:r>
        <w:t>es</w:t>
      </w:r>
      <w:r w:rsidRPr="00F4752C">
        <w:t xml:space="preserve"> an opportunity for stakeholders to seek a price increase for stoma appliances under exceptional circumstances. </w:t>
      </w:r>
      <w:r>
        <w:t>However, there are recent suggestions that this approach is leading to over-expenditure in the UK and a review is being undertaken to ensure it can continue to be financially viable.</w:t>
      </w:r>
      <w:r w:rsidRPr="00E675D6">
        <w:rPr>
          <w:rStyle w:val="FootnoteReference"/>
          <w:b w:val="0"/>
          <w:bCs/>
          <w:color w:val="auto"/>
        </w:rPr>
        <w:footnoteReference w:id="28"/>
      </w:r>
    </w:p>
    <w:p w14:paraId="6DCE318C" w14:textId="6BB08C6F" w:rsidR="008514E9" w:rsidRDefault="008514E9" w:rsidP="002B285C">
      <w:pPr>
        <w:pStyle w:val="BodyText"/>
      </w:pPr>
      <w:r>
        <w:t>I</w:t>
      </w:r>
      <w:r w:rsidRPr="00B259B7">
        <w:t>n contrast, the Australian Scheme grapples with challenges arising from the absence of both indexation and a formali</w:t>
      </w:r>
      <w:r>
        <w:t>s</w:t>
      </w:r>
      <w:r w:rsidRPr="00B259B7">
        <w:t xml:space="preserve">ed mechanism for price reviews. Stakeholders </w:t>
      </w:r>
      <w:r>
        <w:t>continue to</w:t>
      </w:r>
      <w:r w:rsidRPr="00B259B7">
        <w:t xml:space="preserve"> advocate for the reintroduction of these measures to address sustainability concerns for suppliers and potential impacts on patient outcomes. The balance between satisfying </w:t>
      </w:r>
      <w:r w:rsidR="00D51B93" w:rsidRPr="00B259B7">
        <w:t>stakehold</w:t>
      </w:r>
      <w:r w:rsidR="00D51B93">
        <w:t>e</w:t>
      </w:r>
      <w:r w:rsidR="00D51B93" w:rsidRPr="00B259B7">
        <w:t>rs</w:t>
      </w:r>
      <w:r w:rsidRPr="00B259B7">
        <w:t xml:space="preserve">' needs and controlling government spending remains an ongoing challenge for the </w:t>
      </w:r>
      <w:r>
        <w:t>Scheme</w:t>
      </w:r>
      <w:r w:rsidRPr="00B259B7">
        <w:t xml:space="preserve"> and similar healthcare programs.</w:t>
      </w:r>
    </w:p>
    <w:p w14:paraId="1A4FA8BF" w14:textId="77777777" w:rsidR="008514E9" w:rsidRPr="008132B1" w:rsidRDefault="008514E9" w:rsidP="008514E9">
      <w:pPr>
        <w:pStyle w:val="Heading2"/>
      </w:pPr>
      <w:r w:rsidRPr="008132B1">
        <w:t>Financial benefits and risks of transitioning to alternative models</w:t>
      </w:r>
    </w:p>
    <w:p w14:paraId="7D09559D" w14:textId="3CC51885" w:rsidR="008514E9" w:rsidRDefault="008514E9" w:rsidP="002B285C">
      <w:pPr>
        <w:pStyle w:val="BodyText"/>
      </w:pPr>
      <w:r>
        <w:t xml:space="preserve">The Review has highlighted multiple opportunities to transition to an alternative </w:t>
      </w:r>
      <w:r w:rsidR="003F0377">
        <w:t xml:space="preserve">pricing </w:t>
      </w:r>
      <w:r>
        <w:t>model, and the benefits need to be weighed against the potential risks of adjusting the current pricing methodology.</w:t>
      </w:r>
    </w:p>
    <w:p w14:paraId="6A266B02" w14:textId="7A93CD43" w:rsidR="008514E9" w:rsidRDefault="008514E9" w:rsidP="002B285C">
      <w:pPr>
        <w:pStyle w:val="BodyText"/>
      </w:pPr>
      <w:r>
        <w:t xml:space="preserve">As is explored further in Chapter </w:t>
      </w:r>
      <w:r w:rsidR="00365CB1">
        <w:fldChar w:fldCharType="begin"/>
      </w:r>
      <w:r w:rsidR="00365CB1">
        <w:instrText xml:space="preserve"> REF _Ref159842347 \r \h </w:instrText>
      </w:r>
      <w:r w:rsidR="00365CB1">
        <w:fldChar w:fldCharType="separate"/>
      </w:r>
      <w:r w:rsidR="00FE1418">
        <w:t>7</w:t>
      </w:r>
      <w:r w:rsidR="00365CB1">
        <w:fldChar w:fldCharType="end"/>
      </w:r>
      <w:r>
        <w:t>, the costs associated with modifying access or pricing of the Scheme highlights both opportunities for cost savings but also changes that will result in additional expenditure.</w:t>
      </w:r>
    </w:p>
    <w:p w14:paraId="5EE4190C" w14:textId="77777777" w:rsidR="008514E9" w:rsidRDefault="008514E9" w:rsidP="002B285C">
      <w:pPr>
        <w:pStyle w:val="BodyText"/>
      </w:pPr>
      <w:r>
        <w:t>As an example, implementing price reviews and/or indexation comes with potential risks, such as:</w:t>
      </w:r>
    </w:p>
    <w:p w14:paraId="6FA1BBB8" w14:textId="1F88800E" w:rsidR="008514E9" w:rsidRDefault="008514E9" w:rsidP="00A969C1">
      <w:pPr>
        <w:pStyle w:val="ListBullet"/>
      </w:pPr>
      <w:r w:rsidRPr="001B29C5">
        <w:rPr>
          <w:b/>
          <w:bCs/>
        </w:rPr>
        <w:t>Budgetary impact</w:t>
      </w:r>
      <w:r>
        <w:t xml:space="preserve">: Regular price reviews and the introduction of an indexation mechanism will have budgetary implications for the </w:t>
      </w:r>
      <w:r w:rsidR="00C35EA4">
        <w:t>Government</w:t>
      </w:r>
      <w:r>
        <w:t>. While these measures aim to ensure the sustainability and fairness of the pricing structure, they could result in increased costs for government, especially if there are significant upward adjustments in response to market changes.</w:t>
      </w:r>
    </w:p>
    <w:p w14:paraId="75EA93DE" w14:textId="77777777" w:rsidR="00707F02" w:rsidRPr="00707F02" w:rsidRDefault="00707F02" w:rsidP="00707F02">
      <w:pPr>
        <w:pStyle w:val="ListBullet"/>
      </w:pPr>
      <w:r w:rsidRPr="00707F02">
        <w:rPr>
          <w:b/>
          <w:bCs/>
        </w:rPr>
        <w:t xml:space="preserve">Administrative burden: </w:t>
      </w:r>
      <w:r w:rsidRPr="00707F02">
        <w:t>Conducting regular price reviews and/or incorporating an indexation mechanism requires additional administrative resources and expertise. The Department and SPAP may face challenges in managing the administration associated with these processes, including data collection, analysis, and stakeholder consultations. Additionally, changes to the overall prices on the Scheme (for example, if benchmark prices are raised) could attract additional applications from stoma product suppliers who perceive being listed on the Schedule as attractive. There would need to be consideration of the impact of increased product applications.</w:t>
      </w:r>
    </w:p>
    <w:p w14:paraId="10FF143B" w14:textId="5A3229A6" w:rsidR="008514E9" w:rsidRDefault="008514E9" w:rsidP="00A969C1">
      <w:pPr>
        <w:pStyle w:val="ListBullet"/>
      </w:pPr>
      <w:r w:rsidRPr="001B29C5">
        <w:rPr>
          <w:b/>
          <w:bCs/>
        </w:rPr>
        <w:lastRenderedPageBreak/>
        <w:t>Complex negotiations</w:t>
      </w:r>
      <w:r>
        <w:t xml:space="preserve">: The consideration of regular price reviews and/or an indexation mechanism may lead to more complex negotiations between the Department and suppliers. Determining the appropriate criteria for adjustments, managing the expectations of product </w:t>
      </w:r>
      <w:proofErr w:type="gramStart"/>
      <w:r>
        <w:t>suppliers</w:t>
      </w:r>
      <w:proofErr w:type="gramEnd"/>
      <w:r>
        <w:t xml:space="preserve"> and ensuring fairness in negotiations could be challenging.</w:t>
      </w:r>
    </w:p>
    <w:p w14:paraId="24B7CCE3" w14:textId="77777777" w:rsidR="008514E9" w:rsidRPr="00F9684E" w:rsidRDefault="008514E9" w:rsidP="002B285C">
      <w:pPr>
        <w:pStyle w:val="BodyText"/>
      </w:pPr>
      <w:r>
        <w:t>To mitigate these risks, the Department will need to carefully plan and communicate the rationale behind any changes, actively engage with stakeholders, and conduct thorough assessments of the potential impacts before implementing changes to the pricing methodology.</w:t>
      </w:r>
    </w:p>
    <w:p w14:paraId="44D233C1" w14:textId="77777777" w:rsidR="001C7C20" w:rsidRDefault="001C7C20" w:rsidP="001C7C20">
      <w:pPr>
        <w:pStyle w:val="BodyText"/>
      </w:pPr>
      <w:bookmarkStart w:id="65" w:name="_Hlk157777081"/>
      <w:bookmarkStart w:id="66" w:name="_Toc156898590"/>
      <w:bookmarkStart w:id="67" w:name="_Ref157079439"/>
      <w:r>
        <w:t xml:space="preserve">The Department may also wish to consider whether a cost recovery mechanism is implemented to fund the price review process. In the context of cost recovery for government programs such as the PBS, the recovery typically involves product suppliers or pharmaceutical companies contributing funds to offset the program administration costs borne by the government. These suppliers would contribute to the costs of the government considering their applications to list products on the Scheme, which would also allow for broader access by patients. </w:t>
      </w:r>
    </w:p>
    <w:p w14:paraId="4F183B32" w14:textId="58C34BA1" w:rsidR="001C7C20" w:rsidRDefault="001C7C20" w:rsidP="001C7C20">
      <w:pPr>
        <w:pStyle w:val="BodyText"/>
      </w:pPr>
      <w:r>
        <w:t xml:space="preserve">This approach could maintain the financial sustainability of the Scheme while ensuring the availability of necessary products for those in need. A similar strategy could be employed, where suppliers of stoma appliances contribute to the cost recovery mechanism, supporting the </w:t>
      </w:r>
      <w:r w:rsidR="00D51B93">
        <w:t>Scheme’s</w:t>
      </w:r>
      <w:r>
        <w:t xml:space="preserve"> ongoing operation and its commitment to assisting individuals with stomas.</w:t>
      </w:r>
    </w:p>
    <w:p w14:paraId="674926CB" w14:textId="77777777" w:rsidR="00CB5A9D" w:rsidRDefault="00CB5A9D" w:rsidP="00CB5A9D">
      <w:pPr>
        <w:pStyle w:val="Heading1"/>
      </w:pPr>
      <w:bookmarkStart w:id="68" w:name="_Ref159842347"/>
      <w:bookmarkStart w:id="69" w:name="_Toc161743094"/>
      <w:bookmarkEnd w:id="65"/>
      <w:r w:rsidRPr="00075C1D">
        <w:lastRenderedPageBreak/>
        <w:t>Budgetary Implications</w:t>
      </w:r>
      <w:bookmarkEnd w:id="66"/>
      <w:bookmarkEnd w:id="67"/>
      <w:bookmarkEnd w:id="68"/>
      <w:bookmarkEnd w:id="69"/>
    </w:p>
    <w:p w14:paraId="22982E73" w14:textId="521378B0" w:rsidR="00AB27C8" w:rsidRDefault="00CB5A9D" w:rsidP="002B285C">
      <w:pPr>
        <w:pStyle w:val="BodyText"/>
      </w:pPr>
      <w:r>
        <w:t>This Chapter provides</w:t>
      </w:r>
      <w:r w:rsidRPr="00C4128C">
        <w:t xml:space="preserve"> </w:t>
      </w:r>
      <w:r>
        <w:t>an assessment</w:t>
      </w:r>
      <w:r w:rsidRPr="00C4128C">
        <w:t xml:space="preserve"> of the budgetary implications associated with the proposed changes to the Scheme</w:t>
      </w:r>
      <w:r>
        <w:t xml:space="preserve"> uncovered throughout this Review</w:t>
      </w:r>
      <w:r w:rsidRPr="00C4128C">
        <w:t>.</w:t>
      </w:r>
      <w:r w:rsidR="0058786F">
        <w:t xml:space="preserve"> </w:t>
      </w:r>
      <w:r>
        <w:t>The</w:t>
      </w:r>
      <w:r w:rsidRPr="00C4128C">
        <w:t xml:space="preserve"> focus </w:t>
      </w:r>
      <w:r w:rsidR="00560E00">
        <w:t>was</w:t>
      </w:r>
      <w:r w:rsidRPr="00C4128C">
        <w:t xml:space="preserve"> to </w:t>
      </w:r>
      <w:r>
        <w:t>detail</w:t>
      </w:r>
      <w:r w:rsidRPr="00C4128C">
        <w:t xml:space="preserve"> estimates of the financial impact arising from </w:t>
      </w:r>
      <w:r w:rsidR="008B539A">
        <w:t xml:space="preserve">suggested </w:t>
      </w:r>
      <w:r>
        <w:t>changes</w:t>
      </w:r>
      <w:r w:rsidRPr="00C4128C">
        <w:t xml:space="preserve">, offering </w:t>
      </w:r>
      <w:r>
        <w:t xml:space="preserve">an </w:t>
      </w:r>
      <w:r w:rsidRPr="00C4128C">
        <w:t>analysis of potential cost implications</w:t>
      </w:r>
      <w:r>
        <w:t xml:space="preserve"> and where</w:t>
      </w:r>
      <w:r w:rsidRPr="00C4128C">
        <w:t xml:space="preserve"> alternative cost models may </w:t>
      </w:r>
      <w:r>
        <w:t>be a</w:t>
      </w:r>
      <w:r w:rsidRPr="00C4128C">
        <w:t xml:space="preserve"> viable option for the </w:t>
      </w:r>
      <w:r w:rsidR="008D3BC4" w:rsidRPr="00C4128C">
        <w:t>Sch</w:t>
      </w:r>
      <w:r w:rsidR="008D3BC4">
        <w:t>e</w:t>
      </w:r>
      <w:r w:rsidR="008D3BC4" w:rsidRPr="00C4128C">
        <w:t>me’s</w:t>
      </w:r>
      <w:r w:rsidRPr="00C4128C">
        <w:t xml:space="preserve"> </w:t>
      </w:r>
      <w:r>
        <w:t>pricing</w:t>
      </w:r>
      <w:r w:rsidRPr="00C4128C">
        <w:t xml:space="preserve"> </w:t>
      </w:r>
      <w:r>
        <w:t>methodology</w:t>
      </w:r>
      <w:r w:rsidRPr="00C4128C">
        <w:t xml:space="preserve">. </w:t>
      </w:r>
    </w:p>
    <w:p w14:paraId="5B4B1F81" w14:textId="5009DA2B" w:rsidR="00CB5A9D" w:rsidRDefault="00CB5A9D" w:rsidP="002B285C">
      <w:pPr>
        <w:pStyle w:val="BodyText"/>
      </w:pPr>
      <w:r w:rsidRPr="00C4128C">
        <w:t>T</w:t>
      </w:r>
      <w:r>
        <w:t>he</w:t>
      </w:r>
      <w:r w:rsidR="008D3BC4">
        <w:t xml:space="preserve"> </w:t>
      </w:r>
      <w:r>
        <w:t>Chapter also</w:t>
      </w:r>
      <w:r w:rsidRPr="00C4128C">
        <w:t xml:space="preserve"> aim</w:t>
      </w:r>
      <w:r>
        <w:t>s</w:t>
      </w:r>
      <w:r w:rsidRPr="00C4128C">
        <w:t xml:space="preserve"> to ascertain whether the proposed changes will lead to additional expenditure or, conversely, yield cost savings. This critical evaluation of budgetary considerations is instrumental in making informed decisions that strike a balance between enhancing the effectiveness of the Scheme </w:t>
      </w:r>
      <w:r>
        <w:t>in providing the needed products</w:t>
      </w:r>
      <w:r w:rsidRPr="00C4128C">
        <w:t xml:space="preserve"> and </w:t>
      </w:r>
      <w:r>
        <w:t xml:space="preserve">appliances to ostomates whilst </w:t>
      </w:r>
      <w:r w:rsidRPr="00C4128C">
        <w:t>maintaining fiscal prudence.</w:t>
      </w:r>
    </w:p>
    <w:p w14:paraId="6C048B2D" w14:textId="77777777" w:rsidR="00CB5A9D" w:rsidRDefault="00CB5A9D" w:rsidP="00CB5A9D">
      <w:pPr>
        <w:pStyle w:val="Heading2"/>
      </w:pPr>
      <w:r>
        <w:t>Current utilisation and expenditure</w:t>
      </w:r>
    </w:p>
    <w:p w14:paraId="3C145A2E" w14:textId="4BADB427" w:rsidR="00CB5A9D" w:rsidRPr="00274F4B" w:rsidRDefault="00274F4B" w:rsidP="00274F4B">
      <w:pPr>
        <w:pStyle w:val="BodyText"/>
        <w:rPr>
          <w:rFonts w:cstheme="minorHAnsi"/>
        </w:rPr>
      </w:pPr>
      <w:r>
        <w:rPr>
          <w:rFonts w:cstheme="minorHAnsi"/>
          <w:szCs w:val="20"/>
        </w:rPr>
        <w:fldChar w:fldCharType="begin"/>
      </w:r>
      <w:r>
        <w:rPr>
          <w:rFonts w:cstheme="minorHAnsi"/>
          <w:szCs w:val="20"/>
        </w:rPr>
        <w:instrText xml:space="preserve"> REF _Ref157094283 \h </w:instrText>
      </w:r>
      <w:r>
        <w:rPr>
          <w:rFonts w:cstheme="minorHAnsi"/>
          <w:szCs w:val="20"/>
        </w:rPr>
      </w:r>
      <w:r>
        <w:rPr>
          <w:rFonts w:cstheme="minorHAnsi"/>
          <w:szCs w:val="20"/>
        </w:rPr>
        <w:fldChar w:fldCharType="separate"/>
      </w:r>
      <w:r w:rsidR="00FE1418">
        <w:t xml:space="preserve">Figure </w:t>
      </w:r>
      <w:r w:rsidR="00FE1418">
        <w:rPr>
          <w:noProof/>
        </w:rPr>
        <w:t>10</w:t>
      </w:r>
      <w:r>
        <w:rPr>
          <w:rFonts w:cstheme="minorHAnsi"/>
          <w:szCs w:val="20"/>
        </w:rPr>
        <w:fldChar w:fldCharType="end"/>
      </w:r>
      <w:r>
        <w:rPr>
          <w:rFonts w:cstheme="minorHAnsi"/>
          <w:szCs w:val="20"/>
        </w:rPr>
        <w:t xml:space="preserve"> </w:t>
      </w:r>
      <w:r w:rsidR="00CB5A9D" w:rsidRPr="00274F4B">
        <w:rPr>
          <w:rFonts w:cstheme="minorHAnsi"/>
          <w:szCs w:val="20"/>
        </w:rPr>
        <w:t>shows</w:t>
      </w:r>
      <w:r w:rsidR="00CB5A9D" w:rsidRPr="00274F4B">
        <w:rPr>
          <w:rFonts w:cstheme="minorHAnsi"/>
        </w:rPr>
        <w:t xml:space="preserve"> </w:t>
      </w:r>
      <w:r w:rsidR="00CB5A9D" w:rsidRPr="00274F4B">
        <w:rPr>
          <w:rFonts w:cstheme="minorHAnsi"/>
          <w:b/>
          <w:bCs/>
        </w:rPr>
        <w:t xml:space="preserve">the total quantity of products provided to ostomates rose by 13.7% from 2020-2021 </w:t>
      </w:r>
      <w:r w:rsidR="00CB5A9D" w:rsidRPr="00274F4B">
        <w:rPr>
          <w:rFonts w:cstheme="minorHAnsi"/>
        </w:rPr>
        <w:t>(39,958,196 products)</w:t>
      </w:r>
      <w:r w:rsidR="00CB5A9D" w:rsidRPr="00274F4B">
        <w:rPr>
          <w:rFonts w:cstheme="minorHAnsi"/>
          <w:b/>
          <w:bCs/>
        </w:rPr>
        <w:t xml:space="preserve"> to 2022-2023 </w:t>
      </w:r>
      <w:r w:rsidR="00CB5A9D" w:rsidRPr="00274F4B">
        <w:rPr>
          <w:rFonts w:cstheme="minorHAnsi"/>
        </w:rPr>
        <w:t xml:space="preserve">(45,438,902 products). Across the same period, the total </w:t>
      </w:r>
      <w:r w:rsidR="00CB5A9D" w:rsidRPr="00274F4B">
        <w:rPr>
          <w:rFonts w:cstheme="minorHAnsi"/>
          <w:b/>
          <w:bCs/>
        </w:rPr>
        <w:t>expenditure rose by 16.1%</w:t>
      </w:r>
      <w:r w:rsidR="00CB5A9D" w:rsidRPr="00274F4B">
        <w:rPr>
          <w:rFonts w:cstheme="minorHAnsi"/>
        </w:rPr>
        <w:t>, from $98,414,570 in 2020-2021 to $114,161,309 in 2022-202</w:t>
      </w:r>
      <w:r w:rsidR="00CB5A9D" w:rsidRPr="00B629EA">
        <w:rPr>
          <w:rFonts w:cstheme="minorHAnsi"/>
        </w:rPr>
        <w:t>3.</w:t>
      </w:r>
      <w:r w:rsidR="00CB5A9D" w:rsidRPr="00B629EA">
        <w:rPr>
          <w:rStyle w:val="FootnoteReference"/>
          <w:rFonts w:cstheme="minorHAnsi"/>
          <w:color w:val="auto"/>
        </w:rPr>
        <w:footnoteReference w:id="29"/>
      </w:r>
    </w:p>
    <w:p w14:paraId="46B889FF" w14:textId="15CB1375" w:rsidR="00274F4B" w:rsidRDefault="00274F4B" w:rsidP="00C316C3">
      <w:pPr>
        <w:pStyle w:val="Caption"/>
      </w:pPr>
      <w:bookmarkStart w:id="70" w:name="_Ref157094283"/>
      <w:bookmarkStart w:id="71" w:name="_Toc161743134"/>
      <w:r>
        <w:t xml:space="preserve">Figure </w:t>
      </w:r>
      <w:r>
        <w:fldChar w:fldCharType="begin"/>
      </w:r>
      <w:r>
        <w:instrText xml:space="preserve"> SEQ Figure \* ARABIC </w:instrText>
      </w:r>
      <w:r>
        <w:fldChar w:fldCharType="separate"/>
      </w:r>
      <w:r w:rsidR="00FE1418">
        <w:rPr>
          <w:noProof/>
        </w:rPr>
        <w:t>10</w:t>
      </w:r>
      <w:r>
        <w:rPr>
          <w:noProof/>
        </w:rPr>
        <w:fldChar w:fldCharType="end"/>
      </w:r>
      <w:bookmarkEnd w:id="70"/>
      <w:r>
        <w:t xml:space="preserve">: </w:t>
      </w:r>
      <w:r w:rsidR="00B629EA">
        <w:t>Annual e</w:t>
      </w:r>
      <w:r w:rsidRPr="00FE3784">
        <w:t xml:space="preserve">xpenditure and products dispensed on </w:t>
      </w:r>
      <w:r w:rsidR="00C316C3">
        <w:t xml:space="preserve">the </w:t>
      </w:r>
      <w:proofErr w:type="gramStart"/>
      <w:r w:rsidR="00C316C3">
        <w:t>Scheme</w:t>
      </w:r>
      <w:bookmarkEnd w:id="71"/>
      <w:proofErr w:type="gramEnd"/>
    </w:p>
    <w:p w14:paraId="73D458CB" w14:textId="334E13F7" w:rsidR="00CB5A9D" w:rsidRPr="003F29B3" w:rsidRDefault="005A2005" w:rsidP="00C316C3">
      <w:pPr>
        <w:pStyle w:val="BodyText"/>
        <w:jc w:val="center"/>
      </w:pPr>
      <w:r>
        <w:rPr>
          <w:noProof/>
        </w:rPr>
        <w:drawing>
          <wp:inline distT="0" distB="0" distL="0" distR="0" wp14:anchorId="7BA39A6E" wp14:editId="260EE796">
            <wp:extent cx="5212080" cy="2586796"/>
            <wp:effectExtent l="0" t="0" r="7620" b="4445"/>
            <wp:docPr id="1955017082" name="Picture 3" descr="Figure 10: Annal expenditure and products dispensed on the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17082" name="Picture 3" descr="Figure 10: Annal expenditure and products dispensed on the Schem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4691" cy="2593055"/>
                    </a:xfrm>
                    <a:prstGeom prst="rect">
                      <a:avLst/>
                    </a:prstGeom>
                    <a:noFill/>
                  </pic:spPr>
                </pic:pic>
              </a:graphicData>
            </a:graphic>
          </wp:inline>
        </w:drawing>
      </w:r>
    </w:p>
    <w:p w14:paraId="345F6BE4" w14:textId="77777777" w:rsidR="00CB5A9D" w:rsidRPr="00B24EFA" w:rsidRDefault="00CB5A9D" w:rsidP="00CB5A9D">
      <w:pPr>
        <w:pStyle w:val="Source"/>
        <w:rPr>
          <w:sz w:val="16"/>
          <w:szCs w:val="16"/>
        </w:rPr>
      </w:pPr>
      <w:r w:rsidRPr="002557C9">
        <w:rPr>
          <w:color w:val="auto"/>
          <w:sz w:val="16"/>
          <w:szCs w:val="16"/>
        </w:rPr>
        <w:t xml:space="preserve">Source: </w:t>
      </w:r>
      <w:proofErr w:type="spellStart"/>
      <w:r w:rsidRPr="002557C9">
        <w:rPr>
          <w:color w:val="auto"/>
          <w:sz w:val="16"/>
          <w:szCs w:val="16"/>
        </w:rPr>
        <w:t>DoHAC</w:t>
      </w:r>
      <w:proofErr w:type="spellEnd"/>
      <w:r w:rsidRPr="002557C9">
        <w:rPr>
          <w:color w:val="auto"/>
          <w:sz w:val="16"/>
          <w:szCs w:val="16"/>
        </w:rPr>
        <w:t xml:space="preserve"> Stoma Appliance Scheme utilisation and expenditure data collection</w:t>
      </w:r>
    </w:p>
    <w:p w14:paraId="4BBAE551" w14:textId="3F1AE5EE" w:rsidR="00CB5A9D" w:rsidRPr="004105DC" w:rsidRDefault="00274F4B" w:rsidP="00CB5A9D">
      <w:pPr>
        <w:pStyle w:val="BodyText"/>
      </w:pPr>
      <w:r>
        <w:fldChar w:fldCharType="begin"/>
      </w:r>
      <w:r>
        <w:instrText xml:space="preserve"> REF _Ref147418964 \h </w:instrText>
      </w:r>
      <w:r>
        <w:fldChar w:fldCharType="separate"/>
      </w:r>
      <w:r w:rsidR="00FE1418">
        <w:t xml:space="preserve">Figure </w:t>
      </w:r>
      <w:r w:rsidR="00FE1418">
        <w:rPr>
          <w:noProof/>
        </w:rPr>
        <w:t>11</w:t>
      </w:r>
      <w:r>
        <w:fldChar w:fldCharType="end"/>
      </w:r>
      <w:r>
        <w:t xml:space="preserve"> </w:t>
      </w:r>
      <w:r w:rsidR="00CB5A9D">
        <w:t xml:space="preserve">illustrates the overall dispensed quantity of products by group. </w:t>
      </w:r>
      <w:r w:rsidR="00CB5A9D" w:rsidRPr="00D9192A">
        <w:rPr>
          <w:b/>
          <w:bCs/>
        </w:rPr>
        <w:t>Group 9 has the largest volume of products</w:t>
      </w:r>
      <w:r w:rsidR="00CB5A9D">
        <w:t xml:space="preserve">, rising from 22,017,588 in 2020-2021 to 25,827,154 in 2022-2023. Further, Group 9’s volume as a proportion of the overall volume is rising, up from 55.1% of total 2020-2021 volume to 56.8% of total 2022-2023 volume. The </w:t>
      </w:r>
      <w:r w:rsidR="00CB5A9D" w:rsidRPr="00D9192A">
        <w:rPr>
          <w:b/>
          <w:bCs/>
        </w:rPr>
        <w:t>fastest growing group was Group 10</w:t>
      </w:r>
      <w:r w:rsidR="00CB5A9D">
        <w:t xml:space="preserve">, from </w:t>
      </w:r>
      <w:r w:rsidR="00CB5A9D">
        <w:lastRenderedPageBreak/>
        <w:t xml:space="preserve">62,340 in 2020-2021 to 78,860 in 2022-2023, or a 26.5% increase; </w:t>
      </w:r>
      <w:r w:rsidR="0038741C">
        <w:t xml:space="preserve">however, </w:t>
      </w:r>
      <w:r w:rsidR="00CB5A9D">
        <w:t>this was the smallest group as a proportion of overall volume, accounting for 0.2% of 2022-2023 total quantity.</w:t>
      </w:r>
    </w:p>
    <w:p w14:paraId="5BFC25F2" w14:textId="248B4434" w:rsidR="00CB5A9D" w:rsidRDefault="00CB5A9D" w:rsidP="00C316C3">
      <w:pPr>
        <w:pStyle w:val="Caption"/>
      </w:pPr>
      <w:bookmarkStart w:id="72" w:name="_Ref147418964"/>
      <w:bookmarkStart w:id="73" w:name="_Toc161743135"/>
      <w:r>
        <w:t xml:space="preserve">Figure </w:t>
      </w:r>
      <w:r>
        <w:fldChar w:fldCharType="begin"/>
      </w:r>
      <w:r>
        <w:instrText xml:space="preserve"> SEQ Figure \* ARABIC </w:instrText>
      </w:r>
      <w:r>
        <w:fldChar w:fldCharType="separate"/>
      </w:r>
      <w:r w:rsidR="00FE1418">
        <w:rPr>
          <w:noProof/>
        </w:rPr>
        <w:t>11</w:t>
      </w:r>
      <w:r>
        <w:rPr>
          <w:noProof/>
        </w:rPr>
        <w:fldChar w:fldCharType="end"/>
      </w:r>
      <w:bookmarkEnd w:id="72"/>
      <w:r>
        <w:t xml:space="preserve">: Quantity of dispensed products by main </w:t>
      </w:r>
      <w:proofErr w:type="gramStart"/>
      <w:r>
        <w:t>group</w:t>
      </w:r>
      <w:bookmarkEnd w:id="73"/>
      <w:proofErr w:type="gramEnd"/>
    </w:p>
    <w:p w14:paraId="7348A6BA" w14:textId="279D48DB" w:rsidR="00CB5A9D" w:rsidRPr="003F29B3" w:rsidRDefault="006A6954" w:rsidP="00C316C3">
      <w:pPr>
        <w:jc w:val="center"/>
      </w:pPr>
      <w:r>
        <w:rPr>
          <w:noProof/>
        </w:rPr>
        <w:drawing>
          <wp:inline distT="0" distB="0" distL="0" distR="0" wp14:anchorId="010D5FA7" wp14:editId="73F74D25">
            <wp:extent cx="5439925" cy="2817316"/>
            <wp:effectExtent l="0" t="0" r="8890" b="2540"/>
            <wp:docPr id="164663995" name="Picture 6" descr="Figure 11: Quantity of dispensed products by mai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3995" name="Picture 6" descr="Figure 11: Quantity of dispensed products by main grou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6910" cy="2826112"/>
                    </a:xfrm>
                    <a:prstGeom prst="rect">
                      <a:avLst/>
                    </a:prstGeom>
                    <a:noFill/>
                  </pic:spPr>
                </pic:pic>
              </a:graphicData>
            </a:graphic>
          </wp:inline>
        </w:drawing>
      </w:r>
    </w:p>
    <w:p w14:paraId="7ECB6913" w14:textId="14BCD256" w:rsidR="00E675D6" w:rsidRDefault="00CB5A9D" w:rsidP="00C316C3">
      <w:pPr>
        <w:pStyle w:val="Source"/>
        <w:spacing w:after="0"/>
        <w:rPr>
          <w:sz w:val="16"/>
          <w:szCs w:val="16"/>
        </w:rPr>
      </w:pPr>
      <w:r w:rsidRPr="002557C9">
        <w:rPr>
          <w:color w:val="auto"/>
          <w:sz w:val="16"/>
          <w:szCs w:val="16"/>
        </w:rPr>
        <w:t>Note: Data labels display 2022-23 quantities</w:t>
      </w:r>
      <w:r w:rsidR="00C316C3" w:rsidRPr="002557C9">
        <w:rPr>
          <w:color w:val="auto"/>
          <w:sz w:val="16"/>
          <w:szCs w:val="16"/>
        </w:rPr>
        <w:t>.</w:t>
      </w:r>
    </w:p>
    <w:p w14:paraId="0A347C93" w14:textId="73FE5337" w:rsidR="00CB5A9D" w:rsidRPr="00B24EFA" w:rsidRDefault="00CB5A9D" w:rsidP="00C316C3">
      <w:pPr>
        <w:pStyle w:val="Source"/>
        <w:spacing w:after="0"/>
        <w:rPr>
          <w:sz w:val="16"/>
          <w:szCs w:val="16"/>
        </w:rPr>
      </w:pPr>
      <w:r w:rsidRPr="002557C9">
        <w:rPr>
          <w:color w:val="auto"/>
          <w:sz w:val="16"/>
          <w:szCs w:val="16"/>
        </w:rPr>
        <w:t xml:space="preserve">Source: </w:t>
      </w:r>
      <w:proofErr w:type="spellStart"/>
      <w:r w:rsidRPr="002557C9">
        <w:rPr>
          <w:color w:val="auto"/>
          <w:sz w:val="16"/>
          <w:szCs w:val="16"/>
        </w:rPr>
        <w:t>DoHAC</w:t>
      </w:r>
      <w:proofErr w:type="spellEnd"/>
      <w:r w:rsidRPr="002557C9">
        <w:rPr>
          <w:color w:val="auto"/>
          <w:sz w:val="16"/>
          <w:szCs w:val="16"/>
        </w:rPr>
        <w:t xml:space="preserve"> Stoma Appliance Scheme utilisation and expenditure data collection</w:t>
      </w:r>
    </w:p>
    <w:p w14:paraId="1A9BCE00" w14:textId="13D4C388" w:rsidR="00CB5A9D" w:rsidRPr="00EE1BE1" w:rsidRDefault="00CB5A9D" w:rsidP="00CB5A9D">
      <w:pPr>
        <w:pStyle w:val="BodyText"/>
      </w:pPr>
      <w:r w:rsidRPr="00EE1BE1">
        <w:t>The expenditure by group is demonstrated i</w:t>
      </w:r>
      <w:r w:rsidR="00274F4B" w:rsidRPr="00EE1BE1">
        <w:t>n</w:t>
      </w:r>
      <w:r w:rsidR="00C316C3" w:rsidRPr="00EE1BE1">
        <w:t xml:space="preserve"> </w:t>
      </w:r>
      <w:r w:rsidR="00C316C3" w:rsidRPr="00EE1BE1">
        <w:fldChar w:fldCharType="begin"/>
      </w:r>
      <w:r w:rsidR="00C316C3" w:rsidRPr="00EE1BE1">
        <w:instrText xml:space="preserve"> REF _Ref147419532 \h  \* MERGEFORMAT </w:instrText>
      </w:r>
      <w:r w:rsidR="00C316C3" w:rsidRPr="00EE1BE1">
        <w:fldChar w:fldCharType="separate"/>
      </w:r>
      <w:r w:rsidR="00FE1418" w:rsidRPr="00FE1418">
        <w:t>Figure 12</w:t>
      </w:r>
      <w:r w:rsidR="00C316C3" w:rsidRPr="00EE1BE1">
        <w:fldChar w:fldCharType="end"/>
      </w:r>
      <w:r w:rsidRPr="00EE1BE1">
        <w:t xml:space="preserve">. </w:t>
      </w:r>
      <w:r w:rsidRPr="00DC456B">
        <w:rPr>
          <w:b/>
          <w:bCs/>
        </w:rPr>
        <w:t>Group 9 (Accessories) accounts for the largest total cost in all years.</w:t>
      </w:r>
      <w:r w:rsidRPr="00EE1BE1">
        <w:t xml:space="preserve"> In 2020-2021, the total </w:t>
      </w:r>
      <w:r w:rsidRPr="00DC456B">
        <w:rPr>
          <w:b/>
          <w:bCs/>
        </w:rPr>
        <w:t>Group 9 expenditure was $30,425,227, and this increased by 22.4% to $37,254,535 (32.6% of total expenditure) in 2022-2023</w:t>
      </w:r>
      <w:r w:rsidRPr="00EE1BE1">
        <w:t xml:space="preserve">. </w:t>
      </w:r>
      <w:r w:rsidRPr="007D248B">
        <w:t>Group 1 and Group 2 expenditure relative to the total (16.7% and 19.0%, respectively) is higher than the volume relative to total (12.6% and 8.0%, respectively).</w:t>
      </w:r>
      <w:r w:rsidRPr="00EE1BE1">
        <w:t xml:space="preserve"> The </w:t>
      </w:r>
      <w:r w:rsidRPr="00806BD8">
        <w:rPr>
          <w:b/>
          <w:bCs/>
        </w:rPr>
        <w:t>fastest growing group by cost was group 11 (fistulae)</w:t>
      </w:r>
      <w:r w:rsidRPr="00EE1BE1">
        <w:t>, increasing 27.9% from 2020-2021 ($1,646,877) to 2022-2023 ($2,106,389).</w:t>
      </w:r>
    </w:p>
    <w:p w14:paraId="663A8B1F" w14:textId="53622493" w:rsidR="00CB5A9D" w:rsidRPr="00274F4B" w:rsidRDefault="00CB5A9D" w:rsidP="00C316C3">
      <w:pPr>
        <w:keepNext/>
        <w:spacing w:before="240"/>
        <w:jc w:val="center"/>
        <w:rPr>
          <w:b/>
          <w:iCs/>
          <w:color w:val="3B0083" w:themeColor="accent1"/>
          <w:spacing w:val="10"/>
          <w:sz w:val="18"/>
          <w:szCs w:val="18"/>
        </w:rPr>
      </w:pPr>
      <w:bookmarkStart w:id="74" w:name="_Ref147419532"/>
      <w:bookmarkStart w:id="75" w:name="_Toc161743136"/>
      <w:r w:rsidRPr="00274F4B">
        <w:rPr>
          <w:b/>
          <w:iCs/>
          <w:color w:val="3B0083" w:themeColor="accent1"/>
          <w:spacing w:val="10"/>
          <w:sz w:val="18"/>
          <w:szCs w:val="18"/>
        </w:rPr>
        <w:t xml:space="preserve">Figure </w:t>
      </w:r>
      <w:r w:rsidR="00EE4B5B">
        <w:rPr>
          <w:b/>
          <w:iCs/>
          <w:color w:val="3B0083" w:themeColor="accent1"/>
          <w:spacing w:val="10"/>
          <w:sz w:val="18"/>
          <w:szCs w:val="18"/>
        </w:rPr>
        <w:fldChar w:fldCharType="begin"/>
      </w:r>
      <w:r w:rsidR="00EE4B5B">
        <w:rPr>
          <w:b/>
          <w:iCs/>
          <w:color w:val="3B0083" w:themeColor="accent1"/>
          <w:spacing w:val="10"/>
          <w:sz w:val="18"/>
          <w:szCs w:val="18"/>
        </w:rPr>
        <w:instrText xml:space="preserve"> SEQ Figure \* ARABIC </w:instrText>
      </w:r>
      <w:r w:rsidR="00EE4B5B">
        <w:rPr>
          <w:b/>
          <w:iCs/>
          <w:color w:val="3B0083" w:themeColor="accent1"/>
          <w:spacing w:val="10"/>
          <w:sz w:val="18"/>
          <w:szCs w:val="18"/>
        </w:rPr>
        <w:fldChar w:fldCharType="separate"/>
      </w:r>
      <w:r w:rsidR="00FE1418">
        <w:rPr>
          <w:b/>
          <w:iCs/>
          <w:noProof/>
          <w:color w:val="3B0083" w:themeColor="accent1"/>
          <w:spacing w:val="10"/>
          <w:sz w:val="18"/>
          <w:szCs w:val="18"/>
        </w:rPr>
        <w:t>12</w:t>
      </w:r>
      <w:r w:rsidR="00EE4B5B">
        <w:rPr>
          <w:b/>
          <w:iCs/>
          <w:color w:val="3B0083" w:themeColor="accent1"/>
          <w:spacing w:val="10"/>
          <w:sz w:val="18"/>
          <w:szCs w:val="18"/>
        </w:rPr>
        <w:fldChar w:fldCharType="end"/>
      </w:r>
      <w:bookmarkEnd w:id="74"/>
      <w:r w:rsidRPr="00274F4B">
        <w:rPr>
          <w:b/>
          <w:iCs/>
          <w:color w:val="3B0083" w:themeColor="accent1"/>
          <w:spacing w:val="10"/>
          <w:sz w:val="18"/>
          <w:szCs w:val="18"/>
        </w:rPr>
        <w:t xml:space="preserve">: Expenditure on </w:t>
      </w:r>
      <w:r w:rsidR="00C316C3">
        <w:rPr>
          <w:b/>
          <w:iCs/>
          <w:color w:val="3B0083" w:themeColor="accent1"/>
          <w:spacing w:val="10"/>
          <w:sz w:val="18"/>
          <w:szCs w:val="18"/>
        </w:rPr>
        <w:t>Scheme</w:t>
      </w:r>
      <w:r w:rsidRPr="00274F4B">
        <w:rPr>
          <w:b/>
          <w:iCs/>
          <w:color w:val="3B0083" w:themeColor="accent1"/>
          <w:spacing w:val="10"/>
          <w:sz w:val="18"/>
          <w:szCs w:val="18"/>
        </w:rPr>
        <w:t xml:space="preserve"> products by main </w:t>
      </w:r>
      <w:proofErr w:type="gramStart"/>
      <w:r w:rsidRPr="00274F4B">
        <w:rPr>
          <w:b/>
          <w:iCs/>
          <w:color w:val="3B0083" w:themeColor="accent1"/>
          <w:spacing w:val="10"/>
          <w:sz w:val="18"/>
          <w:szCs w:val="18"/>
        </w:rPr>
        <w:t>group</w:t>
      </w:r>
      <w:bookmarkEnd w:id="75"/>
      <w:proofErr w:type="gramEnd"/>
    </w:p>
    <w:p w14:paraId="6EF81C25" w14:textId="0E633129" w:rsidR="00CB5A9D" w:rsidRDefault="0046248B" w:rsidP="00CB5A9D">
      <w:pPr>
        <w:keepNext/>
        <w:spacing w:before="240"/>
        <w:jc w:val="center"/>
        <w:rPr>
          <w:b/>
          <w:iCs/>
          <w:color w:val="C60C30" w:themeColor="accent2"/>
          <w:spacing w:val="10"/>
          <w:sz w:val="18"/>
          <w:szCs w:val="18"/>
        </w:rPr>
      </w:pPr>
      <w:r>
        <w:rPr>
          <w:b/>
          <w:iCs/>
          <w:noProof/>
          <w:color w:val="C60C30" w:themeColor="accent2"/>
          <w:spacing w:val="10"/>
          <w:sz w:val="18"/>
          <w:szCs w:val="18"/>
        </w:rPr>
        <w:drawing>
          <wp:inline distT="0" distB="0" distL="0" distR="0" wp14:anchorId="513EE7A1" wp14:editId="2DBF08FF">
            <wp:extent cx="5251790" cy="2636520"/>
            <wp:effectExtent l="0" t="0" r="6350" b="0"/>
            <wp:docPr id="326527882" name="Picture 5" descr="Figure 12: Expenditure on Scheme products by main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527882" name="Picture 5" descr="Figure 12: Expenditure on Scheme products by main grou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3895" cy="2642597"/>
                    </a:xfrm>
                    <a:prstGeom prst="rect">
                      <a:avLst/>
                    </a:prstGeom>
                    <a:noFill/>
                  </pic:spPr>
                </pic:pic>
              </a:graphicData>
            </a:graphic>
          </wp:inline>
        </w:drawing>
      </w:r>
    </w:p>
    <w:p w14:paraId="16F04F41" w14:textId="2ADDDE52" w:rsidR="00F36FFF" w:rsidRPr="002557C9" w:rsidRDefault="00CB5A9D" w:rsidP="00C316C3">
      <w:pPr>
        <w:pStyle w:val="Source"/>
        <w:spacing w:after="0"/>
        <w:rPr>
          <w:color w:val="auto"/>
          <w:sz w:val="16"/>
          <w:szCs w:val="16"/>
        </w:rPr>
      </w:pPr>
      <w:r w:rsidRPr="002557C9">
        <w:rPr>
          <w:color w:val="auto"/>
          <w:sz w:val="16"/>
          <w:szCs w:val="16"/>
        </w:rPr>
        <w:t>Note: Data labels display 2022-23 expenditure</w:t>
      </w:r>
      <w:r w:rsidR="00C316C3" w:rsidRPr="002557C9">
        <w:rPr>
          <w:color w:val="auto"/>
          <w:sz w:val="16"/>
          <w:szCs w:val="16"/>
        </w:rPr>
        <w:t>.</w:t>
      </w:r>
    </w:p>
    <w:p w14:paraId="60D61F84" w14:textId="7D934CA5" w:rsidR="00CB5A9D" w:rsidRPr="00B24EFA" w:rsidRDefault="00CB5A9D" w:rsidP="00C316C3">
      <w:pPr>
        <w:pStyle w:val="Source"/>
        <w:spacing w:after="0"/>
        <w:rPr>
          <w:sz w:val="16"/>
          <w:szCs w:val="16"/>
        </w:rPr>
      </w:pPr>
      <w:r w:rsidRPr="002557C9">
        <w:rPr>
          <w:color w:val="auto"/>
          <w:sz w:val="16"/>
          <w:szCs w:val="16"/>
        </w:rPr>
        <w:t xml:space="preserve">Source: </w:t>
      </w:r>
      <w:proofErr w:type="spellStart"/>
      <w:r w:rsidRPr="002557C9">
        <w:rPr>
          <w:color w:val="auto"/>
          <w:sz w:val="16"/>
          <w:szCs w:val="16"/>
        </w:rPr>
        <w:t>DoHAC</w:t>
      </w:r>
      <w:proofErr w:type="spellEnd"/>
      <w:r w:rsidRPr="002557C9">
        <w:rPr>
          <w:color w:val="auto"/>
          <w:sz w:val="16"/>
          <w:szCs w:val="16"/>
        </w:rPr>
        <w:t xml:space="preserve"> Stoma Appliance Scheme utilisation and expenditure data collection</w:t>
      </w:r>
    </w:p>
    <w:p w14:paraId="50229126" w14:textId="77777777" w:rsidR="00436FDF" w:rsidRPr="006F5175" w:rsidRDefault="00436FDF" w:rsidP="00436FDF">
      <w:pPr>
        <w:pStyle w:val="Heading2"/>
      </w:pPr>
      <w:r>
        <w:lastRenderedPageBreak/>
        <w:t>Access modifications</w:t>
      </w:r>
    </w:p>
    <w:p w14:paraId="59272C6E" w14:textId="1CA6C8A8" w:rsidR="00436FDF" w:rsidRDefault="00436FDF" w:rsidP="002B285C">
      <w:pPr>
        <w:pStyle w:val="BodyText"/>
      </w:pPr>
      <w:r>
        <w:t xml:space="preserve">Following stakeholder feedback, it was suggested that there are </w:t>
      </w:r>
      <w:proofErr w:type="gramStart"/>
      <w:r>
        <w:t>a number of</w:t>
      </w:r>
      <w:proofErr w:type="gramEnd"/>
      <w:r>
        <w:t xml:space="preserve"> products available on the Scheme that are not clinically necessary and may be contributing to the rising costs seen in the expenditure calculations. The practicality and impact of reviewing clinical eligibility and of modifying the products available on the Scheme was tested in the following section.</w:t>
      </w:r>
    </w:p>
    <w:p w14:paraId="1A73DA02" w14:textId="77777777" w:rsidR="00F169C2" w:rsidRPr="00E8286B" w:rsidRDefault="00F169C2" w:rsidP="006261FB">
      <w:pPr>
        <w:pStyle w:val="Heading3"/>
      </w:pPr>
      <w:r w:rsidRPr="00E8286B">
        <w:t xml:space="preserve">Clinical </w:t>
      </w:r>
      <w:r w:rsidRPr="007C3763">
        <w:t>eligibility</w:t>
      </w:r>
    </w:p>
    <w:p w14:paraId="0B1F643A" w14:textId="12B180E1" w:rsidR="00AF24B6" w:rsidRDefault="00F169C2" w:rsidP="002B285C">
      <w:pPr>
        <w:pStyle w:val="BodyText"/>
      </w:pPr>
      <w:r>
        <w:t xml:space="preserve">The appropriateness and necessity of expanding clinical eligibility was tabled with multiple stakeholders. There was some support for inclusion of those </w:t>
      </w:r>
      <w:r w:rsidR="00AF24B6">
        <w:t xml:space="preserve">with GI </w:t>
      </w:r>
      <w:r w:rsidR="002E3E10">
        <w:t xml:space="preserve">tract </w:t>
      </w:r>
      <w:r w:rsidR="00AF24B6">
        <w:t>dysfunction</w:t>
      </w:r>
      <w:r>
        <w:t xml:space="preserve"> </w:t>
      </w:r>
      <w:proofErr w:type="gramStart"/>
      <w:r>
        <w:t>as a result of</w:t>
      </w:r>
      <w:proofErr w:type="gramEnd"/>
      <w:r>
        <w:t xml:space="preserve"> MS, Hirschsprung’s disease and </w:t>
      </w:r>
      <w:r w:rsidRPr="00C72628">
        <w:t>LARS</w:t>
      </w:r>
      <w:r w:rsidR="00123A20">
        <w:t xml:space="preserve"> </w:t>
      </w:r>
      <w:r w:rsidR="00FE306F">
        <w:t>Al</w:t>
      </w:r>
      <w:r w:rsidR="00123A20">
        <w:t xml:space="preserve">though this is not a recommended course of action for the Government, </w:t>
      </w:r>
      <w:r w:rsidRPr="00C72628">
        <w:t>analysis was undertaken on the impact this would have on the Scheme</w:t>
      </w:r>
      <w:r w:rsidR="00123A20">
        <w:t xml:space="preserve"> if clinical eligibility was</w:t>
      </w:r>
      <w:r w:rsidR="00FE306F">
        <w:t xml:space="preserve"> to be</w:t>
      </w:r>
      <w:r w:rsidR="00123A20">
        <w:t xml:space="preserve"> </w:t>
      </w:r>
      <w:r w:rsidR="00C556CD">
        <w:t>expanded</w:t>
      </w:r>
      <w:r w:rsidRPr="00C72628">
        <w:t>.</w:t>
      </w:r>
    </w:p>
    <w:p w14:paraId="662E7D25" w14:textId="4BB58526" w:rsidR="00065608" w:rsidRDefault="001B3186" w:rsidP="002B285C">
      <w:pPr>
        <w:pStyle w:val="BodyText"/>
      </w:pPr>
      <w:r>
        <w:fldChar w:fldCharType="begin"/>
      </w:r>
      <w:r>
        <w:instrText xml:space="preserve"> REF _Ref157094493 \h </w:instrText>
      </w:r>
      <w:r>
        <w:fldChar w:fldCharType="separate"/>
      </w:r>
      <w:r w:rsidR="00FE1418">
        <w:t xml:space="preserve">Table </w:t>
      </w:r>
      <w:r w:rsidR="00FE1418">
        <w:rPr>
          <w:noProof/>
        </w:rPr>
        <w:t>11</w:t>
      </w:r>
      <w:r>
        <w:fldChar w:fldCharType="end"/>
      </w:r>
      <w:r w:rsidR="00F169C2">
        <w:t xml:space="preserve"> summarises the expected cost of </w:t>
      </w:r>
      <w:r w:rsidR="00F169C2" w:rsidRPr="00BE1C73">
        <w:t xml:space="preserve">including these disorders. Considering the average cost of ostomate care </w:t>
      </w:r>
      <w:r w:rsidR="004F02BE">
        <w:t>in FY22-23</w:t>
      </w:r>
      <w:r w:rsidR="00F169C2" w:rsidRPr="00BE1C73">
        <w:t xml:space="preserve"> </w:t>
      </w:r>
      <w:r w:rsidR="004F02BE">
        <w:t>was</w:t>
      </w:r>
      <w:r w:rsidR="00F169C2" w:rsidRPr="00BE1C73">
        <w:t xml:space="preserve"> $</w:t>
      </w:r>
      <w:r w:rsidR="00FC2C02">
        <w:t>2,220</w:t>
      </w:r>
      <w:r w:rsidR="00F169C2" w:rsidRPr="00BE1C73">
        <w:t>, should the Scheme open its clinical eligibility up to these disorders, the additional cost could equate to $</w:t>
      </w:r>
      <w:r w:rsidR="00FC2C02" w:rsidRPr="00FC2C02">
        <w:t>10,446,650</w:t>
      </w:r>
      <w:r w:rsidR="00F169C2" w:rsidRPr="00BE1C73">
        <w:t xml:space="preserve"> (minimum) and </w:t>
      </w:r>
      <w:r w:rsidR="00FC2C02" w:rsidRPr="00FC2C02">
        <w:t>$14,188,819</w:t>
      </w:r>
      <w:r w:rsidR="00F169C2" w:rsidRPr="00BE1C73">
        <w:t xml:space="preserve"> (maximum)</w:t>
      </w:r>
      <w:r w:rsidR="00AF24B6">
        <w:t xml:space="preserve"> per annum.</w:t>
      </w:r>
    </w:p>
    <w:p w14:paraId="0D29DF9A" w14:textId="6CCFB263" w:rsidR="00F169C2" w:rsidRPr="006F5175" w:rsidRDefault="001B3186" w:rsidP="00312261">
      <w:pPr>
        <w:pStyle w:val="Caption"/>
      </w:pPr>
      <w:bookmarkStart w:id="76" w:name="_Ref157094493"/>
      <w:bookmarkStart w:id="77" w:name="_Toc161743114"/>
      <w:r>
        <w:t xml:space="preserve">Table </w:t>
      </w:r>
      <w:r>
        <w:fldChar w:fldCharType="begin"/>
      </w:r>
      <w:r>
        <w:instrText xml:space="preserve"> SEQ Table \* ARABIC </w:instrText>
      </w:r>
      <w:r>
        <w:fldChar w:fldCharType="separate"/>
      </w:r>
      <w:r w:rsidR="00FE1418">
        <w:rPr>
          <w:noProof/>
        </w:rPr>
        <w:t>11</w:t>
      </w:r>
      <w:r>
        <w:rPr>
          <w:noProof/>
        </w:rPr>
        <w:fldChar w:fldCharType="end"/>
      </w:r>
      <w:bookmarkEnd w:id="76"/>
      <w:r>
        <w:t xml:space="preserve">: </w:t>
      </w:r>
      <w:r w:rsidRPr="005B4287">
        <w:t xml:space="preserve">Costs associated with expanding clinical </w:t>
      </w:r>
      <w:proofErr w:type="gramStart"/>
      <w:r w:rsidRPr="005B4287">
        <w:t>eligibility</w:t>
      </w:r>
      <w:bookmarkEnd w:id="77"/>
      <w:proofErr w:type="gramEnd"/>
    </w:p>
    <w:tbl>
      <w:tblPr>
        <w:tblStyle w:val="TableHealthConsultPurple"/>
        <w:tblW w:w="5000" w:type="pct"/>
        <w:tblLook w:val="0460" w:firstRow="1" w:lastRow="1" w:firstColumn="0" w:lastColumn="0" w:noHBand="0" w:noVBand="1"/>
      </w:tblPr>
      <w:tblGrid>
        <w:gridCol w:w="2641"/>
        <w:gridCol w:w="2302"/>
        <w:gridCol w:w="2357"/>
        <w:gridCol w:w="2338"/>
      </w:tblGrid>
      <w:tr w:rsidR="00312261" w:rsidRPr="00312261" w14:paraId="018BCFB7" w14:textId="77777777" w:rsidTr="00A92319">
        <w:trPr>
          <w:cnfStyle w:val="100000000000" w:firstRow="1" w:lastRow="0" w:firstColumn="0" w:lastColumn="0" w:oddVBand="0" w:evenVBand="0" w:oddHBand="0" w:evenHBand="0" w:firstRowFirstColumn="0" w:firstRowLastColumn="0" w:lastRowFirstColumn="0" w:lastRowLastColumn="0"/>
        </w:trPr>
        <w:tc>
          <w:tcPr>
            <w:tcW w:w="1370" w:type="pct"/>
          </w:tcPr>
          <w:p w14:paraId="5C9E18AC" w14:textId="77777777" w:rsidR="00312261" w:rsidRPr="00312261" w:rsidRDefault="00312261" w:rsidP="00312261">
            <w:pPr>
              <w:pStyle w:val="BodyText"/>
              <w:spacing w:before="0" w:after="0"/>
              <w:rPr>
                <w:sz w:val="16"/>
                <w:szCs w:val="20"/>
              </w:rPr>
            </w:pPr>
            <w:r w:rsidRPr="00312261">
              <w:rPr>
                <w:sz w:val="16"/>
                <w:szCs w:val="20"/>
              </w:rPr>
              <w:t>Disorder</w:t>
            </w:r>
          </w:p>
        </w:tc>
        <w:tc>
          <w:tcPr>
            <w:tcW w:w="1194" w:type="pct"/>
            <w:vAlign w:val="center"/>
          </w:tcPr>
          <w:p w14:paraId="38256AFB" w14:textId="7EDAB123" w:rsidR="00312261" w:rsidRPr="00312261" w:rsidRDefault="00312261" w:rsidP="007C66FE">
            <w:pPr>
              <w:pStyle w:val="BodyText"/>
              <w:spacing w:before="0" w:after="0"/>
              <w:jc w:val="center"/>
              <w:rPr>
                <w:sz w:val="16"/>
                <w:szCs w:val="20"/>
              </w:rPr>
            </w:pPr>
            <w:r w:rsidRPr="00312261">
              <w:rPr>
                <w:sz w:val="16"/>
                <w:szCs w:val="20"/>
              </w:rPr>
              <w:t>Estimate</w:t>
            </w:r>
            <w:r w:rsidR="00F6232A">
              <w:rPr>
                <w:sz w:val="16"/>
                <w:szCs w:val="20"/>
              </w:rPr>
              <w:t xml:space="preserve">d number </w:t>
            </w:r>
            <w:r w:rsidRPr="00312261">
              <w:rPr>
                <w:sz w:val="16"/>
                <w:szCs w:val="20"/>
              </w:rPr>
              <w:t xml:space="preserve">of people added to the </w:t>
            </w:r>
            <w:r w:rsidR="00F6232A">
              <w:rPr>
                <w:sz w:val="16"/>
                <w:szCs w:val="20"/>
              </w:rPr>
              <w:t>S</w:t>
            </w:r>
            <w:r w:rsidRPr="00312261">
              <w:rPr>
                <w:sz w:val="16"/>
                <w:szCs w:val="20"/>
              </w:rPr>
              <w:t>cheme</w:t>
            </w:r>
          </w:p>
        </w:tc>
        <w:tc>
          <w:tcPr>
            <w:tcW w:w="1223" w:type="pct"/>
            <w:vAlign w:val="center"/>
          </w:tcPr>
          <w:p w14:paraId="0E85F9A0" w14:textId="07A23CE7" w:rsidR="00312261" w:rsidRPr="00312261" w:rsidRDefault="00312261" w:rsidP="007C66FE">
            <w:pPr>
              <w:pStyle w:val="BodyText"/>
              <w:spacing w:before="0" w:after="0"/>
              <w:jc w:val="center"/>
              <w:rPr>
                <w:sz w:val="16"/>
                <w:szCs w:val="20"/>
              </w:rPr>
            </w:pPr>
            <w:r w:rsidRPr="00312261">
              <w:rPr>
                <w:sz w:val="16"/>
                <w:szCs w:val="20"/>
              </w:rPr>
              <w:t>Minimum cost</w:t>
            </w:r>
            <w:r w:rsidR="000E20E7">
              <w:rPr>
                <w:sz w:val="16"/>
                <w:szCs w:val="20"/>
              </w:rPr>
              <w:t xml:space="preserve"> (p.a.)</w:t>
            </w:r>
          </w:p>
        </w:tc>
        <w:tc>
          <w:tcPr>
            <w:tcW w:w="1213" w:type="pct"/>
            <w:vAlign w:val="center"/>
          </w:tcPr>
          <w:p w14:paraId="44C62BD1" w14:textId="02FCA08E" w:rsidR="00312261" w:rsidRPr="00312261" w:rsidRDefault="00312261" w:rsidP="007C66FE">
            <w:pPr>
              <w:pStyle w:val="BodyText"/>
              <w:spacing w:before="0" w:after="0"/>
              <w:jc w:val="center"/>
              <w:rPr>
                <w:sz w:val="16"/>
                <w:szCs w:val="20"/>
              </w:rPr>
            </w:pPr>
            <w:r w:rsidRPr="00312261">
              <w:rPr>
                <w:sz w:val="16"/>
                <w:szCs w:val="20"/>
              </w:rPr>
              <w:t>Maximum cost</w:t>
            </w:r>
            <w:r w:rsidR="000E20E7">
              <w:rPr>
                <w:sz w:val="16"/>
                <w:szCs w:val="20"/>
              </w:rPr>
              <w:t xml:space="preserve"> (p.a.)</w:t>
            </w:r>
          </w:p>
        </w:tc>
      </w:tr>
      <w:tr w:rsidR="00312261" w:rsidRPr="00312261" w14:paraId="78E5F955" w14:textId="77777777">
        <w:tc>
          <w:tcPr>
            <w:tcW w:w="1370" w:type="pct"/>
          </w:tcPr>
          <w:p w14:paraId="6BAC4A56" w14:textId="49A5E489" w:rsidR="00312261" w:rsidRPr="00312261" w:rsidRDefault="00312261" w:rsidP="00312261">
            <w:pPr>
              <w:pStyle w:val="BodyText"/>
              <w:spacing w:before="0" w:after="0"/>
              <w:rPr>
                <w:sz w:val="16"/>
                <w:szCs w:val="20"/>
              </w:rPr>
            </w:pPr>
            <w:r w:rsidRPr="00312261">
              <w:rPr>
                <w:sz w:val="16"/>
                <w:szCs w:val="20"/>
              </w:rPr>
              <w:t>M</w:t>
            </w:r>
            <w:r w:rsidR="004B60AF">
              <w:rPr>
                <w:sz w:val="16"/>
                <w:szCs w:val="20"/>
              </w:rPr>
              <w:t>S</w:t>
            </w:r>
          </w:p>
        </w:tc>
        <w:tc>
          <w:tcPr>
            <w:tcW w:w="1194" w:type="pct"/>
            <w:vAlign w:val="center"/>
          </w:tcPr>
          <w:p w14:paraId="4BACC18D" w14:textId="3EA9E332" w:rsidR="00312261" w:rsidRPr="00312261" w:rsidRDefault="00312261" w:rsidP="007C66FE">
            <w:pPr>
              <w:pStyle w:val="BodyText"/>
              <w:spacing w:before="0" w:after="0"/>
              <w:jc w:val="center"/>
              <w:rPr>
                <w:sz w:val="16"/>
                <w:szCs w:val="20"/>
              </w:rPr>
            </w:pPr>
            <w:r w:rsidRPr="00312261">
              <w:rPr>
                <w:sz w:val="16"/>
                <w:szCs w:val="20"/>
              </w:rPr>
              <w:t>1,6</w:t>
            </w:r>
            <w:r w:rsidR="004D23CB">
              <w:rPr>
                <w:sz w:val="16"/>
                <w:szCs w:val="20"/>
              </w:rPr>
              <w:t>–</w:t>
            </w:r>
            <w:r w:rsidRPr="00312261">
              <w:rPr>
                <w:sz w:val="16"/>
                <w:szCs w:val="20"/>
              </w:rPr>
              <w:t>7 - 2,200</w:t>
            </w:r>
            <w:r w:rsidRPr="00312261">
              <w:rPr>
                <w:sz w:val="16"/>
                <w:szCs w:val="20"/>
                <w:vertAlign w:val="superscript"/>
              </w:rPr>
              <w:footnoteReference w:id="30"/>
            </w:r>
          </w:p>
        </w:tc>
        <w:tc>
          <w:tcPr>
            <w:tcW w:w="1223" w:type="pct"/>
          </w:tcPr>
          <w:p w14:paraId="3D8A0A6D" w14:textId="09054935" w:rsidR="00312261" w:rsidRPr="00312261" w:rsidRDefault="004F02BE" w:rsidP="007C66FE">
            <w:pPr>
              <w:pStyle w:val="BodyText"/>
              <w:spacing w:before="0" w:after="0"/>
              <w:jc w:val="center"/>
              <w:rPr>
                <w:sz w:val="16"/>
                <w:szCs w:val="20"/>
              </w:rPr>
            </w:pPr>
            <w:r w:rsidRPr="004F02BE">
              <w:rPr>
                <w:sz w:val="16"/>
                <w:szCs w:val="16"/>
              </w:rPr>
              <w:t>$3,699,456</w:t>
            </w:r>
          </w:p>
        </w:tc>
        <w:tc>
          <w:tcPr>
            <w:tcW w:w="1213" w:type="pct"/>
          </w:tcPr>
          <w:p w14:paraId="73BEC705" w14:textId="77590217" w:rsidR="00312261" w:rsidRPr="00312261" w:rsidRDefault="004F02BE" w:rsidP="007C66FE">
            <w:pPr>
              <w:pStyle w:val="BodyText"/>
              <w:spacing w:before="0" w:after="0"/>
              <w:jc w:val="center"/>
              <w:rPr>
                <w:sz w:val="16"/>
                <w:szCs w:val="20"/>
              </w:rPr>
            </w:pPr>
            <w:r w:rsidRPr="004F02BE">
              <w:rPr>
                <w:sz w:val="16"/>
                <w:szCs w:val="16"/>
              </w:rPr>
              <w:t>$4,883,282</w:t>
            </w:r>
          </w:p>
        </w:tc>
      </w:tr>
      <w:tr w:rsidR="00312261" w:rsidRPr="00312261" w14:paraId="48794E49" w14:textId="77777777">
        <w:trPr>
          <w:cnfStyle w:val="000000010000" w:firstRow="0" w:lastRow="0" w:firstColumn="0" w:lastColumn="0" w:oddVBand="0" w:evenVBand="0" w:oddHBand="0" w:evenHBand="1" w:firstRowFirstColumn="0" w:firstRowLastColumn="0" w:lastRowFirstColumn="0" w:lastRowLastColumn="0"/>
        </w:trPr>
        <w:tc>
          <w:tcPr>
            <w:tcW w:w="1370" w:type="pct"/>
          </w:tcPr>
          <w:p w14:paraId="299B2F16" w14:textId="77777777" w:rsidR="00312261" w:rsidRPr="00312261" w:rsidRDefault="00312261" w:rsidP="00312261">
            <w:pPr>
              <w:pStyle w:val="BodyText"/>
              <w:spacing w:before="0" w:after="0"/>
              <w:rPr>
                <w:sz w:val="16"/>
                <w:szCs w:val="20"/>
              </w:rPr>
            </w:pPr>
            <w:r w:rsidRPr="00312261">
              <w:rPr>
                <w:sz w:val="16"/>
                <w:szCs w:val="20"/>
              </w:rPr>
              <w:t>Hirschsprung’s disease</w:t>
            </w:r>
          </w:p>
        </w:tc>
        <w:tc>
          <w:tcPr>
            <w:tcW w:w="1194" w:type="pct"/>
            <w:vAlign w:val="center"/>
          </w:tcPr>
          <w:p w14:paraId="416A268D" w14:textId="167DDC7E" w:rsidR="00312261" w:rsidRPr="00312261" w:rsidRDefault="00312261" w:rsidP="007C66FE">
            <w:pPr>
              <w:pStyle w:val="BodyText"/>
              <w:spacing w:before="0" w:after="0"/>
              <w:jc w:val="center"/>
              <w:rPr>
                <w:sz w:val="16"/>
                <w:szCs w:val="20"/>
              </w:rPr>
            </w:pPr>
            <w:r w:rsidRPr="00312261">
              <w:rPr>
                <w:sz w:val="16"/>
                <w:szCs w:val="20"/>
              </w:rPr>
              <w:t>1,9</w:t>
            </w:r>
            <w:r w:rsidR="004D23CB">
              <w:rPr>
                <w:sz w:val="16"/>
                <w:szCs w:val="20"/>
              </w:rPr>
              <w:t>–</w:t>
            </w:r>
            <w:r w:rsidRPr="00312261">
              <w:rPr>
                <w:sz w:val="16"/>
                <w:szCs w:val="20"/>
              </w:rPr>
              <w:t>8 - 2,397</w:t>
            </w:r>
            <w:r w:rsidRPr="00312261">
              <w:rPr>
                <w:sz w:val="16"/>
                <w:szCs w:val="20"/>
                <w:vertAlign w:val="superscript"/>
              </w:rPr>
              <w:footnoteReference w:id="31"/>
            </w:r>
          </w:p>
        </w:tc>
        <w:tc>
          <w:tcPr>
            <w:tcW w:w="1223" w:type="pct"/>
          </w:tcPr>
          <w:p w14:paraId="2055B49C" w14:textId="4A335DF8" w:rsidR="00312261" w:rsidRPr="00312261" w:rsidRDefault="004F02BE" w:rsidP="007C66FE">
            <w:pPr>
              <w:pStyle w:val="BodyText"/>
              <w:spacing w:before="0" w:after="0"/>
              <w:jc w:val="center"/>
              <w:rPr>
                <w:sz w:val="16"/>
                <w:szCs w:val="20"/>
              </w:rPr>
            </w:pPr>
            <w:r w:rsidRPr="004F02BE">
              <w:rPr>
                <w:sz w:val="16"/>
                <w:szCs w:val="16"/>
              </w:rPr>
              <w:t>$4,257,066</w:t>
            </w:r>
          </w:p>
        </w:tc>
        <w:tc>
          <w:tcPr>
            <w:tcW w:w="1213" w:type="pct"/>
          </w:tcPr>
          <w:p w14:paraId="12FE7FCB" w14:textId="7AD052B9" w:rsidR="00312261" w:rsidRPr="00312261" w:rsidRDefault="004F02BE" w:rsidP="007C66FE">
            <w:pPr>
              <w:pStyle w:val="BodyText"/>
              <w:spacing w:before="0" w:after="0"/>
              <w:jc w:val="center"/>
              <w:rPr>
                <w:sz w:val="16"/>
                <w:szCs w:val="20"/>
              </w:rPr>
            </w:pPr>
            <w:r w:rsidRPr="004F02BE">
              <w:rPr>
                <w:sz w:val="16"/>
                <w:szCs w:val="16"/>
              </w:rPr>
              <w:t>$5,321,333</w:t>
            </w:r>
          </w:p>
        </w:tc>
      </w:tr>
      <w:tr w:rsidR="00312261" w:rsidRPr="00312261" w14:paraId="62DB077E" w14:textId="77777777">
        <w:tc>
          <w:tcPr>
            <w:tcW w:w="1370" w:type="pct"/>
          </w:tcPr>
          <w:p w14:paraId="70BD218E" w14:textId="7EDDBF47" w:rsidR="00312261" w:rsidRPr="00312261" w:rsidRDefault="00312261" w:rsidP="00312261">
            <w:pPr>
              <w:pStyle w:val="BodyText"/>
              <w:spacing w:before="0" w:after="0"/>
              <w:rPr>
                <w:sz w:val="16"/>
                <w:szCs w:val="20"/>
              </w:rPr>
            </w:pPr>
            <w:r w:rsidRPr="00312261">
              <w:rPr>
                <w:sz w:val="16"/>
                <w:szCs w:val="20"/>
              </w:rPr>
              <w:t>L</w:t>
            </w:r>
            <w:r w:rsidR="004B60AF">
              <w:rPr>
                <w:sz w:val="16"/>
                <w:szCs w:val="20"/>
              </w:rPr>
              <w:t>ARS</w:t>
            </w:r>
          </w:p>
        </w:tc>
        <w:tc>
          <w:tcPr>
            <w:tcW w:w="1194" w:type="pct"/>
            <w:vAlign w:val="center"/>
          </w:tcPr>
          <w:p w14:paraId="22BD3907" w14:textId="758093C1" w:rsidR="00312261" w:rsidRPr="00312261" w:rsidRDefault="00312261" w:rsidP="007C66FE">
            <w:pPr>
              <w:pStyle w:val="BodyText"/>
              <w:spacing w:before="0" w:after="0"/>
              <w:jc w:val="center"/>
              <w:rPr>
                <w:sz w:val="16"/>
                <w:szCs w:val="20"/>
              </w:rPr>
            </w:pPr>
            <w:r w:rsidRPr="00312261">
              <w:rPr>
                <w:sz w:val="16"/>
                <w:szCs w:val="20"/>
              </w:rPr>
              <w:t>1,1</w:t>
            </w:r>
            <w:r w:rsidR="004D23CB">
              <w:rPr>
                <w:sz w:val="16"/>
                <w:szCs w:val="20"/>
              </w:rPr>
              <w:t>–</w:t>
            </w:r>
            <w:r w:rsidRPr="00312261">
              <w:rPr>
                <w:sz w:val="16"/>
                <w:szCs w:val="20"/>
              </w:rPr>
              <w:t>2 - 1,795</w:t>
            </w:r>
            <w:r w:rsidRPr="00312261">
              <w:rPr>
                <w:sz w:val="16"/>
                <w:szCs w:val="20"/>
                <w:vertAlign w:val="superscript"/>
              </w:rPr>
              <w:footnoteReference w:id="32"/>
            </w:r>
          </w:p>
        </w:tc>
        <w:tc>
          <w:tcPr>
            <w:tcW w:w="1223" w:type="pct"/>
          </w:tcPr>
          <w:p w14:paraId="50417F82" w14:textId="6DB176B8" w:rsidR="00312261" w:rsidRPr="00312261" w:rsidRDefault="004F02BE" w:rsidP="007C66FE">
            <w:pPr>
              <w:pStyle w:val="BodyText"/>
              <w:spacing w:before="0" w:after="0"/>
              <w:jc w:val="center"/>
              <w:rPr>
                <w:sz w:val="16"/>
                <w:szCs w:val="20"/>
              </w:rPr>
            </w:pPr>
            <w:r w:rsidRPr="004F02BE">
              <w:rPr>
                <w:sz w:val="16"/>
                <w:szCs w:val="16"/>
              </w:rPr>
              <w:t>$2,490,128</w:t>
            </w:r>
          </w:p>
        </w:tc>
        <w:tc>
          <w:tcPr>
            <w:tcW w:w="1213" w:type="pct"/>
          </w:tcPr>
          <w:p w14:paraId="7BC58061" w14:textId="28ECFAE7" w:rsidR="00312261" w:rsidRPr="00312261" w:rsidRDefault="004F02BE" w:rsidP="007C66FE">
            <w:pPr>
              <w:pStyle w:val="BodyText"/>
              <w:spacing w:before="0" w:after="0"/>
              <w:jc w:val="center"/>
              <w:rPr>
                <w:sz w:val="16"/>
                <w:szCs w:val="20"/>
              </w:rPr>
            </w:pPr>
            <w:r w:rsidRPr="004F02BE">
              <w:rPr>
                <w:sz w:val="16"/>
                <w:szCs w:val="16"/>
              </w:rPr>
              <w:t>$3,984,204</w:t>
            </w:r>
          </w:p>
        </w:tc>
      </w:tr>
      <w:tr w:rsidR="00312261" w:rsidRPr="00312261" w14:paraId="051EBA6C" w14:textId="77777777">
        <w:trPr>
          <w:cnfStyle w:val="010000000000" w:firstRow="0" w:lastRow="1" w:firstColumn="0" w:lastColumn="0" w:oddVBand="0" w:evenVBand="0" w:oddHBand="0" w:evenHBand="0" w:firstRowFirstColumn="0" w:firstRowLastColumn="0" w:lastRowFirstColumn="0" w:lastRowLastColumn="0"/>
        </w:trPr>
        <w:tc>
          <w:tcPr>
            <w:tcW w:w="1370" w:type="pct"/>
          </w:tcPr>
          <w:p w14:paraId="07BB492A" w14:textId="77777777" w:rsidR="00312261" w:rsidRPr="00312261" w:rsidRDefault="00312261" w:rsidP="00312261">
            <w:pPr>
              <w:pStyle w:val="BodyText"/>
              <w:spacing w:before="0" w:after="0"/>
              <w:rPr>
                <w:sz w:val="16"/>
                <w:szCs w:val="20"/>
              </w:rPr>
            </w:pPr>
            <w:r w:rsidRPr="00312261">
              <w:rPr>
                <w:sz w:val="16"/>
                <w:szCs w:val="20"/>
              </w:rPr>
              <w:t>Total</w:t>
            </w:r>
          </w:p>
        </w:tc>
        <w:tc>
          <w:tcPr>
            <w:tcW w:w="1194" w:type="pct"/>
            <w:vAlign w:val="center"/>
          </w:tcPr>
          <w:p w14:paraId="36F28250" w14:textId="60B145FA" w:rsidR="00312261" w:rsidRPr="00312261" w:rsidRDefault="00312261" w:rsidP="007C66FE">
            <w:pPr>
              <w:pStyle w:val="BodyText"/>
              <w:spacing w:before="0" w:after="0"/>
              <w:jc w:val="center"/>
              <w:rPr>
                <w:sz w:val="16"/>
                <w:szCs w:val="20"/>
              </w:rPr>
            </w:pPr>
            <w:r w:rsidRPr="00312261">
              <w:rPr>
                <w:sz w:val="16"/>
                <w:szCs w:val="20"/>
              </w:rPr>
              <w:t>4,7</w:t>
            </w:r>
            <w:r w:rsidR="004D23CB">
              <w:rPr>
                <w:sz w:val="16"/>
                <w:szCs w:val="20"/>
              </w:rPr>
              <w:t>–</w:t>
            </w:r>
            <w:r w:rsidRPr="00312261">
              <w:rPr>
                <w:sz w:val="16"/>
                <w:szCs w:val="20"/>
              </w:rPr>
              <w:t>7 - 6,723</w:t>
            </w:r>
          </w:p>
        </w:tc>
        <w:tc>
          <w:tcPr>
            <w:tcW w:w="1223" w:type="pct"/>
          </w:tcPr>
          <w:p w14:paraId="107DF76E" w14:textId="23A609CC" w:rsidR="00312261" w:rsidRPr="00312261" w:rsidRDefault="004F02BE" w:rsidP="007C66FE">
            <w:pPr>
              <w:pStyle w:val="BodyText"/>
              <w:spacing w:before="0" w:after="0"/>
              <w:jc w:val="center"/>
              <w:rPr>
                <w:sz w:val="16"/>
                <w:szCs w:val="20"/>
              </w:rPr>
            </w:pPr>
            <w:r w:rsidRPr="004F02BE">
              <w:rPr>
                <w:sz w:val="16"/>
                <w:szCs w:val="16"/>
              </w:rPr>
              <w:t>$10,446,650</w:t>
            </w:r>
          </w:p>
        </w:tc>
        <w:tc>
          <w:tcPr>
            <w:tcW w:w="1213" w:type="pct"/>
          </w:tcPr>
          <w:p w14:paraId="4B89EB8F" w14:textId="3220AB60" w:rsidR="00312261" w:rsidRPr="00312261" w:rsidRDefault="004F02BE" w:rsidP="007C66FE">
            <w:pPr>
              <w:pStyle w:val="BodyText"/>
              <w:spacing w:before="0" w:after="0"/>
              <w:jc w:val="center"/>
              <w:rPr>
                <w:sz w:val="16"/>
                <w:szCs w:val="20"/>
              </w:rPr>
            </w:pPr>
            <w:r w:rsidRPr="004F02BE">
              <w:rPr>
                <w:sz w:val="16"/>
                <w:szCs w:val="16"/>
              </w:rPr>
              <w:t>$14,188,819</w:t>
            </w:r>
          </w:p>
        </w:tc>
      </w:tr>
    </w:tbl>
    <w:p w14:paraId="4B04184A" w14:textId="6E8A1C33" w:rsidR="00312261" w:rsidRDefault="00312261" w:rsidP="00312261">
      <w:pPr>
        <w:pStyle w:val="Source"/>
      </w:pPr>
      <w:r w:rsidRPr="002557C9">
        <w:rPr>
          <w:color w:val="auto"/>
        </w:rPr>
        <w:t xml:space="preserve">Note: calculations estimate the number of people with each disorder </w:t>
      </w:r>
      <w:r w:rsidR="000E20E7" w:rsidRPr="002557C9">
        <w:rPr>
          <w:color w:val="auto"/>
        </w:rPr>
        <w:t>who may have GI dysfunction</w:t>
      </w:r>
      <w:r w:rsidRPr="002557C9">
        <w:rPr>
          <w:color w:val="auto"/>
        </w:rPr>
        <w:t xml:space="preserve">. Cost is based on the average cost of those currently accessing the </w:t>
      </w:r>
      <w:r w:rsidR="00822862" w:rsidRPr="002557C9">
        <w:rPr>
          <w:color w:val="auto"/>
        </w:rPr>
        <w:t>S</w:t>
      </w:r>
      <w:r w:rsidRPr="002557C9">
        <w:rPr>
          <w:color w:val="auto"/>
        </w:rPr>
        <w:t>cheme with one stoma ($523.36)</w:t>
      </w:r>
      <w:r w:rsidR="00AF7196" w:rsidRPr="002557C9">
        <w:rPr>
          <w:color w:val="auto"/>
        </w:rPr>
        <w:t>.</w:t>
      </w:r>
    </w:p>
    <w:p w14:paraId="5D8C9946" w14:textId="612433FE" w:rsidR="0093188B" w:rsidRPr="006F5175" w:rsidRDefault="0093188B" w:rsidP="006261FB">
      <w:pPr>
        <w:pStyle w:val="Heading3"/>
      </w:pPr>
      <w:bookmarkStart w:id="78" w:name="_Ref157430670"/>
      <w:r w:rsidRPr="0093188B">
        <w:t>Product</w:t>
      </w:r>
      <w:r>
        <w:t xml:space="preserve"> modifications</w:t>
      </w:r>
      <w:bookmarkEnd w:id="78"/>
    </w:p>
    <w:p w14:paraId="4F1D73CD" w14:textId="453835BF" w:rsidR="004A7EF6" w:rsidRDefault="0093188B" w:rsidP="009466A4">
      <w:pPr>
        <w:pStyle w:val="BodyText"/>
      </w:pPr>
      <w:r>
        <w:t xml:space="preserve">Stakeholder feedback did, however, point to several products available on the Scheme that are not clinically necessary and may be contributing to the rising costs seen in the expenditure </w:t>
      </w:r>
      <w:r>
        <w:lastRenderedPageBreak/>
        <w:t xml:space="preserve">calculations. To understand the budgetary implications if certain products were removed, </w:t>
      </w:r>
      <w:proofErr w:type="gramStart"/>
      <w:r>
        <w:t>restricted</w:t>
      </w:r>
      <w:proofErr w:type="gramEnd"/>
      <w:r>
        <w:t xml:space="preserve"> or altered (i.e. changes in quantity allowances), </w:t>
      </w:r>
      <w:r w:rsidR="00057BD6">
        <w:t xml:space="preserve">eleven </w:t>
      </w:r>
      <w:r w:rsidR="00230B7B">
        <w:t>access modification</w:t>
      </w:r>
      <w:r w:rsidR="00DD547C">
        <w:t xml:space="preserve">s </w:t>
      </w:r>
      <w:r w:rsidR="00101A84">
        <w:t xml:space="preserve">were tested and </w:t>
      </w:r>
      <w:r w:rsidR="00230B7B">
        <w:t xml:space="preserve">are summarised in </w:t>
      </w:r>
      <w:r w:rsidR="00230B7B">
        <w:fldChar w:fldCharType="begin"/>
      </w:r>
      <w:r w:rsidR="00230B7B">
        <w:instrText xml:space="preserve"> REF _Ref157432667 \h </w:instrText>
      </w:r>
      <w:r w:rsidR="00230B7B">
        <w:fldChar w:fldCharType="separate"/>
      </w:r>
      <w:r w:rsidR="00FE1418">
        <w:t xml:space="preserve">Table </w:t>
      </w:r>
      <w:r w:rsidR="00FE1418">
        <w:rPr>
          <w:noProof/>
        </w:rPr>
        <w:t>12</w:t>
      </w:r>
      <w:r w:rsidR="00230B7B">
        <w:fldChar w:fldCharType="end"/>
      </w:r>
      <w:r w:rsidR="00230B7B">
        <w:t xml:space="preserve">. </w:t>
      </w:r>
      <w:r w:rsidR="005A052E">
        <w:t xml:space="preserve">Additional information and figures on the costing implications for each scenario are available in </w:t>
      </w:r>
      <w:r w:rsidR="005A052E">
        <w:fldChar w:fldCharType="begin"/>
      </w:r>
      <w:r w:rsidR="005A052E">
        <w:instrText xml:space="preserve"> REF _Ref157602368 \r \h </w:instrText>
      </w:r>
      <w:r w:rsidR="005A052E">
        <w:fldChar w:fldCharType="separate"/>
      </w:r>
      <w:r w:rsidR="00FE1418">
        <w:t>Appendix F</w:t>
      </w:r>
      <w:r w:rsidR="005A052E">
        <w:fldChar w:fldCharType="end"/>
      </w:r>
      <w:r w:rsidR="005A052E">
        <w:t>.</w:t>
      </w:r>
    </w:p>
    <w:p w14:paraId="1ABE7AC0" w14:textId="4EEA3541" w:rsidR="00230B7B" w:rsidRDefault="00230B7B" w:rsidP="00230B7B">
      <w:pPr>
        <w:pStyle w:val="Caption"/>
      </w:pPr>
      <w:bookmarkStart w:id="79" w:name="_Ref157432667"/>
      <w:bookmarkStart w:id="80" w:name="_Ref157413664"/>
      <w:bookmarkStart w:id="81" w:name="_Toc161743115"/>
      <w:r>
        <w:t xml:space="preserve">Table </w:t>
      </w:r>
      <w:r>
        <w:fldChar w:fldCharType="begin"/>
      </w:r>
      <w:r>
        <w:instrText xml:space="preserve"> SEQ Table \* ARABIC </w:instrText>
      </w:r>
      <w:r>
        <w:fldChar w:fldCharType="separate"/>
      </w:r>
      <w:r w:rsidR="00FE1418">
        <w:rPr>
          <w:noProof/>
        </w:rPr>
        <w:t>12</w:t>
      </w:r>
      <w:r>
        <w:rPr>
          <w:noProof/>
        </w:rPr>
        <w:fldChar w:fldCharType="end"/>
      </w:r>
      <w:bookmarkEnd w:id="79"/>
      <w:r>
        <w:t xml:space="preserve">: Access modifications: summary of expenditure changes and number of ostomates impacted, </w:t>
      </w:r>
      <w:proofErr w:type="gramStart"/>
      <w:r>
        <w:t>2022-23</w:t>
      </w:r>
      <w:bookmarkEnd w:id="80"/>
      <w:bookmarkEnd w:id="81"/>
      <w:proofErr w:type="gramEnd"/>
    </w:p>
    <w:tbl>
      <w:tblPr>
        <w:tblStyle w:val="TableHealthConsultPurple"/>
        <w:tblW w:w="5000" w:type="pct"/>
        <w:tblLayout w:type="fixed"/>
        <w:tblLook w:val="0420" w:firstRow="1" w:lastRow="0" w:firstColumn="0" w:lastColumn="0" w:noHBand="0" w:noVBand="1"/>
      </w:tblPr>
      <w:tblGrid>
        <w:gridCol w:w="3403"/>
        <w:gridCol w:w="1559"/>
        <w:gridCol w:w="1559"/>
        <w:gridCol w:w="1559"/>
        <w:gridCol w:w="1558"/>
      </w:tblGrid>
      <w:tr w:rsidR="0047134E" w:rsidRPr="009E25B9" w14:paraId="714E68DD" w14:textId="77777777" w:rsidTr="00614C5F">
        <w:trPr>
          <w:cnfStyle w:val="100000000000" w:firstRow="1" w:lastRow="0" w:firstColumn="0" w:lastColumn="0" w:oddVBand="0" w:evenVBand="0" w:oddHBand="0" w:evenHBand="0" w:firstRowFirstColumn="0" w:firstRowLastColumn="0" w:lastRowFirstColumn="0" w:lastRowLastColumn="0"/>
        </w:trPr>
        <w:tc>
          <w:tcPr>
            <w:tcW w:w="1765" w:type="pct"/>
            <w:vAlign w:val="center"/>
          </w:tcPr>
          <w:p w14:paraId="1877CE4D" w14:textId="77777777" w:rsidR="00230B7B" w:rsidRPr="009E25B9" w:rsidRDefault="00230B7B" w:rsidP="00614C5F">
            <w:pPr>
              <w:rPr>
                <w:sz w:val="16"/>
                <w:szCs w:val="16"/>
              </w:rPr>
            </w:pPr>
            <w:r w:rsidRPr="009E25B9">
              <w:rPr>
                <w:sz w:val="16"/>
                <w:szCs w:val="16"/>
              </w:rPr>
              <w:t>Scenario</w:t>
            </w:r>
          </w:p>
        </w:tc>
        <w:tc>
          <w:tcPr>
            <w:tcW w:w="809" w:type="pct"/>
            <w:vAlign w:val="center"/>
          </w:tcPr>
          <w:p w14:paraId="47321C71" w14:textId="77777777" w:rsidR="00230B7B" w:rsidRPr="009E25B9" w:rsidRDefault="00230B7B" w:rsidP="00614C5F">
            <w:pPr>
              <w:jc w:val="center"/>
              <w:rPr>
                <w:rFonts w:ascii="Poppins" w:hAnsi="Poppins" w:cs="Poppins"/>
                <w:color w:val="000000"/>
                <w:sz w:val="16"/>
                <w:szCs w:val="16"/>
              </w:rPr>
            </w:pPr>
            <w:r w:rsidRPr="009E25B9">
              <w:rPr>
                <w:sz w:val="16"/>
                <w:szCs w:val="16"/>
              </w:rPr>
              <w:t>Change in expenditure</w:t>
            </w:r>
          </w:p>
        </w:tc>
        <w:tc>
          <w:tcPr>
            <w:tcW w:w="809" w:type="pct"/>
            <w:vAlign w:val="center"/>
          </w:tcPr>
          <w:p w14:paraId="6879E4EE" w14:textId="77777777" w:rsidR="00230B7B" w:rsidRPr="009E25B9" w:rsidRDefault="00230B7B" w:rsidP="00614C5F">
            <w:pPr>
              <w:jc w:val="center"/>
              <w:rPr>
                <w:rFonts w:ascii="Poppins" w:hAnsi="Poppins" w:cs="Poppins"/>
                <w:color w:val="000000"/>
                <w:sz w:val="16"/>
                <w:szCs w:val="16"/>
              </w:rPr>
            </w:pPr>
            <w:r w:rsidRPr="009E25B9">
              <w:rPr>
                <w:sz w:val="16"/>
                <w:szCs w:val="16"/>
              </w:rPr>
              <w:t>Number of ostomates impacted</w:t>
            </w:r>
          </w:p>
        </w:tc>
        <w:tc>
          <w:tcPr>
            <w:tcW w:w="809" w:type="pct"/>
            <w:vAlign w:val="center"/>
          </w:tcPr>
          <w:p w14:paraId="27505C0C" w14:textId="77777777" w:rsidR="00230B7B" w:rsidRPr="009E25B9" w:rsidRDefault="00230B7B" w:rsidP="00614C5F">
            <w:pPr>
              <w:jc w:val="center"/>
              <w:rPr>
                <w:rFonts w:ascii="Poppins" w:hAnsi="Poppins" w:cs="Poppins"/>
                <w:color w:val="000000"/>
                <w:sz w:val="16"/>
                <w:szCs w:val="16"/>
              </w:rPr>
            </w:pPr>
            <w:r w:rsidRPr="009E25B9">
              <w:rPr>
                <w:sz w:val="16"/>
                <w:szCs w:val="16"/>
              </w:rPr>
              <w:t>Percentage change in expenditure</w:t>
            </w:r>
          </w:p>
        </w:tc>
        <w:tc>
          <w:tcPr>
            <w:tcW w:w="808" w:type="pct"/>
            <w:vAlign w:val="center"/>
          </w:tcPr>
          <w:p w14:paraId="50E80D2D" w14:textId="77777777" w:rsidR="00230B7B" w:rsidRPr="009E25B9" w:rsidRDefault="00230B7B" w:rsidP="00614C5F">
            <w:pPr>
              <w:jc w:val="center"/>
              <w:rPr>
                <w:rFonts w:ascii="Poppins" w:hAnsi="Poppins" w:cs="Poppins"/>
                <w:color w:val="000000"/>
                <w:sz w:val="16"/>
                <w:szCs w:val="16"/>
              </w:rPr>
            </w:pPr>
            <w:r w:rsidRPr="009E25B9">
              <w:rPr>
                <w:sz w:val="16"/>
                <w:szCs w:val="16"/>
              </w:rPr>
              <w:t>Proportion of ostomates impacted</w:t>
            </w:r>
          </w:p>
        </w:tc>
      </w:tr>
      <w:tr w:rsidR="0047134E" w:rsidRPr="009E25B9" w14:paraId="4741B56D" w14:textId="77777777" w:rsidTr="00614C5F">
        <w:tc>
          <w:tcPr>
            <w:tcW w:w="1765" w:type="pct"/>
            <w:vAlign w:val="center"/>
          </w:tcPr>
          <w:p w14:paraId="6819C73E" w14:textId="7022204A" w:rsidR="00230B7B" w:rsidRPr="009E25B9" w:rsidRDefault="00230B7B" w:rsidP="00614C5F">
            <w:pPr>
              <w:rPr>
                <w:sz w:val="16"/>
                <w:szCs w:val="16"/>
              </w:rPr>
            </w:pPr>
            <w:r w:rsidRPr="009E25B9">
              <w:rPr>
                <w:sz w:val="16"/>
                <w:szCs w:val="16"/>
              </w:rPr>
              <w:t>1. Creams and ointments (09f) removed</w:t>
            </w:r>
            <w:r w:rsidR="00876457">
              <w:rPr>
                <w:rStyle w:val="FootnoteReference"/>
                <w:sz w:val="16"/>
                <w:szCs w:val="16"/>
              </w:rPr>
              <w:footnoteReference w:id="33"/>
            </w:r>
          </w:p>
        </w:tc>
        <w:tc>
          <w:tcPr>
            <w:tcW w:w="809" w:type="pct"/>
            <w:vAlign w:val="center"/>
          </w:tcPr>
          <w:p w14:paraId="3FFD7129" w14:textId="77777777" w:rsidR="00230B7B" w:rsidRPr="009956CA" w:rsidRDefault="00230B7B" w:rsidP="00614C5F">
            <w:pPr>
              <w:jc w:val="center"/>
              <w:rPr>
                <w:color w:val="00B050"/>
                <w:sz w:val="16"/>
                <w:szCs w:val="16"/>
              </w:rPr>
            </w:pPr>
            <w:r w:rsidRPr="009956CA">
              <w:rPr>
                <w:rFonts w:ascii="Poppins" w:hAnsi="Poppins" w:cs="Poppins"/>
                <w:color w:val="00B050"/>
                <w:sz w:val="16"/>
                <w:szCs w:val="16"/>
              </w:rPr>
              <w:t>($75,876)</w:t>
            </w:r>
          </w:p>
        </w:tc>
        <w:tc>
          <w:tcPr>
            <w:tcW w:w="809" w:type="pct"/>
            <w:vAlign w:val="center"/>
          </w:tcPr>
          <w:p w14:paraId="78EB115A" w14:textId="77777777" w:rsidR="00230B7B" w:rsidRPr="009E25B9" w:rsidRDefault="00230B7B" w:rsidP="00614C5F">
            <w:pPr>
              <w:jc w:val="center"/>
              <w:rPr>
                <w:sz w:val="16"/>
                <w:szCs w:val="16"/>
              </w:rPr>
            </w:pPr>
            <w:r w:rsidRPr="009E25B9">
              <w:rPr>
                <w:rFonts w:ascii="Poppins" w:hAnsi="Poppins" w:cs="Poppins"/>
                <w:color w:val="000000"/>
                <w:sz w:val="16"/>
                <w:szCs w:val="16"/>
              </w:rPr>
              <w:t>2,340</w:t>
            </w:r>
          </w:p>
        </w:tc>
        <w:tc>
          <w:tcPr>
            <w:tcW w:w="809" w:type="pct"/>
            <w:vAlign w:val="center"/>
          </w:tcPr>
          <w:p w14:paraId="6D059344" w14:textId="77777777" w:rsidR="00230B7B" w:rsidRPr="009E25B9" w:rsidRDefault="00230B7B" w:rsidP="00614C5F">
            <w:pPr>
              <w:jc w:val="center"/>
              <w:rPr>
                <w:rFonts w:ascii="Poppins" w:hAnsi="Poppins" w:cs="Poppins"/>
                <w:color w:val="000000"/>
                <w:sz w:val="16"/>
                <w:szCs w:val="16"/>
              </w:rPr>
            </w:pPr>
            <w:r w:rsidRPr="009E25B9">
              <w:rPr>
                <w:rFonts w:ascii="Poppins" w:hAnsi="Poppins" w:cs="Poppins"/>
                <w:color w:val="000000"/>
                <w:sz w:val="16"/>
                <w:szCs w:val="16"/>
              </w:rPr>
              <w:t>-0.07%</w:t>
            </w:r>
          </w:p>
        </w:tc>
        <w:tc>
          <w:tcPr>
            <w:tcW w:w="808" w:type="pct"/>
            <w:vAlign w:val="center"/>
          </w:tcPr>
          <w:p w14:paraId="09EF955D" w14:textId="77777777" w:rsidR="00230B7B" w:rsidRPr="009E25B9" w:rsidRDefault="00230B7B" w:rsidP="00614C5F">
            <w:pPr>
              <w:jc w:val="center"/>
              <w:rPr>
                <w:rFonts w:ascii="Poppins" w:hAnsi="Poppins" w:cs="Poppins"/>
                <w:color w:val="000000"/>
                <w:sz w:val="16"/>
                <w:szCs w:val="16"/>
              </w:rPr>
            </w:pPr>
            <w:r w:rsidRPr="009E25B9">
              <w:rPr>
                <w:rFonts w:ascii="Poppins" w:hAnsi="Poppins" w:cs="Poppins"/>
                <w:color w:val="000000"/>
                <w:sz w:val="16"/>
                <w:szCs w:val="16"/>
              </w:rPr>
              <w:t>4.80%</w:t>
            </w:r>
          </w:p>
        </w:tc>
      </w:tr>
      <w:tr w:rsidR="0047134E" w:rsidRPr="009E25B9" w14:paraId="397AE414" w14:textId="77777777" w:rsidTr="00614C5F">
        <w:trPr>
          <w:cnfStyle w:val="000000010000" w:firstRow="0" w:lastRow="0" w:firstColumn="0" w:lastColumn="0" w:oddVBand="0" w:evenVBand="0" w:oddHBand="0" w:evenHBand="1" w:firstRowFirstColumn="0" w:firstRowLastColumn="0" w:lastRowFirstColumn="0" w:lastRowLastColumn="0"/>
        </w:trPr>
        <w:tc>
          <w:tcPr>
            <w:tcW w:w="1765" w:type="pct"/>
            <w:vAlign w:val="center"/>
          </w:tcPr>
          <w:p w14:paraId="3ED9E99E" w14:textId="55D97C4A" w:rsidR="00230B7B" w:rsidRPr="009E25B9" w:rsidRDefault="00230B7B" w:rsidP="00614C5F">
            <w:pPr>
              <w:rPr>
                <w:sz w:val="16"/>
                <w:szCs w:val="16"/>
              </w:rPr>
            </w:pPr>
            <w:r w:rsidRPr="009E25B9">
              <w:rPr>
                <w:sz w:val="16"/>
                <w:szCs w:val="16"/>
              </w:rPr>
              <w:t>2. Creams and ointments (09f) quantity limited</w:t>
            </w:r>
            <w:r w:rsidR="00F646F9">
              <w:rPr>
                <w:rStyle w:val="FootnoteReference"/>
                <w:sz w:val="16"/>
                <w:szCs w:val="16"/>
              </w:rPr>
              <w:footnoteReference w:id="34"/>
            </w:r>
          </w:p>
        </w:tc>
        <w:tc>
          <w:tcPr>
            <w:tcW w:w="809" w:type="pct"/>
            <w:vAlign w:val="center"/>
          </w:tcPr>
          <w:p w14:paraId="48E43621" w14:textId="77777777" w:rsidR="00230B7B" w:rsidRPr="009956CA" w:rsidRDefault="00230B7B" w:rsidP="00614C5F">
            <w:pPr>
              <w:jc w:val="center"/>
              <w:rPr>
                <w:color w:val="00B050"/>
                <w:sz w:val="16"/>
                <w:szCs w:val="16"/>
              </w:rPr>
            </w:pPr>
            <w:r w:rsidRPr="009956CA">
              <w:rPr>
                <w:rFonts w:ascii="Poppins" w:hAnsi="Poppins" w:cs="Poppins"/>
                <w:color w:val="00B050"/>
                <w:sz w:val="16"/>
                <w:szCs w:val="16"/>
              </w:rPr>
              <w:t>($12,917)</w:t>
            </w:r>
          </w:p>
        </w:tc>
        <w:tc>
          <w:tcPr>
            <w:tcW w:w="809" w:type="pct"/>
            <w:vAlign w:val="center"/>
          </w:tcPr>
          <w:p w14:paraId="75FD60C2" w14:textId="77777777" w:rsidR="00230B7B" w:rsidRPr="009E25B9" w:rsidRDefault="00230B7B" w:rsidP="00614C5F">
            <w:pPr>
              <w:jc w:val="center"/>
              <w:rPr>
                <w:sz w:val="16"/>
                <w:szCs w:val="16"/>
              </w:rPr>
            </w:pPr>
            <w:r w:rsidRPr="009E25B9">
              <w:rPr>
                <w:rFonts w:ascii="Poppins" w:hAnsi="Poppins" w:cs="Poppins"/>
                <w:color w:val="000000"/>
                <w:sz w:val="16"/>
                <w:szCs w:val="16"/>
              </w:rPr>
              <w:t>382</w:t>
            </w:r>
          </w:p>
        </w:tc>
        <w:tc>
          <w:tcPr>
            <w:tcW w:w="809" w:type="pct"/>
            <w:vAlign w:val="center"/>
          </w:tcPr>
          <w:p w14:paraId="1475EB57" w14:textId="77777777" w:rsidR="00230B7B" w:rsidRPr="009E25B9" w:rsidRDefault="00230B7B" w:rsidP="00614C5F">
            <w:pPr>
              <w:jc w:val="center"/>
              <w:rPr>
                <w:rFonts w:ascii="Poppins" w:hAnsi="Poppins" w:cs="Poppins"/>
                <w:color w:val="000000"/>
                <w:sz w:val="16"/>
                <w:szCs w:val="16"/>
              </w:rPr>
            </w:pPr>
            <w:r w:rsidRPr="009E25B9">
              <w:rPr>
                <w:rFonts w:ascii="Poppins" w:hAnsi="Poppins" w:cs="Poppins"/>
                <w:color w:val="000000"/>
                <w:sz w:val="16"/>
                <w:szCs w:val="16"/>
              </w:rPr>
              <w:t>-0.01%</w:t>
            </w:r>
          </w:p>
        </w:tc>
        <w:tc>
          <w:tcPr>
            <w:tcW w:w="808" w:type="pct"/>
            <w:vAlign w:val="center"/>
          </w:tcPr>
          <w:p w14:paraId="0AD21BA3" w14:textId="77777777" w:rsidR="00230B7B" w:rsidRPr="009E25B9" w:rsidRDefault="00230B7B" w:rsidP="00614C5F">
            <w:pPr>
              <w:jc w:val="center"/>
              <w:rPr>
                <w:rFonts w:ascii="Poppins" w:hAnsi="Poppins" w:cs="Poppins"/>
                <w:color w:val="000000"/>
                <w:sz w:val="16"/>
                <w:szCs w:val="16"/>
              </w:rPr>
            </w:pPr>
            <w:r w:rsidRPr="009E25B9">
              <w:rPr>
                <w:rFonts w:ascii="Poppins" w:hAnsi="Poppins" w:cs="Poppins"/>
                <w:color w:val="000000"/>
                <w:sz w:val="16"/>
                <w:szCs w:val="16"/>
              </w:rPr>
              <w:t>0.78%</w:t>
            </w:r>
          </w:p>
        </w:tc>
      </w:tr>
      <w:tr w:rsidR="0047134E" w:rsidRPr="009E25B9" w14:paraId="38F8E897" w14:textId="77777777" w:rsidTr="00614C5F">
        <w:tc>
          <w:tcPr>
            <w:tcW w:w="1765" w:type="pct"/>
            <w:vAlign w:val="center"/>
          </w:tcPr>
          <w:p w14:paraId="3A8C9F05" w14:textId="7FB7D5C8" w:rsidR="00230B7B" w:rsidRPr="009E25B9" w:rsidRDefault="00230B7B" w:rsidP="00614C5F">
            <w:pPr>
              <w:rPr>
                <w:sz w:val="16"/>
                <w:szCs w:val="16"/>
              </w:rPr>
            </w:pPr>
            <w:r w:rsidRPr="009E25B9">
              <w:rPr>
                <w:sz w:val="16"/>
                <w:szCs w:val="16"/>
              </w:rPr>
              <w:t>3. Catheters (08c) removed</w:t>
            </w:r>
            <w:r w:rsidR="001135EC">
              <w:rPr>
                <w:rStyle w:val="FootnoteReference"/>
                <w:sz w:val="16"/>
                <w:szCs w:val="16"/>
              </w:rPr>
              <w:footnoteReference w:id="35"/>
            </w:r>
          </w:p>
        </w:tc>
        <w:tc>
          <w:tcPr>
            <w:tcW w:w="809" w:type="pct"/>
            <w:vAlign w:val="center"/>
          </w:tcPr>
          <w:p w14:paraId="3FBD4ECB" w14:textId="77777777" w:rsidR="00230B7B" w:rsidRPr="009956CA" w:rsidRDefault="00230B7B" w:rsidP="00614C5F">
            <w:pPr>
              <w:jc w:val="center"/>
              <w:rPr>
                <w:color w:val="00B050"/>
                <w:sz w:val="16"/>
                <w:szCs w:val="16"/>
              </w:rPr>
            </w:pPr>
            <w:r w:rsidRPr="009956CA">
              <w:rPr>
                <w:rFonts w:ascii="Poppins" w:hAnsi="Poppins" w:cs="Poppins"/>
                <w:color w:val="00B050"/>
                <w:sz w:val="16"/>
                <w:szCs w:val="16"/>
              </w:rPr>
              <w:t>($647,740)</w:t>
            </w:r>
          </w:p>
        </w:tc>
        <w:tc>
          <w:tcPr>
            <w:tcW w:w="809" w:type="pct"/>
            <w:vAlign w:val="center"/>
          </w:tcPr>
          <w:p w14:paraId="5C84A2A1" w14:textId="77777777" w:rsidR="00230B7B" w:rsidRPr="009E25B9" w:rsidRDefault="00230B7B" w:rsidP="00614C5F">
            <w:pPr>
              <w:jc w:val="center"/>
              <w:rPr>
                <w:sz w:val="16"/>
                <w:szCs w:val="16"/>
              </w:rPr>
            </w:pPr>
            <w:r w:rsidRPr="009E25B9">
              <w:rPr>
                <w:rFonts w:ascii="Poppins" w:hAnsi="Poppins" w:cs="Poppins"/>
                <w:color w:val="000000"/>
                <w:sz w:val="16"/>
                <w:szCs w:val="16"/>
              </w:rPr>
              <w:t>621</w:t>
            </w:r>
          </w:p>
        </w:tc>
        <w:tc>
          <w:tcPr>
            <w:tcW w:w="809" w:type="pct"/>
            <w:vAlign w:val="center"/>
          </w:tcPr>
          <w:p w14:paraId="675FCF01" w14:textId="77777777" w:rsidR="00230B7B" w:rsidRPr="009E25B9" w:rsidRDefault="00230B7B" w:rsidP="00614C5F">
            <w:pPr>
              <w:jc w:val="center"/>
              <w:rPr>
                <w:rFonts w:ascii="Poppins" w:hAnsi="Poppins" w:cs="Poppins"/>
                <w:color w:val="000000"/>
                <w:sz w:val="16"/>
                <w:szCs w:val="16"/>
              </w:rPr>
            </w:pPr>
            <w:r w:rsidRPr="009E25B9">
              <w:rPr>
                <w:rFonts w:ascii="Poppins" w:hAnsi="Poppins" w:cs="Poppins"/>
                <w:color w:val="000000"/>
                <w:sz w:val="16"/>
                <w:szCs w:val="16"/>
              </w:rPr>
              <w:t>-0.59%</w:t>
            </w:r>
          </w:p>
        </w:tc>
        <w:tc>
          <w:tcPr>
            <w:tcW w:w="808" w:type="pct"/>
            <w:vAlign w:val="center"/>
          </w:tcPr>
          <w:p w14:paraId="6195555E" w14:textId="77777777" w:rsidR="00230B7B" w:rsidRPr="009E25B9" w:rsidRDefault="00230B7B" w:rsidP="00614C5F">
            <w:pPr>
              <w:jc w:val="center"/>
              <w:rPr>
                <w:rFonts w:ascii="Poppins" w:hAnsi="Poppins" w:cs="Poppins"/>
                <w:color w:val="000000"/>
                <w:sz w:val="16"/>
                <w:szCs w:val="16"/>
              </w:rPr>
            </w:pPr>
            <w:r w:rsidRPr="009E25B9">
              <w:rPr>
                <w:rFonts w:ascii="Poppins" w:hAnsi="Poppins" w:cs="Poppins"/>
                <w:color w:val="000000"/>
                <w:sz w:val="16"/>
                <w:szCs w:val="16"/>
              </w:rPr>
              <w:t>1.27%</w:t>
            </w:r>
          </w:p>
        </w:tc>
      </w:tr>
      <w:tr w:rsidR="0047134E" w:rsidRPr="009E25B9" w14:paraId="07E6889D" w14:textId="77777777" w:rsidTr="00614C5F">
        <w:trPr>
          <w:cnfStyle w:val="000000010000" w:firstRow="0" w:lastRow="0" w:firstColumn="0" w:lastColumn="0" w:oddVBand="0" w:evenVBand="0" w:oddHBand="0" w:evenHBand="1" w:firstRowFirstColumn="0" w:firstRowLastColumn="0" w:lastRowFirstColumn="0" w:lastRowLastColumn="0"/>
        </w:trPr>
        <w:tc>
          <w:tcPr>
            <w:tcW w:w="1765" w:type="pct"/>
            <w:vAlign w:val="center"/>
          </w:tcPr>
          <w:p w14:paraId="3FFFC2D8" w14:textId="372B10CB" w:rsidR="00230B7B" w:rsidRPr="009E25B9" w:rsidRDefault="00230B7B" w:rsidP="00614C5F">
            <w:pPr>
              <w:rPr>
                <w:sz w:val="16"/>
                <w:szCs w:val="16"/>
              </w:rPr>
            </w:pPr>
            <w:r w:rsidRPr="009E25B9">
              <w:rPr>
                <w:sz w:val="16"/>
                <w:szCs w:val="16"/>
              </w:rPr>
              <w:t>4. Deodorants (09g) removed</w:t>
            </w:r>
            <w:r w:rsidR="002600E5">
              <w:rPr>
                <w:rStyle w:val="FootnoteReference"/>
                <w:sz w:val="16"/>
                <w:szCs w:val="16"/>
              </w:rPr>
              <w:footnoteReference w:id="36"/>
            </w:r>
          </w:p>
        </w:tc>
        <w:tc>
          <w:tcPr>
            <w:tcW w:w="809" w:type="pct"/>
            <w:vAlign w:val="center"/>
          </w:tcPr>
          <w:p w14:paraId="51E2B814" w14:textId="77777777" w:rsidR="00230B7B" w:rsidRPr="009956CA" w:rsidRDefault="00230B7B" w:rsidP="00614C5F">
            <w:pPr>
              <w:jc w:val="center"/>
              <w:rPr>
                <w:color w:val="00B050"/>
                <w:sz w:val="16"/>
                <w:szCs w:val="16"/>
              </w:rPr>
            </w:pPr>
            <w:r w:rsidRPr="009956CA">
              <w:rPr>
                <w:rFonts w:ascii="Poppins" w:hAnsi="Poppins" w:cs="Poppins"/>
                <w:color w:val="00B050"/>
                <w:sz w:val="16"/>
                <w:szCs w:val="16"/>
              </w:rPr>
              <w:t>($480,380)</w:t>
            </w:r>
          </w:p>
        </w:tc>
        <w:tc>
          <w:tcPr>
            <w:tcW w:w="809" w:type="pct"/>
            <w:vAlign w:val="center"/>
          </w:tcPr>
          <w:p w14:paraId="01BCA86B" w14:textId="77777777" w:rsidR="00230B7B" w:rsidRPr="009E25B9" w:rsidRDefault="00230B7B" w:rsidP="00614C5F">
            <w:pPr>
              <w:jc w:val="center"/>
              <w:rPr>
                <w:sz w:val="16"/>
                <w:szCs w:val="16"/>
              </w:rPr>
            </w:pPr>
            <w:r w:rsidRPr="009E25B9">
              <w:rPr>
                <w:rFonts w:ascii="Poppins" w:hAnsi="Poppins" w:cs="Poppins"/>
                <w:color w:val="000000"/>
                <w:sz w:val="16"/>
                <w:szCs w:val="16"/>
              </w:rPr>
              <w:t>9,051</w:t>
            </w:r>
          </w:p>
        </w:tc>
        <w:tc>
          <w:tcPr>
            <w:tcW w:w="809" w:type="pct"/>
            <w:vAlign w:val="center"/>
          </w:tcPr>
          <w:p w14:paraId="3D95B97C" w14:textId="77777777" w:rsidR="00230B7B" w:rsidRPr="009E25B9" w:rsidRDefault="00230B7B" w:rsidP="00614C5F">
            <w:pPr>
              <w:jc w:val="center"/>
              <w:rPr>
                <w:rFonts w:ascii="Poppins" w:hAnsi="Poppins" w:cs="Poppins"/>
                <w:color w:val="000000"/>
                <w:sz w:val="16"/>
                <w:szCs w:val="16"/>
              </w:rPr>
            </w:pPr>
            <w:r w:rsidRPr="009E25B9">
              <w:rPr>
                <w:rFonts w:ascii="Poppins" w:hAnsi="Poppins" w:cs="Poppins"/>
                <w:color w:val="000000"/>
                <w:sz w:val="16"/>
                <w:szCs w:val="16"/>
              </w:rPr>
              <w:t>-0.44%</w:t>
            </w:r>
          </w:p>
        </w:tc>
        <w:tc>
          <w:tcPr>
            <w:tcW w:w="808" w:type="pct"/>
            <w:vAlign w:val="center"/>
          </w:tcPr>
          <w:p w14:paraId="33F98EC2" w14:textId="77777777" w:rsidR="00230B7B" w:rsidRPr="009E25B9" w:rsidRDefault="00230B7B" w:rsidP="00614C5F">
            <w:pPr>
              <w:jc w:val="center"/>
              <w:rPr>
                <w:rFonts w:ascii="Poppins" w:hAnsi="Poppins" w:cs="Poppins"/>
                <w:color w:val="000000"/>
                <w:sz w:val="16"/>
                <w:szCs w:val="16"/>
              </w:rPr>
            </w:pPr>
            <w:r w:rsidRPr="009E25B9">
              <w:rPr>
                <w:rFonts w:ascii="Poppins" w:hAnsi="Poppins" w:cs="Poppins"/>
                <w:color w:val="000000"/>
                <w:sz w:val="16"/>
                <w:szCs w:val="16"/>
              </w:rPr>
              <w:t>18.56%</w:t>
            </w:r>
          </w:p>
        </w:tc>
      </w:tr>
      <w:tr w:rsidR="0047134E" w:rsidRPr="009E25B9" w14:paraId="5E1B9F21" w14:textId="77777777" w:rsidTr="00614C5F">
        <w:tc>
          <w:tcPr>
            <w:tcW w:w="1765" w:type="pct"/>
            <w:vAlign w:val="center"/>
          </w:tcPr>
          <w:p w14:paraId="3213A43C" w14:textId="77777777" w:rsidR="00230B7B" w:rsidRPr="009E25B9" w:rsidRDefault="00230B7B" w:rsidP="00614C5F">
            <w:pPr>
              <w:rPr>
                <w:sz w:val="16"/>
                <w:szCs w:val="16"/>
              </w:rPr>
            </w:pPr>
            <w:r w:rsidRPr="009E25B9">
              <w:rPr>
                <w:sz w:val="16"/>
                <w:szCs w:val="16"/>
              </w:rPr>
              <w:t>5. Cleanser wipes removed (03568T, 09981H, 03520G, 80125D)</w:t>
            </w:r>
          </w:p>
        </w:tc>
        <w:tc>
          <w:tcPr>
            <w:tcW w:w="809" w:type="pct"/>
            <w:vAlign w:val="center"/>
          </w:tcPr>
          <w:p w14:paraId="36906A4A" w14:textId="77777777" w:rsidR="00230B7B" w:rsidRPr="009956CA" w:rsidRDefault="00230B7B" w:rsidP="00614C5F">
            <w:pPr>
              <w:jc w:val="center"/>
              <w:rPr>
                <w:color w:val="00B050"/>
                <w:sz w:val="16"/>
                <w:szCs w:val="16"/>
              </w:rPr>
            </w:pPr>
            <w:r w:rsidRPr="009956CA">
              <w:rPr>
                <w:rFonts w:ascii="Poppins" w:hAnsi="Poppins" w:cs="Poppins"/>
                <w:color w:val="00B050"/>
                <w:sz w:val="16"/>
                <w:szCs w:val="16"/>
              </w:rPr>
              <w:t>($3,786,367)</w:t>
            </w:r>
          </w:p>
        </w:tc>
        <w:tc>
          <w:tcPr>
            <w:tcW w:w="809" w:type="pct"/>
            <w:vAlign w:val="center"/>
          </w:tcPr>
          <w:p w14:paraId="5D4A6037" w14:textId="77777777" w:rsidR="00230B7B" w:rsidRPr="009E25B9" w:rsidRDefault="00230B7B" w:rsidP="00614C5F">
            <w:pPr>
              <w:jc w:val="center"/>
              <w:rPr>
                <w:sz w:val="16"/>
                <w:szCs w:val="16"/>
              </w:rPr>
            </w:pPr>
            <w:r w:rsidRPr="009E25B9">
              <w:rPr>
                <w:rFonts w:ascii="Poppins" w:hAnsi="Poppins" w:cs="Poppins"/>
                <w:color w:val="000000"/>
                <w:sz w:val="16"/>
                <w:szCs w:val="16"/>
              </w:rPr>
              <w:t>19,229</w:t>
            </w:r>
          </w:p>
        </w:tc>
        <w:tc>
          <w:tcPr>
            <w:tcW w:w="809" w:type="pct"/>
            <w:vAlign w:val="center"/>
          </w:tcPr>
          <w:p w14:paraId="0959F4D3" w14:textId="77777777" w:rsidR="00230B7B" w:rsidRPr="009E25B9" w:rsidRDefault="00230B7B" w:rsidP="00614C5F">
            <w:pPr>
              <w:jc w:val="center"/>
              <w:rPr>
                <w:rFonts w:ascii="Poppins" w:hAnsi="Poppins" w:cs="Poppins"/>
                <w:color w:val="000000"/>
                <w:sz w:val="16"/>
                <w:szCs w:val="16"/>
              </w:rPr>
            </w:pPr>
            <w:r w:rsidRPr="009E25B9">
              <w:rPr>
                <w:rFonts w:ascii="Poppins" w:hAnsi="Poppins" w:cs="Poppins"/>
                <w:color w:val="000000"/>
                <w:sz w:val="16"/>
                <w:szCs w:val="16"/>
              </w:rPr>
              <w:t>-3.44%</w:t>
            </w:r>
          </w:p>
        </w:tc>
        <w:tc>
          <w:tcPr>
            <w:tcW w:w="808" w:type="pct"/>
            <w:vAlign w:val="center"/>
          </w:tcPr>
          <w:p w14:paraId="5B120A22" w14:textId="77777777" w:rsidR="00230B7B" w:rsidRPr="009E25B9" w:rsidRDefault="00230B7B" w:rsidP="00614C5F">
            <w:pPr>
              <w:jc w:val="center"/>
              <w:rPr>
                <w:rFonts w:ascii="Poppins" w:hAnsi="Poppins" w:cs="Poppins"/>
                <w:color w:val="000000"/>
                <w:sz w:val="16"/>
                <w:szCs w:val="16"/>
              </w:rPr>
            </w:pPr>
            <w:r w:rsidRPr="009E25B9">
              <w:rPr>
                <w:rFonts w:ascii="Poppins" w:hAnsi="Poppins" w:cs="Poppins"/>
                <w:color w:val="000000"/>
                <w:sz w:val="16"/>
                <w:szCs w:val="16"/>
              </w:rPr>
              <w:t>39.43%</w:t>
            </w:r>
          </w:p>
        </w:tc>
      </w:tr>
      <w:tr w:rsidR="0047134E" w:rsidRPr="009E25B9" w14:paraId="5CC3BB5D" w14:textId="77777777" w:rsidTr="00614C5F">
        <w:trPr>
          <w:cnfStyle w:val="000000010000" w:firstRow="0" w:lastRow="0" w:firstColumn="0" w:lastColumn="0" w:oddVBand="0" w:evenVBand="0" w:oddHBand="0" w:evenHBand="1" w:firstRowFirstColumn="0" w:firstRowLastColumn="0" w:lastRowFirstColumn="0" w:lastRowLastColumn="0"/>
        </w:trPr>
        <w:tc>
          <w:tcPr>
            <w:tcW w:w="1765" w:type="pct"/>
            <w:vAlign w:val="center"/>
          </w:tcPr>
          <w:p w14:paraId="64B49A97" w14:textId="5532D40B" w:rsidR="00230B7B" w:rsidRPr="009E25B9" w:rsidRDefault="00230B7B" w:rsidP="00614C5F">
            <w:pPr>
              <w:rPr>
                <w:sz w:val="16"/>
                <w:szCs w:val="16"/>
              </w:rPr>
            </w:pPr>
            <w:r w:rsidRPr="009E25B9">
              <w:rPr>
                <w:sz w:val="16"/>
                <w:szCs w:val="16"/>
              </w:rPr>
              <w:t>6. Removal of low</w:t>
            </w:r>
            <w:r w:rsidR="003A664D">
              <w:rPr>
                <w:sz w:val="16"/>
                <w:szCs w:val="16"/>
              </w:rPr>
              <w:t>-</w:t>
            </w:r>
            <w:r w:rsidRPr="009E25B9">
              <w:rPr>
                <w:sz w:val="16"/>
                <w:szCs w:val="16"/>
              </w:rPr>
              <w:t>utilisation products (&lt;</w:t>
            </w:r>
            <w:r w:rsidR="00DB1AED">
              <w:rPr>
                <w:sz w:val="16"/>
                <w:szCs w:val="16"/>
              </w:rPr>
              <w:t>2</w:t>
            </w:r>
            <w:r w:rsidRPr="009E25B9">
              <w:rPr>
                <w:sz w:val="16"/>
                <w:szCs w:val="16"/>
              </w:rPr>
              <w:t xml:space="preserve">0 </w:t>
            </w:r>
            <w:r w:rsidR="00DB1AED">
              <w:rPr>
                <w:sz w:val="16"/>
                <w:szCs w:val="16"/>
              </w:rPr>
              <w:t>total</w:t>
            </w:r>
            <w:r w:rsidR="00DB1AED" w:rsidRPr="009E25B9">
              <w:rPr>
                <w:sz w:val="16"/>
                <w:szCs w:val="16"/>
              </w:rPr>
              <w:t xml:space="preserve"> </w:t>
            </w:r>
            <w:r w:rsidRPr="009E25B9">
              <w:rPr>
                <w:sz w:val="16"/>
                <w:szCs w:val="16"/>
              </w:rPr>
              <w:t>per annum)</w:t>
            </w:r>
            <w:r w:rsidR="00EC3DD0">
              <w:rPr>
                <w:rStyle w:val="FootnoteReference"/>
                <w:sz w:val="16"/>
                <w:szCs w:val="16"/>
              </w:rPr>
              <w:footnoteReference w:id="37"/>
            </w:r>
          </w:p>
        </w:tc>
        <w:tc>
          <w:tcPr>
            <w:tcW w:w="809" w:type="pct"/>
            <w:vAlign w:val="center"/>
          </w:tcPr>
          <w:p w14:paraId="7F9B7861" w14:textId="1F56B79E" w:rsidR="00230B7B" w:rsidRPr="009956CA" w:rsidRDefault="00976E2D" w:rsidP="00614C5F">
            <w:pPr>
              <w:jc w:val="center"/>
              <w:rPr>
                <w:color w:val="00B050"/>
                <w:sz w:val="16"/>
                <w:szCs w:val="16"/>
              </w:rPr>
            </w:pPr>
            <w:r w:rsidRPr="00976E2D">
              <w:rPr>
                <w:rFonts w:ascii="Poppins" w:hAnsi="Poppins" w:cs="Poppins"/>
                <w:color w:val="00B050"/>
                <w:sz w:val="16"/>
                <w:szCs w:val="16"/>
              </w:rPr>
              <w:t>($6,076)</w:t>
            </w:r>
          </w:p>
        </w:tc>
        <w:tc>
          <w:tcPr>
            <w:tcW w:w="809" w:type="pct"/>
            <w:vAlign w:val="center"/>
          </w:tcPr>
          <w:p w14:paraId="0A66262A" w14:textId="510EBEC2" w:rsidR="00230B7B" w:rsidRPr="009E25B9" w:rsidRDefault="001051AE" w:rsidP="00614C5F">
            <w:pPr>
              <w:jc w:val="center"/>
              <w:rPr>
                <w:sz w:val="16"/>
                <w:szCs w:val="16"/>
              </w:rPr>
            </w:pPr>
            <w:r>
              <w:rPr>
                <w:rFonts w:ascii="Poppins" w:hAnsi="Poppins" w:cs="Poppins"/>
                <w:color w:val="000000"/>
                <w:sz w:val="16"/>
                <w:szCs w:val="16"/>
              </w:rPr>
              <w:t>45</w:t>
            </w:r>
          </w:p>
        </w:tc>
        <w:tc>
          <w:tcPr>
            <w:tcW w:w="809" w:type="pct"/>
            <w:vAlign w:val="center"/>
          </w:tcPr>
          <w:p w14:paraId="0BD2D5BA" w14:textId="3DB8FE9B" w:rsidR="00230B7B" w:rsidRPr="009E25B9" w:rsidRDefault="00230B7B" w:rsidP="00614C5F">
            <w:pPr>
              <w:jc w:val="center"/>
              <w:rPr>
                <w:rFonts w:ascii="Poppins" w:hAnsi="Poppins" w:cs="Poppins"/>
                <w:color w:val="000000"/>
                <w:sz w:val="16"/>
                <w:szCs w:val="16"/>
              </w:rPr>
            </w:pPr>
            <w:r w:rsidRPr="009E25B9">
              <w:rPr>
                <w:rFonts w:ascii="Poppins" w:hAnsi="Poppins" w:cs="Poppins"/>
                <w:color w:val="000000"/>
                <w:sz w:val="16"/>
                <w:szCs w:val="16"/>
              </w:rPr>
              <w:t>-0.0</w:t>
            </w:r>
            <w:r w:rsidR="007B0A94">
              <w:rPr>
                <w:rFonts w:ascii="Poppins" w:hAnsi="Poppins" w:cs="Poppins"/>
                <w:color w:val="000000"/>
                <w:sz w:val="16"/>
                <w:szCs w:val="16"/>
              </w:rPr>
              <w:t>1</w:t>
            </w:r>
            <w:r w:rsidRPr="009E25B9">
              <w:rPr>
                <w:rFonts w:ascii="Poppins" w:hAnsi="Poppins" w:cs="Poppins"/>
                <w:color w:val="000000"/>
                <w:sz w:val="16"/>
                <w:szCs w:val="16"/>
              </w:rPr>
              <w:t>%</w:t>
            </w:r>
          </w:p>
        </w:tc>
        <w:tc>
          <w:tcPr>
            <w:tcW w:w="808" w:type="pct"/>
            <w:vAlign w:val="center"/>
          </w:tcPr>
          <w:p w14:paraId="325E0A73" w14:textId="7D0C49E3" w:rsidR="00230B7B" w:rsidRPr="009E25B9" w:rsidRDefault="00230B7B" w:rsidP="00614C5F">
            <w:pPr>
              <w:jc w:val="center"/>
              <w:rPr>
                <w:rFonts w:ascii="Poppins" w:hAnsi="Poppins" w:cs="Poppins"/>
                <w:color w:val="000000"/>
                <w:sz w:val="16"/>
                <w:szCs w:val="16"/>
              </w:rPr>
            </w:pPr>
            <w:r w:rsidRPr="009E25B9">
              <w:rPr>
                <w:rFonts w:ascii="Poppins" w:hAnsi="Poppins" w:cs="Poppins"/>
                <w:color w:val="000000"/>
                <w:sz w:val="16"/>
                <w:szCs w:val="16"/>
              </w:rPr>
              <w:t>0.</w:t>
            </w:r>
            <w:r w:rsidR="00AC0310">
              <w:rPr>
                <w:rFonts w:ascii="Poppins" w:hAnsi="Poppins" w:cs="Poppins"/>
                <w:color w:val="000000"/>
                <w:sz w:val="16"/>
                <w:szCs w:val="16"/>
              </w:rPr>
              <w:t>09</w:t>
            </w:r>
            <w:r w:rsidRPr="009E25B9">
              <w:rPr>
                <w:rFonts w:ascii="Poppins" w:hAnsi="Poppins" w:cs="Poppins"/>
                <w:color w:val="000000"/>
                <w:sz w:val="16"/>
                <w:szCs w:val="16"/>
              </w:rPr>
              <w:t>%</w:t>
            </w:r>
          </w:p>
        </w:tc>
      </w:tr>
      <w:tr w:rsidR="0047134E" w:rsidRPr="009E25B9" w14:paraId="1746BE59" w14:textId="77777777" w:rsidTr="00614C5F">
        <w:tc>
          <w:tcPr>
            <w:tcW w:w="1765" w:type="pct"/>
            <w:vAlign w:val="center"/>
          </w:tcPr>
          <w:p w14:paraId="5BF7B39A" w14:textId="7B2E366B" w:rsidR="00230B7B" w:rsidRPr="009E25B9" w:rsidRDefault="00230B7B" w:rsidP="00614C5F">
            <w:pPr>
              <w:rPr>
                <w:sz w:val="16"/>
                <w:szCs w:val="16"/>
              </w:rPr>
            </w:pPr>
            <w:r w:rsidRPr="009E25B9">
              <w:rPr>
                <w:sz w:val="16"/>
                <w:szCs w:val="16"/>
              </w:rPr>
              <w:t xml:space="preserve">7. 50% decrease in </w:t>
            </w:r>
            <w:r w:rsidR="00225FC9" w:rsidRPr="000E7601">
              <w:rPr>
                <w:sz w:val="16"/>
                <w:szCs w:val="16"/>
              </w:rPr>
              <w:t>maximum</w:t>
            </w:r>
            <w:r w:rsidR="00225FC9">
              <w:t xml:space="preserve"> </w:t>
            </w:r>
            <w:r w:rsidRPr="009E25B9">
              <w:rPr>
                <w:sz w:val="16"/>
                <w:szCs w:val="16"/>
              </w:rPr>
              <w:t>quantity of closed bag systems</w:t>
            </w:r>
            <w:r w:rsidR="000C05AE">
              <w:rPr>
                <w:sz w:val="16"/>
                <w:szCs w:val="16"/>
              </w:rPr>
              <w:t xml:space="preserve"> (group 1 and 5)</w:t>
            </w:r>
            <w:r w:rsidR="00040998">
              <w:rPr>
                <w:rStyle w:val="FootnoteReference"/>
                <w:sz w:val="16"/>
                <w:szCs w:val="16"/>
              </w:rPr>
              <w:footnoteReference w:id="38"/>
            </w:r>
          </w:p>
        </w:tc>
        <w:tc>
          <w:tcPr>
            <w:tcW w:w="809" w:type="pct"/>
            <w:vAlign w:val="center"/>
          </w:tcPr>
          <w:p w14:paraId="48B20C76" w14:textId="77777777" w:rsidR="00230B7B" w:rsidRPr="009956CA" w:rsidRDefault="00230B7B" w:rsidP="00614C5F">
            <w:pPr>
              <w:jc w:val="center"/>
              <w:rPr>
                <w:color w:val="00B050"/>
                <w:sz w:val="16"/>
                <w:szCs w:val="16"/>
              </w:rPr>
            </w:pPr>
            <w:r w:rsidRPr="009956CA">
              <w:rPr>
                <w:rFonts w:ascii="Poppins" w:hAnsi="Poppins" w:cs="Poppins"/>
                <w:color w:val="00B050"/>
                <w:sz w:val="16"/>
                <w:szCs w:val="16"/>
              </w:rPr>
              <w:t>($6,744,893)</w:t>
            </w:r>
          </w:p>
        </w:tc>
        <w:tc>
          <w:tcPr>
            <w:tcW w:w="809" w:type="pct"/>
            <w:vAlign w:val="center"/>
          </w:tcPr>
          <w:p w14:paraId="7194EBD2" w14:textId="77777777" w:rsidR="00230B7B" w:rsidRPr="009E25B9" w:rsidRDefault="00230B7B" w:rsidP="00614C5F">
            <w:pPr>
              <w:jc w:val="center"/>
              <w:rPr>
                <w:sz w:val="16"/>
                <w:szCs w:val="16"/>
              </w:rPr>
            </w:pPr>
            <w:r w:rsidRPr="009E25B9">
              <w:rPr>
                <w:rFonts w:ascii="Poppins" w:hAnsi="Poppins" w:cs="Poppins"/>
                <w:color w:val="000000"/>
                <w:sz w:val="16"/>
                <w:szCs w:val="16"/>
              </w:rPr>
              <w:t>7,202</w:t>
            </w:r>
          </w:p>
        </w:tc>
        <w:tc>
          <w:tcPr>
            <w:tcW w:w="809" w:type="pct"/>
            <w:vAlign w:val="center"/>
          </w:tcPr>
          <w:p w14:paraId="7927D923" w14:textId="77777777" w:rsidR="00230B7B" w:rsidRPr="009E25B9" w:rsidRDefault="00230B7B" w:rsidP="00614C5F">
            <w:pPr>
              <w:jc w:val="center"/>
              <w:rPr>
                <w:rFonts w:ascii="Poppins" w:hAnsi="Poppins" w:cs="Poppins"/>
                <w:color w:val="000000"/>
                <w:sz w:val="16"/>
                <w:szCs w:val="16"/>
              </w:rPr>
            </w:pPr>
            <w:r w:rsidRPr="009E25B9">
              <w:rPr>
                <w:rFonts w:ascii="Poppins" w:hAnsi="Poppins" w:cs="Poppins"/>
                <w:color w:val="000000"/>
                <w:sz w:val="16"/>
                <w:szCs w:val="16"/>
              </w:rPr>
              <w:t>-6.14%</w:t>
            </w:r>
          </w:p>
        </w:tc>
        <w:tc>
          <w:tcPr>
            <w:tcW w:w="808" w:type="pct"/>
            <w:vAlign w:val="center"/>
          </w:tcPr>
          <w:p w14:paraId="08C20BAE" w14:textId="77777777" w:rsidR="00230B7B" w:rsidRPr="009E25B9" w:rsidRDefault="00230B7B" w:rsidP="00614C5F">
            <w:pPr>
              <w:jc w:val="center"/>
              <w:rPr>
                <w:rFonts w:ascii="Poppins" w:hAnsi="Poppins" w:cs="Poppins"/>
                <w:color w:val="000000"/>
                <w:sz w:val="16"/>
                <w:szCs w:val="16"/>
              </w:rPr>
            </w:pPr>
            <w:r w:rsidRPr="009E25B9">
              <w:rPr>
                <w:rFonts w:ascii="Poppins" w:hAnsi="Poppins" w:cs="Poppins"/>
                <w:color w:val="000000"/>
                <w:sz w:val="16"/>
                <w:szCs w:val="16"/>
              </w:rPr>
              <w:t>14.77%</w:t>
            </w:r>
          </w:p>
        </w:tc>
      </w:tr>
      <w:tr w:rsidR="0047134E" w:rsidRPr="009E25B9" w14:paraId="48D9DE4D" w14:textId="77777777" w:rsidTr="00614C5F">
        <w:trPr>
          <w:cnfStyle w:val="000000010000" w:firstRow="0" w:lastRow="0" w:firstColumn="0" w:lastColumn="0" w:oddVBand="0" w:evenVBand="0" w:oddHBand="0" w:evenHBand="1" w:firstRowFirstColumn="0" w:firstRowLastColumn="0" w:lastRowFirstColumn="0" w:lastRowLastColumn="0"/>
        </w:trPr>
        <w:tc>
          <w:tcPr>
            <w:tcW w:w="1765" w:type="pct"/>
            <w:vAlign w:val="center"/>
          </w:tcPr>
          <w:p w14:paraId="10010F49" w14:textId="5DB4C9FB" w:rsidR="00230B7B" w:rsidRPr="009E25B9" w:rsidRDefault="00230B7B" w:rsidP="00614C5F">
            <w:pPr>
              <w:rPr>
                <w:sz w:val="16"/>
                <w:szCs w:val="16"/>
              </w:rPr>
            </w:pPr>
            <w:r w:rsidRPr="009E25B9">
              <w:rPr>
                <w:sz w:val="16"/>
                <w:szCs w:val="16"/>
              </w:rPr>
              <w:t xml:space="preserve">8. 100% increase in </w:t>
            </w:r>
            <w:r w:rsidR="00344790">
              <w:rPr>
                <w:sz w:val="16"/>
                <w:szCs w:val="16"/>
              </w:rPr>
              <w:t>maximum</w:t>
            </w:r>
            <w:r w:rsidR="00344790" w:rsidRPr="009E25B9">
              <w:rPr>
                <w:sz w:val="16"/>
                <w:szCs w:val="16"/>
              </w:rPr>
              <w:t xml:space="preserve"> </w:t>
            </w:r>
            <w:r w:rsidRPr="009E25B9">
              <w:rPr>
                <w:sz w:val="16"/>
                <w:szCs w:val="16"/>
              </w:rPr>
              <w:t>quantity of plug systems (08a)</w:t>
            </w:r>
            <w:r w:rsidR="008C004C">
              <w:rPr>
                <w:rStyle w:val="FootnoteReference"/>
                <w:sz w:val="16"/>
                <w:szCs w:val="16"/>
              </w:rPr>
              <w:footnoteReference w:id="39"/>
            </w:r>
          </w:p>
        </w:tc>
        <w:tc>
          <w:tcPr>
            <w:tcW w:w="809" w:type="pct"/>
            <w:vAlign w:val="center"/>
          </w:tcPr>
          <w:p w14:paraId="13B42AC8" w14:textId="5B7B718A" w:rsidR="00230B7B" w:rsidRPr="009956CA" w:rsidRDefault="0094764D" w:rsidP="00614C5F">
            <w:pPr>
              <w:jc w:val="center"/>
              <w:rPr>
                <w:color w:val="C60C30" w:themeColor="accent2"/>
                <w:sz w:val="16"/>
                <w:szCs w:val="16"/>
              </w:rPr>
            </w:pPr>
            <w:r>
              <w:rPr>
                <w:rFonts w:ascii="Poppins" w:hAnsi="Poppins" w:cs="Poppins"/>
                <w:color w:val="C60C30" w:themeColor="accent2"/>
                <w:sz w:val="16"/>
                <w:szCs w:val="16"/>
              </w:rPr>
              <w:t>+</w:t>
            </w:r>
            <w:r w:rsidRPr="0094764D">
              <w:rPr>
                <w:rFonts w:ascii="Poppins" w:hAnsi="Poppins" w:cs="Poppins"/>
                <w:color w:val="C60C30" w:themeColor="accent2"/>
                <w:sz w:val="16"/>
                <w:szCs w:val="16"/>
              </w:rPr>
              <w:t>$7,255</w:t>
            </w:r>
          </w:p>
        </w:tc>
        <w:tc>
          <w:tcPr>
            <w:tcW w:w="809" w:type="pct"/>
            <w:vAlign w:val="center"/>
          </w:tcPr>
          <w:p w14:paraId="01D9E42C" w14:textId="29BFA083" w:rsidR="00230B7B" w:rsidRPr="009E25B9" w:rsidRDefault="004874B7" w:rsidP="00614C5F">
            <w:pPr>
              <w:jc w:val="center"/>
              <w:rPr>
                <w:sz w:val="16"/>
                <w:szCs w:val="16"/>
              </w:rPr>
            </w:pPr>
            <w:r w:rsidRPr="004874B7">
              <w:rPr>
                <w:rFonts w:ascii="Poppins" w:hAnsi="Poppins" w:cs="Poppins"/>
                <w:color w:val="000000"/>
                <w:sz w:val="16"/>
                <w:szCs w:val="16"/>
              </w:rPr>
              <w:t>47</w:t>
            </w:r>
          </w:p>
        </w:tc>
        <w:tc>
          <w:tcPr>
            <w:tcW w:w="809" w:type="pct"/>
            <w:vAlign w:val="center"/>
          </w:tcPr>
          <w:p w14:paraId="1F13113A" w14:textId="77777777" w:rsidR="00230B7B" w:rsidRPr="009E25B9" w:rsidRDefault="00230B7B" w:rsidP="00614C5F">
            <w:pPr>
              <w:jc w:val="center"/>
              <w:rPr>
                <w:rFonts w:ascii="Poppins" w:hAnsi="Poppins" w:cs="Poppins"/>
                <w:color w:val="000000"/>
                <w:sz w:val="16"/>
                <w:szCs w:val="16"/>
              </w:rPr>
            </w:pPr>
            <w:r w:rsidRPr="009E25B9">
              <w:rPr>
                <w:rFonts w:ascii="Poppins" w:hAnsi="Poppins" w:cs="Poppins"/>
                <w:color w:val="000000"/>
                <w:sz w:val="16"/>
                <w:szCs w:val="16"/>
              </w:rPr>
              <w:t>+0.01%</w:t>
            </w:r>
          </w:p>
        </w:tc>
        <w:tc>
          <w:tcPr>
            <w:tcW w:w="808" w:type="pct"/>
            <w:vAlign w:val="center"/>
          </w:tcPr>
          <w:p w14:paraId="39889C1D" w14:textId="377D9237" w:rsidR="00230B7B" w:rsidRPr="009E25B9" w:rsidRDefault="0094764D" w:rsidP="00614C5F">
            <w:pPr>
              <w:jc w:val="center"/>
              <w:rPr>
                <w:rFonts w:ascii="Poppins" w:hAnsi="Poppins" w:cs="Poppins"/>
                <w:color w:val="000000"/>
                <w:sz w:val="16"/>
                <w:szCs w:val="16"/>
              </w:rPr>
            </w:pPr>
            <w:r w:rsidRPr="0094764D">
              <w:rPr>
                <w:rFonts w:ascii="Poppins" w:hAnsi="Poppins" w:cs="Poppins"/>
                <w:color w:val="000000"/>
                <w:sz w:val="16"/>
                <w:szCs w:val="16"/>
              </w:rPr>
              <w:t>0.10%</w:t>
            </w:r>
          </w:p>
        </w:tc>
      </w:tr>
      <w:tr w:rsidR="007619DB" w:rsidRPr="009E25B9" w14:paraId="5A92FF77" w14:textId="77777777" w:rsidTr="00614C5F">
        <w:tc>
          <w:tcPr>
            <w:tcW w:w="1765" w:type="pct"/>
            <w:vAlign w:val="center"/>
          </w:tcPr>
          <w:p w14:paraId="6931FAAD" w14:textId="6A8E42FD" w:rsidR="007619DB" w:rsidRPr="009E25B9" w:rsidRDefault="007619DB" w:rsidP="007619DB">
            <w:pPr>
              <w:rPr>
                <w:sz w:val="16"/>
                <w:szCs w:val="16"/>
              </w:rPr>
            </w:pPr>
            <w:r w:rsidRPr="009E25B9">
              <w:rPr>
                <w:sz w:val="16"/>
                <w:szCs w:val="16"/>
              </w:rPr>
              <w:t xml:space="preserve">9. </w:t>
            </w:r>
            <w:r w:rsidRPr="00CB1794">
              <w:rPr>
                <w:sz w:val="16"/>
                <w:szCs w:val="16"/>
              </w:rPr>
              <w:t>Increase maximum quantity of caps to 90 per month (01a)</w:t>
            </w:r>
          </w:p>
        </w:tc>
        <w:tc>
          <w:tcPr>
            <w:tcW w:w="809" w:type="pct"/>
            <w:vAlign w:val="center"/>
          </w:tcPr>
          <w:p w14:paraId="3D6A9C5C" w14:textId="6EACC9E3" w:rsidR="007619DB" w:rsidRPr="0052037D" w:rsidRDefault="007619DB" w:rsidP="007619DB">
            <w:pPr>
              <w:jc w:val="center"/>
              <w:rPr>
                <w:rFonts w:ascii="Poppins" w:hAnsi="Poppins" w:cs="Poppins"/>
                <w:color w:val="C60C30" w:themeColor="accent2"/>
                <w:sz w:val="16"/>
                <w:szCs w:val="16"/>
              </w:rPr>
            </w:pPr>
            <w:r>
              <w:rPr>
                <w:rFonts w:ascii="Poppins" w:hAnsi="Poppins" w:cs="Poppins"/>
                <w:color w:val="C60C30" w:themeColor="accent2"/>
                <w:sz w:val="16"/>
                <w:szCs w:val="16"/>
              </w:rPr>
              <w:t>+</w:t>
            </w:r>
            <w:r w:rsidRPr="0052037D">
              <w:rPr>
                <w:rFonts w:ascii="Poppins" w:hAnsi="Poppins" w:cs="Poppins"/>
                <w:color w:val="C60C30" w:themeColor="accent2"/>
                <w:sz w:val="16"/>
                <w:szCs w:val="16"/>
              </w:rPr>
              <w:t xml:space="preserve">$6,426 </w:t>
            </w:r>
          </w:p>
        </w:tc>
        <w:tc>
          <w:tcPr>
            <w:tcW w:w="809" w:type="pct"/>
            <w:vAlign w:val="center"/>
          </w:tcPr>
          <w:p w14:paraId="3DFD4346" w14:textId="75C9EB78" w:rsidR="007619DB" w:rsidRPr="0052037D" w:rsidRDefault="007619DB" w:rsidP="007619DB">
            <w:pPr>
              <w:jc w:val="center"/>
              <w:rPr>
                <w:rFonts w:ascii="Poppins" w:hAnsi="Poppins" w:cs="Poppins"/>
                <w:color w:val="000000"/>
                <w:sz w:val="16"/>
                <w:szCs w:val="16"/>
              </w:rPr>
            </w:pPr>
            <w:r w:rsidRPr="0052037D">
              <w:rPr>
                <w:rFonts w:ascii="Poppins" w:hAnsi="Poppins" w:cs="Poppins"/>
                <w:color w:val="000000"/>
                <w:sz w:val="16"/>
                <w:szCs w:val="16"/>
              </w:rPr>
              <w:t>25</w:t>
            </w:r>
          </w:p>
        </w:tc>
        <w:tc>
          <w:tcPr>
            <w:tcW w:w="809" w:type="pct"/>
            <w:vAlign w:val="center"/>
          </w:tcPr>
          <w:p w14:paraId="380AA3B4" w14:textId="5E5B4AE9" w:rsidR="007619DB" w:rsidRPr="009E25B9" w:rsidRDefault="007619DB" w:rsidP="007619DB">
            <w:pPr>
              <w:jc w:val="center"/>
              <w:rPr>
                <w:rFonts w:ascii="Poppins" w:hAnsi="Poppins" w:cs="Poppins"/>
                <w:color w:val="000000"/>
                <w:sz w:val="16"/>
                <w:szCs w:val="16"/>
              </w:rPr>
            </w:pPr>
            <w:r>
              <w:rPr>
                <w:rFonts w:ascii="Poppins" w:hAnsi="Poppins" w:cs="Poppins"/>
                <w:color w:val="000000"/>
                <w:sz w:val="16"/>
                <w:szCs w:val="16"/>
              </w:rPr>
              <w:t>+</w:t>
            </w:r>
            <w:r w:rsidRPr="0052037D">
              <w:rPr>
                <w:rFonts w:ascii="Poppins" w:hAnsi="Poppins" w:cs="Poppins"/>
                <w:color w:val="000000"/>
                <w:sz w:val="16"/>
                <w:szCs w:val="16"/>
              </w:rPr>
              <w:t>0.01%</w:t>
            </w:r>
          </w:p>
        </w:tc>
        <w:tc>
          <w:tcPr>
            <w:tcW w:w="808" w:type="pct"/>
            <w:vAlign w:val="center"/>
          </w:tcPr>
          <w:p w14:paraId="0B3710FA" w14:textId="6F55B145" w:rsidR="007619DB" w:rsidRPr="009E25B9" w:rsidRDefault="007619DB" w:rsidP="007619DB">
            <w:pPr>
              <w:jc w:val="center"/>
              <w:rPr>
                <w:rFonts w:ascii="Poppins" w:hAnsi="Poppins" w:cs="Poppins"/>
                <w:color w:val="000000"/>
                <w:sz w:val="16"/>
                <w:szCs w:val="16"/>
              </w:rPr>
            </w:pPr>
            <w:r w:rsidRPr="0052037D">
              <w:rPr>
                <w:rFonts w:ascii="Poppins" w:hAnsi="Poppins" w:cs="Poppins"/>
                <w:color w:val="000000"/>
                <w:sz w:val="16"/>
                <w:szCs w:val="16"/>
              </w:rPr>
              <w:t>0.05%</w:t>
            </w:r>
          </w:p>
        </w:tc>
      </w:tr>
      <w:tr w:rsidR="007619DB" w:rsidRPr="009E25B9" w14:paraId="78F3CBF6" w14:textId="77777777" w:rsidTr="00614C5F">
        <w:trPr>
          <w:cnfStyle w:val="000000010000" w:firstRow="0" w:lastRow="0" w:firstColumn="0" w:lastColumn="0" w:oddVBand="0" w:evenVBand="0" w:oddHBand="0" w:evenHBand="1" w:firstRowFirstColumn="0" w:firstRowLastColumn="0" w:lastRowFirstColumn="0" w:lastRowLastColumn="0"/>
        </w:trPr>
        <w:tc>
          <w:tcPr>
            <w:tcW w:w="1765" w:type="pct"/>
            <w:vAlign w:val="center"/>
          </w:tcPr>
          <w:p w14:paraId="7243041D" w14:textId="76B075D5" w:rsidR="007619DB" w:rsidRPr="009E25B9" w:rsidRDefault="007619DB" w:rsidP="007619DB">
            <w:pPr>
              <w:rPr>
                <w:sz w:val="16"/>
                <w:szCs w:val="16"/>
              </w:rPr>
            </w:pPr>
            <w:r>
              <w:rPr>
                <w:sz w:val="16"/>
                <w:szCs w:val="16"/>
              </w:rPr>
              <w:t xml:space="preserve">10. </w:t>
            </w:r>
            <w:r w:rsidRPr="0036438C">
              <w:rPr>
                <w:sz w:val="16"/>
                <w:szCs w:val="16"/>
              </w:rPr>
              <w:t>Increase maximum quantity of seals to 90 per month (09l)</w:t>
            </w:r>
          </w:p>
        </w:tc>
        <w:tc>
          <w:tcPr>
            <w:tcW w:w="809" w:type="pct"/>
            <w:vAlign w:val="center"/>
          </w:tcPr>
          <w:p w14:paraId="1001C972" w14:textId="7800C5B8" w:rsidR="007619DB" w:rsidRPr="009956CA" w:rsidRDefault="007619DB" w:rsidP="007619DB">
            <w:pPr>
              <w:jc w:val="center"/>
              <w:rPr>
                <w:rFonts w:ascii="Poppins" w:hAnsi="Poppins" w:cs="Poppins"/>
                <w:color w:val="C60C30" w:themeColor="accent2"/>
                <w:sz w:val="16"/>
                <w:szCs w:val="16"/>
              </w:rPr>
            </w:pPr>
            <w:r>
              <w:rPr>
                <w:rFonts w:ascii="Poppins" w:hAnsi="Poppins" w:cs="Poppins"/>
                <w:color w:val="C60C30" w:themeColor="accent2"/>
                <w:sz w:val="16"/>
                <w:szCs w:val="16"/>
              </w:rPr>
              <w:t>+</w:t>
            </w:r>
            <w:r w:rsidRPr="0052037D">
              <w:rPr>
                <w:rFonts w:ascii="Poppins" w:hAnsi="Poppins" w:cs="Poppins"/>
                <w:color w:val="C60C30" w:themeColor="accent2"/>
                <w:sz w:val="16"/>
                <w:szCs w:val="16"/>
              </w:rPr>
              <w:t xml:space="preserve">$639,515 </w:t>
            </w:r>
          </w:p>
        </w:tc>
        <w:tc>
          <w:tcPr>
            <w:tcW w:w="809" w:type="pct"/>
            <w:vAlign w:val="center"/>
          </w:tcPr>
          <w:p w14:paraId="2F99C619" w14:textId="4FF4305B" w:rsidR="007619DB" w:rsidRPr="009E25B9" w:rsidRDefault="007619DB" w:rsidP="007619DB">
            <w:pPr>
              <w:jc w:val="center"/>
              <w:rPr>
                <w:rFonts w:ascii="Poppins" w:hAnsi="Poppins" w:cs="Poppins"/>
                <w:color w:val="000000"/>
                <w:sz w:val="16"/>
                <w:szCs w:val="16"/>
              </w:rPr>
            </w:pPr>
            <w:r w:rsidRPr="0052037D">
              <w:rPr>
                <w:rFonts w:ascii="Poppins" w:hAnsi="Poppins" w:cs="Poppins"/>
                <w:color w:val="000000"/>
                <w:sz w:val="16"/>
                <w:szCs w:val="16"/>
              </w:rPr>
              <w:t>1,408</w:t>
            </w:r>
          </w:p>
        </w:tc>
        <w:tc>
          <w:tcPr>
            <w:tcW w:w="809" w:type="pct"/>
            <w:vAlign w:val="center"/>
          </w:tcPr>
          <w:p w14:paraId="395182F3" w14:textId="50CEBAD7" w:rsidR="007619DB" w:rsidRPr="009E25B9" w:rsidRDefault="007619DB" w:rsidP="007619DB">
            <w:pPr>
              <w:jc w:val="center"/>
              <w:rPr>
                <w:rFonts w:ascii="Poppins" w:hAnsi="Poppins" w:cs="Poppins"/>
                <w:color w:val="000000"/>
                <w:sz w:val="16"/>
                <w:szCs w:val="16"/>
              </w:rPr>
            </w:pPr>
            <w:r>
              <w:rPr>
                <w:rFonts w:ascii="Poppins" w:hAnsi="Poppins" w:cs="Poppins"/>
                <w:color w:val="000000"/>
                <w:sz w:val="16"/>
                <w:szCs w:val="16"/>
              </w:rPr>
              <w:t>+</w:t>
            </w:r>
            <w:r w:rsidRPr="0052037D">
              <w:rPr>
                <w:rFonts w:ascii="Poppins" w:hAnsi="Poppins" w:cs="Poppins"/>
                <w:color w:val="000000"/>
                <w:sz w:val="16"/>
                <w:szCs w:val="16"/>
              </w:rPr>
              <w:t>0.58%</w:t>
            </w:r>
          </w:p>
        </w:tc>
        <w:tc>
          <w:tcPr>
            <w:tcW w:w="808" w:type="pct"/>
            <w:vAlign w:val="center"/>
          </w:tcPr>
          <w:p w14:paraId="07198444" w14:textId="3418B694" w:rsidR="007619DB" w:rsidRPr="009E25B9" w:rsidRDefault="007619DB" w:rsidP="007619DB">
            <w:pPr>
              <w:jc w:val="center"/>
              <w:rPr>
                <w:rFonts w:ascii="Poppins" w:hAnsi="Poppins" w:cs="Poppins"/>
                <w:color w:val="000000"/>
                <w:sz w:val="16"/>
                <w:szCs w:val="16"/>
              </w:rPr>
            </w:pPr>
            <w:r w:rsidRPr="0052037D">
              <w:rPr>
                <w:rFonts w:ascii="Poppins" w:hAnsi="Poppins" w:cs="Poppins"/>
                <w:color w:val="000000"/>
                <w:sz w:val="16"/>
                <w:szCs w:val="16"/>
              </w:rPr>
              <w:t>2.89%</w:t>
            </w:r>
          </w:p>
        </w:tc>
      </w:tr>
      <w:tr w:rsidR="007619DB" w:rsidRPr="009E25B9" w14:paraId="7E86CFB0" w14:textId="77777777" w:rsidTr="00614C5F">
        <w:tc>
          <w:tcPr>
            <w:tcW w:w="1765" w:type="pct"/>
            <w:vAlign w:val="center"/>
          </w:tcPr>
          <w:p w14:paraId="12404112" w14:textId="15A9BF8F" w:rsidR="007619DB" w:rsidRPr="009E25B9" w:rsidRDefault="007619DB" w:rsidP="007619DB">
            <w:pPr>
              <w:rPr>
                <w:sz w:val="16"/>
                <w:szCs w:val="16"/>
              </w:rPr>
            </w:pPr>
            <w:r>
              <w:rPr>
                <w:sz w:val="16"/>
                <w:szCs w:val="16"/>
              </w:rPr>
              <w:t xml:space="preserve">11. </w:t>
            </w:r>
            <w:r w:rsidRPr="00003F9D">
              <w:rPr>
                <w:sz w:val="16"/>
                <w:szCs w:val="16"/>
              </w:rPr>
              <w:t>Increase maximum quantity of convex bag systems to 90 per month (01c and 03b)</w:t>
            </w:r>
          </w:p>
        </w:tc>
        <w:tc>
          <w:tcPr>
            <w:tcW w:w="809" w:type="pct"/>
            <w:vAlign w:val="center"/>
          </w:tcPr>
          <w:p w14:paraId="460D07E3" w14:textId="59058A65" w:rsidR="007619DB" w:rsidRPr="009956CA" w:rsidRDefault="007619DB" w:rsidP="007619DB">
            <w:pPr>
              <w:jc w:val="center"/>
              <w:rPr>
                <w:rFonts w:ascii="Poppins" w:hAnsi="Poppins" w:cs="Poppins"/>
                <w:color w:val="C60C30" w:themeColor="accent2"/>
                <w:sz w:val="16"/>
                <w:szCs w:val="16"/>
              </w:rPr>
            </w:pPr>
            <w:r>
              <w:rPr>
                <w:rFonts w:ascii="Poppins" w:hAnsi="Poppins" w:cs="Poppins"/>
                <w:color w:val="C60C30" w:themeColor="accent2"/>
                <w:sz w:val="16"/>
                <w:szCs w:val="16"/>
              </w:rPr>
              <w:t>+</w:t>
            </w:r>
            <w:r w:rsidRPr="0052037D">
              <w:rPr>
                <w:rFonts w:ascii="Poppins" w:hAnsi="Poppins" w:cs="Poppins"/>
                <w:color w:val="C60C30" w:themeColor="accent2"/>
                <w:sz w:val="16"/>
                <w:szCs w:val="16"/>
              </w:rPr>
              <w:t xml:space="preserve">$902,978 </w:t>
            </w:r>
          </w:p>
        </w:tc>
        <w:tc>
          <w:tcPr>
            <w:tcW w:w="809" w:type="pct"/>
            <w:vAlign w:val="center"/>
          </w:tcPr>
          <w:p w14:paraId="7CF459B7" w14:textId="65EFF297" w:rsidR="007619DB" w:rsidRPr="009E25B9" w:rsidRDefault="007619DB" w:rsidP="007619DB">
            <w:pPr>
              <w:jc w:val="center"/>
              <w:rPr>
                <w:rFonts w:ascii="Poppins" w:hAnsi="Poppins" w:cs="Poppins"/>
                <w:color w:val="000000"/>
                <w:sz w:val="16"/>
                <w:szCs w:val="16"/>
              </w:rPr>
            </w:pPr>
            <w:r w:rsidRPr="0052037D">
              <w:rPr>
                <w:rFonts w:ascii="Poppins" w:hAnsi="Poppins" w:cs="Poppins"/>
                <w:color w:val="000000"/>
                <w:sz w:val="16"/>
                <w:szCs w:val="16"/>
              </w:rPr>
              <w:t>1,074</w:t>
            </w:r>
          </w:p>
        </w:tc>
        <w:tc>
          <w:tcPr>
            <w:tcW w:w="809" w:type="pct"/>
            <w:vAlign w:val="center"/>
          </w:tcPr>
          <w:p w14:paraId="4522C1E8" w14:textId="767619E9" w:rsidR="007619DB" w:rsidRPr="009E25B9" w:rsidRDefault="007619DB" w:rsidP="007619DB">
            <w:pPr>
              <w:jc w:val="center"/>
              <w:rPr>
                <w:rFonts w:ascii="Poppins" w:hAnsi="Poppins" w:cs="Poppins"/>
                <w:color w:val="000000"/>
                <w:sz w:val="16"/>
                <w:szCs w:val="16"/>
              </w:rPr>
            </w:pPr>
            <w:r>
              <w:rPr>
                <w:rFonts w:ascii="Poppins" w:hAnsi="Poppins" w:cs="Poppins"/>
                <w:color w:val="000000"/>
                <w:sz w:val="16"/>
                <w:szCs w:val="16"/>
              </w:rPr>
              <w:t>+</w:t>
            </w:r>
            <w:r w:rsidRPr="0052037D">
              <w:rPr>
                <w:rFonts w:ascii="Poppins" w:hAnsi="Poppins" w:cs="Poppins"/>
                <w:color w:val="000000"/>
                <w:sz w:val="16"/>
                <w:szCs w:val="16"/>
              </w:rPr>
              <w:t>0.82%</w:t>
            </w:r>
          </w:p>
        </w:tc>
        <w:tc>
          <w:tcPr>
            <w:tcW w:w="808" w:type="pct"/>
            <w:vAlign w:val="center"/>
          </w:tcPr>
          <w:p w14:paraId="6175C802" w14:textId="33211B1E" w:rsidR="007619DB" w:rsidRPr="009E25B9" w:rsidRDefault="007619DB" w:rsidP="007619DB">
            <w:pPr>
              <w:jc w:val="center"/>
              <w:rPr>
                <w:rFonts w:ascii="Poppins" w:hAnsi="Poppins" w:cs="Poppins"/>
                <w:color w:val="000000"/>
                <w:sz w:val="16"/>
                <w:szCs w:val="16"/>
              </w:rPr>
            </w:pPr>
            <w:r w:rsidRPr="0052037D">
              <w:rPr>
                <w:rFonts w:ascii="Poppins" w:hAnsi="Poppins" w:cs="Poppins"/>
                <w:color w:val="000000"/>
                <w:sz w:val="16"/>
                <w:szCs w:val="16"/>
              </w:rPr>
              <w:t>2.20%</w:t>
            </w:r>
          </w:p>
        </w:tc>
      </w:tr>
    </w:tbl>
    <w:p w14:paraId="242774BF" w14:textId="400CE679" w:rsidR="00B834C1" w:rsidRDefault="00217973" w:rsidP="0052037D">
      <w:pPr>
        <w:pStyle w:val="Source"/>
      </w:pPr>
      <w:r w:rsidRPr="002557C9">
        <w:rPr>
          <w:color w:val="auto"/>
        </w:rPr>
        <w:t>Note: green text is cost savings, and red text is additional cost</w:t>
      </w:r>
    </w:p>
    <w:p w14:paraId="0AAA2FCC" w14:textId="00CBC3E9" w:rsidR="0063350A" w:rsidRDefault="0063350A" w:rsidP="0063350A">
      <w:r>
        <w:t>There were two scenarios with cost savings greater than 1%:</w:t>
      </w:r>
    </w:p>
    <w:p w14:paraId="3DF8524B" w14:textId="43C7E11C" w:rsidR="0063350A" w:rsidRDefault="0063350A" w:rsidP="0063350A">
      <w:pPr>
        <w:pStyle w:val="ListBullet"/>
      </w:pPr>
      <w:r w:rsidRPr="004174DE">
        <w:rPr>
          <w:rStyle w:val="Resume3Char"/>
        </w:rPr>
        <w:lastRenderedPageBreak/>
        <w:t>Scenario Five</w:t>
      </w:r>
      <w:r>
        <w:t xml:space="preserve"> (cleanser wipes removed), and</w:t>
      </w:r>
    </w:p>
    <w:p w14:paraId="7A79CF06" w14:textId="7C49E503" w:rsidR="0063350A" w:rsidRDefault="0063350A" w:rsidP="0063350A">
      <w:pPr>
        <w:pStyle w:val="ListBullet"/>
      </w:pPr>
      <w:r w:rsidRPr="004174DE">
        <w:rPr>
          <w:rStyle w:val="Resume3Char"/>
        </w:rPr>
        <w:t>Scenario Seven</w:t>
      </w:r>
      <w:r>
        <w:t xml:space="preserve"> </w:t>
      </w:r>
      <w:r w:rsidRPr="00972318">
        <w:t>(decreasing the maximum quantity of closed bag systems)</w:t>
      </w:r>
      <w:r>
        <w:t>.</w:t>
      </w:r>
    </w:p>
    <w:p w14:paraId="424ED77A" w14:textId="3C82E334" w:rsidR="00102165" w:rsidRDefault="0063350A" w:rsidP="00403AB3">
      <w:pPr>
        <w:pStyle w:val="ListNumber"/>
        <w:numPr>
          <w:ilvl w:val="0"/>
          <w:numId w:val="0"/>
        </w:numPr>
      </w:pPr>
      <w:r>
        <w:t xml:space="preserve">However, these scenarios impacted </w:t>
      </w:r>
      <w:proofErr w:type="gramStart"/>
      <w:r>
        <w:t>a large number of</w:t>
      </w:r>
      <w:proofErr w:type="gramEnd"/>
      <w:r>
        <w:t xml:space="preserve"> ostomates (19,229 and 7,202 ostomates respectively).</w:t>
      </w:r>
      <w:r w:rsidR="00E15BFC">
        <w:t xml:space="preserve"> </w:t>
      </w:r>
      <w:r w:rsidR="00230B7B">
        <w:fldChar w:fldCharType="begin"/>
      </w:r>
      <w:r w:rsidR="00230B7B">
        <w:instrText xml:space="preserve"> REF _Ref157413830 \h </w:instrText>
      </w:r>
      <w:r w:rsidR="00230B7B">
        <w:fldChar w:fldCharType="separate"/>
      </w:r>
      <w:r w:rsidR="00FE1418">
        <w:t xml:space="preserve">Figure </w:t>
      </w:r>
      <w:r w:rsidR="00FE1418">
        <w:rPr>
          <w:noProof/>
        </w:rPr>
        <w:t>13</w:t>
      </w:r>
      <w:r w:rsidR="00230B7B">
        <w:fldChar w:fldCharType="end"/>
      </w:r>
      <w:r w:rsidR="00230B7B">
        <w:t xml:space="preserve"> provides a visual comparison of changes in expenditure compared to impact on ostomates. Red columns represent cost savings, pink columns represent additional costs, and the blue line shows the number of ostomates that would be impacted under each scenario. </w:t>
      </w:r>
      <w:r w:rsidR="00230B7B" w:rsidRPr="0012537A">
        <w:rPr>
          <w:b/>
          <w:bCs/>
        </w:rPr>
        <w:t>Scenarios One, Two, Three, Six</w:t>
      </w:r>
      <w:r w:rsidR="006A45BC">
        <w:rPr>
          <w:b/>
          <w:bCs/>
        </w:rPr>
        <w:t xml:space="preserve">, </w:t>
      </w:r>
      <w:r w:rsidR="00230B7B" w:rsidRPr="0012537A">
        <w:rPr>
          <w:b/>
          <w:bCs/>
        </w:rPr>
        <w:t xml:space="preserve">Eight </w:t>
      </w:r>
      <w:r w:rsidR="00D2481A">
        <w:rPr>
          <w:b/>
          <w:bCs/>
        </w:rPr>
        <w:t>and Nine</w:t>
      </w:r>
      <w:r w:rsidR="00230B7B" w:rsidRPr="0012537A">
        <w:rPr>
          <w:b/>
          <w:bCs/>
        </w:rPr>
        <w:t xml:space="preserve"> have small cost changes and small number of ostomates impacted</w:t>
      </w:r>
      <w:r w:rsidR="00230B7B">
        <w:t>, although notably Scenario Three (removing catheters) has proportionately high savings for the number of ostomates impacted</w:t>
      </w:r>
      <w:r w:rsidR="00230B7B" w:rsidRPr="0012537A">
        <w:rPr>
          <w:b/>
          <w:bCs/>
        </w:rPr>
        <w:t>. Scenario Five (removing cleanser wipes) has high cost</w:t>
      </w:r>
      <w:r w:rsidR="003601DD">
        <w:rPr>
          <w:b/>
          <w:bCs/>
        </w:rPr>
        <w:t>-</w:t>
      </w:r>
      <w:r w:rsidR="00230B7B" w:rsidRPr="0012537A">
        <w:rPr>
          <w:b/>
          <w:bCs/>
        </w:rPr>
        <w:t>saving but the highest impact on ostomates</w:t>
      </w:r>
      <w:r w:rsidR="00230B7B">
        <w:t>.</w:t>
      </w:r>
      <w:r w:rsidR="00DD680C">
        <w:t xml:space="preserve"> </w:t>
      </w:r>
    </w:p>
    <w:p w14:paraId="545F5E5B" w14:textId="2E68CD54" w:rsidR="00230B7B" w:rsidRDefault="00DD680C" w:rsidP="000E7601">
      <w:pPr>
        <w:pStyle w:val="ListNumber"/>
        <w:numPr>
          <w:ilvl w:val="0"/>
          <w:numId w:val="0"/>
        </w:numPr>
      </w:pPr>
      <w:r>
        <w:t xml:space="preserve">It should be noted that </w:t>
      </w:r>
      <w:r w:rsidR="00403AB3">
        <w:t>for</w:t>
      </w:r>
      <w:r>
        <w:t xml:space="preserve"> Scenario </w:t>
      </w:r>
      <w:r w:rsidR="00403AB3">
        <w:t>Six</w:t>
      </w:r>
      <w:r>
        <w:t xml:space="preserve">, removing low-utilisation products would </w:t>
      </w:r>
      <w:r w:rsidR="00403AB3">
        <w:t xml:space="preserve">likely be cost-neutral as ostomates would </w:t>
      </w:r>
      <w:r w:rsidR="00422427">
        <w:t xml:space="preserve">transition to equally priced </w:t>
      </w:r>
      <w:r w:rsidR="00102165">
        <w:t xml:space="preserve">products if no longer available on the Scheme. </w:t>
      </w:r>
    </w:p>
    <w:p w14:paraId="69B3B900" w14:textId="77777777" w:rsidR="00230B7B" w:rsidRDefault="00230B7B" w:rsidP="00230B7B">
      <w:pPr>
        <w:pStyle w:val="BodyText"/>
      </w:pPr>
      <w:r w:rsidRPr="00D65A68">
        <w:t>Importantly, the underlying objective of the Scheme is to provide subsidised products to allow ostomates to live a high-quality life and be able to participate in social and work activities with confidence. Any removal or restriction of products must consider this objective.</w:t>
      </w:r>
    </w:p>
    <w:p w14:paraId="2ECD1D14" w14:textId="054F643B" w:rsidR="00230B7B" w:rsidRDefault="00230B7B" w:rsidP="00230B7B">
      <w:pPr>
        <w:pStyle w:val="Caption"/>
      </w:pPr>
      <w:bookmarkStart w:id="82" w:name="_Ref157413830"/>
      <w:bookmarkStart w:id="83" w:name="_Toc161743137"/>
      <w:r>
        <w:t xml:space="preserve">Figure </w:t>
      </w:r>
      <w:r>
        <w:fldChar w:fldCharType="begin"/>
      </w:r>
      <w:r>
        <w:instrText xml:space="preserve"> SEQ Figure \* ARABIC </w:instrText>
      </w:r>
      <w:r>
        <w:fldChar w:fldCharType="separate"/>
      </w:r>
      <w:r w:rsidR="00FE1418">
        <w:rPr>
          <w:noProof/>
        </w:rPr>
        <w:t>13</w:t>
      </w:r>
      <w:r>
        <w:rPr>
          <w:noProof/>
        </w:rPr>
        <w:fldChar w:fldCharType="end"/>
      </w:r>
      <w:bookmarkEnd w:id="82"/>
      <w:r>
        <w:t xml:space="preserve">: Access </w:t>
      </w:r>
      <w:r w:rsidRPr="00442A00">
        <w:t xml:space="preserve">modifications: expenditure changes </w:t>
      </w:r>
      <w:r>
        <w:t>vs</w:t>
      </w:r>
      <w:r w:rsidRPr="00442A00">
        <w:t xml:space="preserve"> number of ostomates impacted</w:t>
      </w:r>
      <w:r>
        <w:t xml:space="preserve">, </w:t>
      </w:r>
      <w:proofErr w:type="gramStart"/>
      <w:r>
        <w:t>2022-23</w:t>
      </w:r>
      <w:bookmarkEnd w:id="83"/>
      <w:proofErr w:type="gramEnd"/>
    </w:p>
    <w:p w14:paraId="0DE14735" w14:textId="1A5D0B5C" w:rsidR="00230B7B" w:rsidRDefault="00C07D9B" w:rsidP="00230B7B">
      <w:r>
        <w:rPr>
          <w:noProof/>
        </w:rPr>
        <w:drawing>
          <wp:inline distT="0" distB="0" distL="0" distR="0" wp14:anchorId="2978D4B7" wp14:editId="434247DD">
            <wp:extent cx="6120130" cy="3116911"/>
            <wp:effectExtent l="0" t="0" r="0" b="7620"/>
            <wp:docPr id="410572546" name="Chart 1" descr="Figure 13: Access modifications: expenditure changes vs number of ostomates impacted, 2022-23">
              <a:extLst xmlns:a="http://schemas.openxmlformats.org/drawingml/2006/main">
                <a:ext uri="{FF2B5EF4-FFF2-40B4-BE49-F238E27FC236}">
                  <a16:creationId xmlns:a16="http://schemas.microsoft.com/office/drawing/2014/main" id="{EF3BFA76-C1EB-E013-2737-A25E8479B0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2F3F2CE" w14:textId="77777777" w:rsidR="00882C3B" w:rsidRDefault="00882C3B" w:rsidP="00882C3B">
      <w:pPr>
        <w:pStyle w:val="Heading2"/>
      </w:pPr>
      <w:r>
        <w:t>Pricing changes</w:t>
      </w:r>
    </w:p>
    <w:p w14:paraId="33B68F45" w14:textId="3FCA828B" w:rsidR="00882C3B" w:rsidRDefault="00882C3B" w:rsidP="00882C3B">
      <w:r>
        <w:t>The Review aimed to understand the changes in expenditure</w:t>
      </w:r>
      <w:r w:rsidR="002E4A11">
        <w:t xml:space="preserve"> associated</w:t>
      </w:r>
      <w:r>
        <w:t xml:space="preserve"> with changes to the way products on the Scheme were priced. Indexation and price review costing methods were tested, with </w:t>
      </w:r>
      <w:r w:rsidR="00DD57A0">
        <w:t>several</w:t>
      </w:r>
      <w:r>
        <w:t xml:space="preserve"> scenarios modelled</w:t>
      </w:r>
      <w:r w:rsidR="008D1592">
        <w:t>.</w:t>
      </w:r>
    </w:p>
    <w:p w14:paraId="2F632E91" w14:textId="533D1F61" w:rsidR="00E6091F" w:rsidRDefault="00357B58" w:rsidP="00E6091F">
      <w:r>
        <w:fldChar w:fldCharType="begin"/>
      </w:r>
      <w:r>
        <w:instrText xml:space="preserve"> REF _Ref157419223 \h </w:instrText>
      </w:r>
      <w:r>
        <w:fldChar w:fldCharType="separate"/>
      </w:r>
      <w:r w:rsidR="00FE1418">
        <w:t xml:space="preserve">Table </w:t>
      </w:r>
      <w:r w:rsidR="00FE1418">
        <w:rPr>
          <w:noProof/>
        </w:rPr>
        <w:t>13</w:t>
      </w:r>
      <w:r>
        <w:fldChar w:fldCharType="end"/>
      </w:r>
      <w:r>
        <w:t xml:space="preserve"> </w:t>
      </w:r>
      <w:r w:rsidR="00E6091F">
        <w:t xml:space="preserve">summarises the budgetary implications for the pricing change scenarios that have been tested as part of the Review. The </w:t>
      </w:r>
      <w:r w:rsidR="00E6091F" w:rsidRPr="00E51893">
        <w:rPr>
          <w:b/>
          <w:bCs/>
        </w:rPr>
        <w:t>largest additional cost for FY2</w:t>
      </w:r>
      <w:r w:rsidR="00217973">
        <w:rPr>
          <w:b/>
          <w:bCs/>
        </w:rPr>
        <w:t>3</w:t>
      </w:r>
      <w:r w:rsidR="00E6091F" w:rsidRPr="00E51893">
        <w:rPr>
          <w:b/>
          <w:bCs/>
        </w:rPr>
        <w:t>-2</w:t>
      </w:r>
      <w:r w:rsidR="00217973">
        <w:rPr>
          <w:b/>
          <w:bCs/>
        </w:rPr>
        <w:t>4</w:t>
      </w:r>
      <w:r w:rsidR="00E6091F" w:rsidRPr="00E51893">
        <w:rPr>
          <w:b/>
          <w:bCs/>
        </w:rPr>
        <w:t xml:space="preserve"> and beyond occurs under </w:t>
      </w:r>
      <w:r w:rsidR="007D429A" w:rsidRPr="007D429A">
        <w:rPr>
          <w:b/>
          <w:bCs/>
        </w:rPr>
        <w:t>Scenario 18 (one-off price increase for all products in 2023-24 plus ongoing indexation from 2024-25</w:t>
      </w:r>
      <w:r w:rsidR="007D429A" w:rsidRPr="0052037D">
        <w:t xml:space="preserve">), which results in an additional $11,331,439 in expenditure in 2023-24, and an </w:t>
      </w:r>
      <w:r w:rsidR="007D429A" w:rsidRPr="0052037D">
        <w:lastRenderedPageBreak/>
        <w:t>additional $22,290,678 in 2025-26.</w:t>
      </w:r>
      <w:r w:rsidR="007D429A">
        <w:t xml:space="preserve"> Similar</w:t>
      </w:r>
      <w:r w:rsidR="00740FA4">
        <w:t xml:space="preserve"> in costs, </w:t>
      </w:r>
      <w:r w:rsidR="00E6091F" w:rsidRPr="00E51893">
        <w:rPr>
          <w:b/>
          <w:bCs/>
        </w:rPr>
        <w:t>Scenario 1</w:t>
      </w:r>
      <w:r w:rsidR="00CF222C">
        <w:rPr>
          <w:b/>
          <w:bCs/>
        </w:rPr>
        <w:t>4</w:t>
      </w:r>
      <w:r w:rsidR="00E6091F" w:rsidRPr="00E51893">
        <w:rPr>
          <w:b/>
          <w:bCs/>
        </w:rPr>
        <w:t xml:space="preserve"> (backdated and ongoing annual indexation)</w:t>
      </w:r>
      <w:r w:rsidR="00740FA4">
        <w:t xml:space="preserve"> will </w:t>
      </w:r>
      <w:r w:rsidR="00C47F88">
        <w:t xml:space="preserve">incur </w:t>
      </w:r>
      <w:r w:rsidR="00E6091F">
        <w:t>an additional $</w:t>
      </w:r>
      <w:r w:rsidR="00133C6F" w:rsidRPr="00133C6F">
        <w:t>22,100,577</w:t>
      </w:r>
      <w:r w:rsidR="00E6091F">
        <w:t xml:space="preserve"> by FY25-26.</w:t>
      </w:r>
    </w:p>
    <w:p w14:paraId="53A6935D" w14:textId="192502FD" w:rsidR="00E6091F" w:rsidRDefault="00E6091F" w:rsidP="00357B58">
      <w:r w:rsidRPr="00E51893">
        <w:rPr>
          <w:b/>
          <w:bCs/>
        </w:rPr>
        <w:t>Ongoing annual indexation, based on the 5-year average of CPI, (Scenario 1</w:t>
      </w:r>
      <w:r w:rsidR="00CF222C">
        <w:rPr>
          <w:b/>
          <w:bCs/>
        </w:rPr>
        <w:t>3</w:t>
      </w:r>
      <w:r w:rsidRPr="00E51893">
        <w:rPr>
          <w:b/>
          <w:bCs/>
        </w:rPr>
        <w:t xml:space="preserve">) results in an additional $3,971,406 in expenditure </w:t>
      </w:r>
      <w:r>
        <w:t>if it were applied for FY23-24, whilst a one-off price increase in benchmark prices</w:t>
      </w:r>
      <w:r w:rsidR="00465DE5">
        <w:t xml:space="preserve"> for groups 1-7</w:t>
      </w:r>
      <w:r>
        <w:t xml:space="preserve"> (Scenario 1</w:t>
      </w:r>
      <w:r w:rsidR="00CF222C">
        <w:t>5</w:t>
      </w:r>
      <w:r>
        <w:t>) results in $7,213,057 extra expenditure compared to the forecast following current trend. By 2025-26, this extra expenditure under Scenario 1</w:t>
      </w:r>
      <w:r w:rsidR="00CF222C">
        <w:t>3</w:t>
      </w:r>
      <w:r>
        <w:t xml:space="preserve"> reaches $13,540,275, </w:t>
      </w:r>
      <w:r w:rsidR="00D96D24">
        <w:t xml:space="preserve">and </w:t>
      </w:r>
      <w:r>
        <w:t>$7,764,193 under Scenario 1</w:t>
      </w:r>
      <w:r w:rsidR="00CF222C">
        <w:t>5</w:t>
      </w:r>
      <w:r>
        <w:t>.</w:t>
      </w:r>
    </w:p>
    <w:p w14:paraId="64DC0508" w14:textId="28972A10" w:rsidR="00357B58" w:rsidRDefault="00357B58" w:rsidP="00357B58">
      <w:pPr>
        <w:pStyle w:val="Caption"/>
      </w:pPr>
      <w:bookmarkStart w:id="84" w:name="_Ref157419223"/>
      <w:bookmarkStart w:id="85" w:name="_Toc161743116"/>
      <w:r>
        <w:t xml:space="preserve">Table </w:t>
      </w:r>
      <w:r>
        <w:fldChar w:fldCharType="begin"/>
      </w:r>
      <w:r>
        <w:instrText xml:space="preserve"> SEQ Table \* ARABIC </w:instrText>
      </w:r>
      <w:r>
        <w:fldChar w:fldCharType="separate"/>
      </w:r>
      <w:r w:rsidR="00FE1418">
        <w:rPr>
          <w:noProof/>
        </w:rPr>
        <w:t>13</w:t>
      </w:r>
      <w:r>
        <w:rPr>
          <w:noProof/>
        </w:rPr>
        <w:fldChar w:fldCharType="end"/>
      </w:r>
      <w:bookmarkEnd w:id="84"/>
      <w:r>
        <w:t>: Pricing changes</w:t>
      </w:r>
      <w:r w:rsidRPr="005D0BA5">
        <w:t>: summary of expenditure changes</w:t>
      </w:r>
      <w:bookmarkEnd w:id="85"/>
    </w:p>
    <w:tbl>
      <w:tblPr>
        <w:tblStyle w:val="TableHealthConsultPurple"/>
        <w:tblW w:w="5000" w:type="pct"/>
        <w:tblLook w:val="0420" w:firstRow="1" w:lastRow="0" w:firstColumn="0" w:lastColumn="0" w:noHBand="0" w:noVBand="1"/>
      </w:tblPr>
      <w:tblGrid>
        <w:gridCol w:w="3104"/>
        <w:gridCol w:w="2180"/>
        <w:gridCol w:w="2180"/>
        <w:gridCol w:w="2174"/>
      </w:tblGrid>
      <w:tr w:rsidR="00DB0874" w:rsidRPr="00B465EF" w14:paraId="1F670711" w14:textId="77777777" w:rsidTr="00DB0874">
        <w:trPr>
          <w:cnfStyle w:val="100000000000" w:firstRow="1" w:lastRow="0" w:firstColumn="0" w:lastColumn="0" w:oddVBand="0" w:evenVBand="0" w:oddHBand="0" w:evenHBand="0" w:firstRowFirstColumn="0" w:firstRowLastColumn="0" w:lastRowFirstColumn="0" w:lastRowLastColumn="0"/>
        </w:trPr>
        <w:tc>
          <w:tcPr>
            <w:tcW w:w="1610" w:type="pct"/>
            <w:vMerge w:val="restart"/>
          </w:tcPr>
          <w:p w14:paraId="7C053660" w14:textId="092A2504" w:rsidR="00DB0874" w:rsidRPr="00B465EF" w:rsidRDefault="00DB0874" w:rsidP="005C7AC1">
            <w:pPr>
              <w:rPr>
                <w:sz w:val="16"/>
                <w:szCs w:val="16"/>
              </w:rPr>
            </w:pPr>
            <w:r w:rsidRPr="009912EB">
              <w:rPr>
                <w:sz w:val="16"/>
                <w:szCs w:val="16"/>
              </w:rPr>
              <w:t>Scenarios</w:t>
            </w:r>
          </w:p>
        </w:tc>
        <w:tc>
          <w:tcPr>
            <w:tcW w:w="3390" w:type="pct"/>
            <w:gridSpan w:val="3"/>
            <w:vAlign w:val="center"/>
          </w:tcPr>
          <w:p w14:paraId="564B3CC4" w14:textId="3644077D" w:rsidR="00DB0874" w:rsidRPr="00B465EF" w:rsidRDefault="00DB0874" w:rsidP="00B465EF">
            <w:pPr>
              <w:jc w:val="center"/>
              <w:rPr>
                <w:rFonts w:ascii="Poppins" w:hAnsi="Poppins" w:cs="Poppins"/>
                <w:b w:val="0"/>
                <w:bCs/>
                <w:sz w:val="16"/>
                <w:szCs w:val="16"/>
              </w:rPr>
            </w:pPr>
            <w:r>
              <w:rPr>
                <w:rFonts w:ascii="Poppins" w:hAnsi="Poppins" w:cs="Poppins"/>
                <w:b w:val="0"/>
                <w:bCs/>
                <w:sz w:val="16"/>
                <w:szCs w:val="16"/>
              </w:rPr>
              <w:t>Change in expenditure from current FY forecast</w:t>
            </w:r>
          </w:p>
        </w:tc>
      </w:tr>
      <w:tr w:rsidR="009912EB" w:rsidRPr="00B465EF" w14:paraId="424B385D" w14:textId="77777777" w:rsidTr="009912EB">
        <w:tc>
          <w:tcPr>
            <w:tcW w:w="1610" w:type="pct"/>
            <w:vMerge/>
            <w:shd w:val="clear" w:color="auto" w:fill="3B0083" w:themeFill="accent1"/>
          </w:tcPr>
          <w:p w14:paraId="0F0D3C89" w14:textId="77777777" w:rsidR="009912EB" w:rsidRPr="00B465EF" w:rsidRDefault="009912EB" w:rsidP="005C7AC1">
            <w:pPr>
              <w:rPr>
                <w:sz w:val="16"/>
                <w:szCs w:val="16"/>
              </w:rPr>
            </w:pPr>
          </w:p>
        </w:tc>
        <w:tc>
          <w:tcPr>
            <w:tcW w:w="1131" w:type="pct"/>
            <w:shd w:val="clear" w:color="auto" w:fill="3B0083" w:themeFill="accent1"/>
            <w:vAlign w:val="center"/>
          </w:tcPr>
          <w:p w14:paraId="2425D63B" w14:textId="77777777" w:rsidR="009912EB" w:rsidRPr="00B465EF" w:rsidRDefault="009912EB" w:rsidP="00B465EF">
            <w:pPr>
              <w:jc w:val="center"/>
              <w:rPr>
                <w:rFonts w:ascii="Poppins" w:hAnsi="Poppins" w:cs="Poppins"/>
                <w:color w:val="FFFFFF" w:themeColor="background1"/>
                <w:sz w:val="16"/>
                <w:szCs w:val="16"/>
              </w:rPr>
            </w:pPr>
            <w:r w:rsidRPr="00B465EF">
              <w:rPr>
                <w:rFonts w:ascii="Poppins" w:hAnsi="Poppins" w:cs="Poppins"/>
                <w:b/>
                <w:bCs/>
                <w:color w:val="FFFFFF" w:themeColor="background1"/>
                <w:sz w:val="16"/>
                <w:szCs w:val="16"/>
              </w:rPr>
              <w:t>2023-24</w:t>
            </w:r>
          </w:p>
        </w:tc>
        <w:tc>
          <w:tcPr>
            <w:tcW w:w="1131" w:type="pct"/>
            <w:shd w:val="clear" w:color="auto" w:fill="3B0083" w:themeFill="accent1"/>
            <w:vAlign w:val="center"/>
          </w:tcPr>
          <w:p w14:paraId="5A984D54" w14:textId="77777777" w:rsidR="009912EB" w:rsidRPr="00B465EF" w:rsidRDefault="009912EB" w:rsidP="00B465EF">
            <w:pPr>
              <w:jc w:val="center"/>
              <w:rPr>
                <w:rFonts w:ascii="Poppins" w:hAnsi="Poppins" w:cs="Poppins"/>
                <w:color w:val="FFFFFF" w:themeColor="background1"/>
                <w:sz w:val="16"/>
                <w:szCs w:val="16"/>
              </w:rPr>
            </w:pPr>
            <w:r w:rsidRPr="00B465EF">
              <w:rPr>
                <w:rFonts w:ascii="Poppins" w:hAnsi="Poppins" w:cs="Poppins"/>
                <w:b/>
                <w:bCs/>
                <w:color w:val="FFFFFF" w:themeColor="background1"/>
                <w:sz w:val="16"/>
                <w:szCs w:val="16"/>
              </w:rPr>
              <w:t>2024-25</w:t>
            </w:r>
          </w:p>
        </w:tc>
        <w:tc>
          <w:tcPr>
            <w:tcW w:w="1128" w:type="pct"/>
            <w:shd w:val="clear" w:color="auto" w:fill="3B0083" w:themeFill="accent1"/>
            <w:vAlign w:val="center"/>
          </w:tcPr>
          <w:p w14:paraId="1FDB7CB0" w14:textId="77777777" w:rsidR="009912EB" w:rsidRPr="00B465EF" w:rsidRDefault="009912EB" w:rsidP="00B465EF">
            <w:pPr>
              <w:jc w:val="center"/>
              <w:rPr>
                <w:rFonts w:ascii="Poppins" w:hAnsi="Poppins" w:cs="Poppins"/>
                <w:color w:val="FFFFFF" w:themeColor="background1"/>
                <w:sz w:val="16"/>
                <w:szCs w:val="16"/>
              </w:rPr>
            </w:pPr>
            <w:r w:rsidRPr="00B465EF">
              <w:rPr>
                <w:rFonts w:ascii="Poppins" w:hAnsi="Poppins" w:cs="Poppins"/>
                <w:b/>
                <w:bCs/>
                <w:color w:val="FFFFFF" w:themeColor="background1"/>
                <w:sz w:val="16"/>
                <w:szCs w:val="16"/>
              </w:rPr>
              <w:t>2025-26</w:t>
            </w:r>
          </w:p>
        </w:tc>
      </w:tr>
      <w:tr w:rsidR="009912EB" w:rsidRPr="00B465EF" w14:paraId="747BE0C3" w14:textId="77777777" w:rsidTr="009912EB">
        <w:trPr>
          <w:cnfStyle w:val="000000010000" w:firstRow="0" w:lastRow="0" w:firstColumn="0" w:lastColumn="0" w:oddVBand="0" w:evenVBand="0" w:oddHBand="0" w:evenHBand="1" w:firstRowFirstColumn="0" w:firstRowLastColumn="0" w:lastRowFirstColumn="0" w:lastRowLastColumn="0"/>
        </w:trPr>
        <w:tc>
          <w:tcPr>
            <w:tcW w:w="1610" w:type="pct"/>
          </w:tcPr>
          <w:p w14:paraId="5ABE2C1D" w14:textId="2644EC34" w:rsidR="009912EB" w:rsidRPr="00B465EF" w:rsidRDefault="009912EB" w:rsidP="009912EB">
            <w:pPr>
              <w:rPr>
                <w:sz w:val="16"/>
                <w:szCs w:val="16"/>
              </w:rPr>
            </w:pPr>
            <w:r w:rsidRPr="00B465EF">
              <w:rPr>
                <w:sz w:val="16"/>
                <w:szCs w:val="16"/>
              </w:rPr>
              <w:t>1</w:t>
            </w:r>
            <w:r>
              <w:rPr>
                <w:sz w:val="16"/>
                <w:szCs w:val="16"/>
              </w:rPr>
              <w:t>2</w:t>
            </w:r>
            <w:r w:rsidRPr="00B465EF">
              <w:rPr>
                <w:sz w:val="16"/>
                <w:szCs w:val="16"/>
              </w:rPr>
              <w:t xml:space="preserve">. CPI indexation: </w:t>
            </w:r>
            <w:r>
              <w:rPr>
                <w:sz w:val="16"/>
                <w:szCs w:val="16"/>
              </w:rPr>
              <w:t>one-off increase</w:t>
            </w:r>
            <w:r>
              <w:rPr>
                <w:rStyle w:val="FootnoteReference"/>
                <w:sz w:val="16"/>
                <w:szCs w:val="16"/>
              </w:rPr>
              <w:footnoteReference w:id="40"/>
            </w:r>
          </w:p>
        </w:tc>
        <w:tc>
          <w:tcPr>
            <w:tcW w:w="1131" w:type="pct"/>
            <w:vAlign w:val="center"/>
          </w:tcPr>
          <w:p w14:paraId="590AE9FB" w14:textId="0ABC6F33" w:rsidR="009912EB" w:rsidRPr="00C47F88" w:rsidRDefault="009912EB" w:rsidP="009912EB">
            <w:pPr>
              <w:jc w:val="center"/>
              <w:rPr>
                <w:color w:val="C00000"/>
                <w:sz w:val="16"/>
                <w:szCs w:val="16"/>
              </w:rPr>
            </w:pPr>
            <w:r w:rsidRPr="00217973">
              <w:rPr>
                <w:rFonts w:ascii="Poppins" w:hAnsi="Poppins" w:cs="Poppins"/>
                <w:color w:val="C00000"/>
                <w:sz w:val="16"/>
                <w:szCs w:val="16"/>
              </w:rPr>
              <w:t xml:space="preserve">+$3,971,406 </w:t>
            </w:r>
          </w:p>
        </w:tc>
        <w:tc>
          <w:tcPr>
            <w:tcW w:w="1131" w:type="pct"/>
            <w:vAlign w:val="center"/>
          </w:tcPr>
          <w:p w14:paraId="12BF2D09" w14:textId="7A029E1D" w:rsidR="009912EB" w:rsidRPr="00C47F88" w:rsidRDefault="009912EB" w:rsidP="009912EB">
            <w:pPr>
              <w:jc w:val="center"/>
              <w:rPr>
                <w:rFonts w:ascii="Poppins" w:hAnsi="Poppins" w:cs="Poppins"/>
                <w:color w:val="C00000"/>
                <w:sz w:val="16"/>
                <w:szCs w:val="16"/>
              </w:rPr>
            </w:pPr>
            <w:r w:rsidRPr="00217973">
              <w:rPr>
                <w:rFonts w:ascii="Poppins" w:hAnsi="Poppins" w:cs="Poppins"/>
                <w:color w:val="C00000"/>
                <w:sz w:val="16"/>
                <w:szCs w:val="16"/>
              </w:rPr>
              <w:t xml:space="preserve">+$4,161,878 </w:t>
            </w:r>
          </w:p>
        </w:tc>
        <w:tc>
          <w:tcPr>
            <w:tcW w:w="1128" w:type="pct"/>
            <w:vAlign w:val="center"/>
          </w:tcPr>
          <w:p w14:paraId="4B2F667F" w14:textId="5178AD47" w:rsidR="009912EB" w:rsidRPr="00C47F88" w:rsidRDefault="009912EB" w:rsidP="009912EB">
            <w:pPr>
              <w:jc w:val="center"/>
              <w:rPr>
                <w:rFonts w:ascii="Poppins" w:hAnsi="Poppins" w:cs="Poppins"/>
                <w:color w:val="C00000"/>
                <w:sz w:val="16"/>
                <w:szCs w:val="16"/>
              </w:rPr>
            </w:pPr>
            <w:r w:rsidRPr="00217973">
              <w:rPr>
                <w:rFonts w:ascii="Poppins" w:hAnsi="Poppins" w:cs="Poppins"/>
                <w:color w:val="C00000"/>
                <w:sz w:val="16"/>
                <w:szCs w:val="16"/>
              </w:rPr>
              <w:t xml:space="preserve">+$4,361,663 </w:t>
            </w:r>
          </w:p>
        </w:tc>
      </w:tr>
      <w:tr w:rsidR="009912EB" w:rsidRPr="00B465EF" w14:paraId="1FCC27D9" w14:textId="77777777" w:rsidTr="009912EB">
        <w:tc>
          <w:tcPr>
            <w:tcW w:w="1610" w:type="pct"/>
          </w:tcPr>
          <w:p w14:paraId="4F6A95BF" w14:textId="3D26435C" w:rsidR="009912EB" w:rsidRPr="00B465EF" w:rsidRDefault="009912EB" w:rsidP="005C7AC1">
            <w:pPr>
              <w:rPr>
                <w:sz w:val="16"/>
                <w:szCs w:val="16"/>
              </w:rPr>
            </w:pPr>
            <w:r w:rsidRPr="00B465EF">
              <w:rPr>
                <w:sz w:val="16"/>
                <w:szCs w:val="16"/>
              </w:rPr>
              <w:t>1</w:t>
            </w:r>
            <w:r>
              <w:rPr>
                <w:sz w:val="16"/>
                <w:szCs w:val="16"/>
              </w:rPr>
              <w:t>3</w:t>
            </w:r>
            <w:r w:rsidRPr="00B465EF">
              <w:rPr>
                <w:sz w:val="16"/>
                <w:szCs w:val="16"/>
              </w:rPr>
              <w:t>. CPI indexation: ongoing annual adjustment</w:t>
            </w:r>
            <w:r>
              <w:rPr>
                <w:sz w:val="16"/>
                <w:szCs w:val="16"/>
              </w:rPr>
              <w:t xml:space="preserve"> (</w:t>
            </w:r>
            <w:r w:rsidR="002E4C3D">
              <w:rPr>
                <w:sz w:val="16"/>
                <w:szCs w:val="16"/>
              </w:rPr>
              <w:t>cumulative</w:t>
            </w:r>
            <w:r>
              <w:rPr>
                <w:sz w:val="16"/>
                <w:szCs w:val="16"/>
              </w:rPr>
              <w:t xml:space="preserve">) </w:t>
            </w:r>
            <w:r>
              <w:rPr>
                <w:rStyle w:val="FootnoteReference"/>
                <w:sz w:val="16"/>
                <w:szCs w:val="16"/>
              </w:rPr>
              <w:footnoteReference w:id="41"/>
            </w:r>
          </w:p>
        </w:tc>
        <w:tc>
          <w:tcPr>
            <w:tcW w:w="1131" w:type="pct"/>
            <w:vAlign w:val="center"/>
          </w:tcPr>
          <w:p w14:paraId="6875F9A5" w14:textId="77777777" w:rsidR="009912EB" w:rsidRPr="00217973" w:rsidRDefault="009912EB" w:rsidP="00B465EF">
            <w:pPr>
              <w:jc w:val="center"/>
              <w:rPr>
                <w:rFonts w:ascii="Poppins" w:hAnsi="Poppins" w:cs="Poppins"/>
                <w:color w:val="C00000"/>
                <w:sz w:val="16"/>
                <w:szCs w:val="16"/>
              </w:rPr>
            </w:pPr>
            <w:r w:rsidRPr="00217973">
              <w:rPr>
                <w:rFonts w:ascii="Poppins" w:hAnsi="Poppins" w:cs="Poppins"/>
                <w:color w:val="C00000"/>
                <w:sz w:val="16"/>
                <w:szCs w:val="16"/>
              </w:rPr>
              <w:t>+$3,971,406</w:t>
            </w:r>
          </w:p>
        </w:tc>
        <w:tc>
          <w:tcPr>
            <w:tcW w:w="1131" w:type="pct"/>
            <w:vAlign w:val="center"/>
          </w:tcPr>
          <w:p w14:paraId="10F70FAD" w14:textId="77777777" w:rsidR="009912EB" w:rsidRPr="00217973" w:rsidRDefault="009912EB" w:rsidP="00B465EF">
            <w:pPr>
              <w:jc w:val="center"/>
              <w:rPr>
                <w:rFonts w:ascii="Poppins" w:hAnsi="Poppins" w:cs="Poppins"/>
                <w:color w:val="C00000"/>
                <w:sz w:val="16"/>
                <w:szCs w:val="16"/>
              </w:rPr>
            </w:pPr>
            <w:r w:rsidRPr="00217973">
              <w:rPr>
                <w:rFonts w:ascii="Poppins" w:hAnsi="Poppins" w:cs="Poppins"/>
                <w:color w:val="C00000"/>
                <w:sz w:val="16"/>
                <w:szCs w:val="16"/>
              </w:rPr>
              <w:t>+$8,466,924</w:t>
            </w:r>
          </w:p>
        </w:tc>
        <w:tc>
          <w:tcPr>
            <w:tcW w:w="1128" w:type="pct"/>
            <w:vAlign w:val="center"/>
          </w:tcPr>
          <w:p w14:paraId="7121266D" w14:textId="77777777" w:rsidR="009912EB" w:rsidRPr="00217973" w:rsidRDefault="009912EB" w:rsidP="00B465EF">
            <w:pPr>
              <w:jc w:val="center"/>
              <w:rPr>
                <w:rFonts w:ascii="Poppins" w:hAnsi="Poppins" w:cs="Poppins"/>
                <w:color w:val="C00000"/>
                <w:sz w:val="16"/>
                <w:szCs w:val="16"/>
              </w:rPr>
            </w:pPr>
            <w:r w:rsidRPr="00217973">
              <w:rPr>
                <w:rFonts w:ascii="Poppins" w:hAnsi="Poppins" w:cs="Poppins"/>
                <w:color w:val="C00000"/>
                <w:sz w:val="16"/>
                <w:szCs w:val="16"/>
              </w:rPr>
              <w:t>+$13,540,275</w:t>
            </w:r>
          </w:p>
        </w:tc>
      </w:tr>
      <w:tr w:rsidR="003B5CA6" w:rsidRPr="00B465EF" w14:paraId="66303DB9" w14:textId="77777777" w:rsidTr="009912EB">
        <w:trPr>
          <w:cnfStyle w:val="000000010000" w:firstRow="0" w:lastRow="0" w:firstColumn="0" w:lastColumn="0" w:oddVBand="0" w:evenVBand="0" w:oddHBand="0" w:evenHBand="1" w:firstRowFirstColumn="0" w:firstRowLastColumn="0" w:lastRowFirstColumn="0" w:lastRowLastColumn="0"/>
        </w:trPr>
        <w:tc>
          <w:tcPr>
            <w:tcW w:w="1610" w:type="pct"/>
          </w:tcPr>
          <w:p w14:paraId="76217A3C" w14:textId="7FF2EA4C" w:rsidR="003B5CA6" w:rsidRPr="00B465EF" w:rsidRDefault="003B5CA6" w:rsidP="003B5CA6">
            <w:pPr>
              <w:rPr>
                <w:sz w:val="16"/>
                <w:szCs w:val="16"/>
              </w:rPr>
            </w:pPr>
            <w:r w:rsidRPr="00B465EF">
              <w:rPr>
                <w:sz w:val="16"/>
                <w:szCs w:val="16"/>
              </w:rPr>
              <w:t>1</w:t>
            </w:r>
            <w:r>
              <w:rPr>
                <w:sz w:val="16"/>
                <w:szCs w:val="16"/>
              </w:rPr>
              <w:t>4</w:t>
            </w:r>
            <w:r w:rsidRPr="00B465EF">
              <w:rPr>
                <w:sz w:val="16"/>
                <w:szCs w:val="16"/>
              </w:rPr>
              <w:t>. CPI indexation: ongoing annual adjustment</w:t>
            </w:r>
            <w:r>
              <w:rPr>
                <w:sz w:val="16"/>
                <w:szCs w:val="16"/>
              </w:rPr>
              <w:t xml:space="preserve"> with </w:t>
            </w:r>
            <w:r w:rsidRPr="00E1608C">
              <w:rPr>
                <w:sz w:val="16"/>
                <w:szCs w:val="16"/>
              </w:rPr>
              <w:t>backdated</w:t>
            </w:r>
            <w:r>
              <w:rPr>
                <w:sz w:val="16"/>
                <w:szCs w:val="16"/>
              </w:rPr>
              <w:t xml:space="preserve"> prices</w:t>
            </w:r>
            <w:r>
              <w:rPr>
                <w:rStyle w:val="FootnoteReference"/>
                <w:sz w:val="16"/>
                <w:szCs w:val="16"/>
              </w:rPr>
              <w:footnoteReference w:id="42"/>
            </w:r>
          </w:p>
        </w:tc>
        <w:tc>
          <w:tcPr>
            <w:tcW w:w="1131" w:type="pct"/>
            <w:vAlign w:val="center"/>
          </w:tcPr>
          <w:p w14:paraId="662F79FA" w14:textId="113A8AAA" w:rsidR="003B5CA6" w:rsidRPr="00C47F88" w:rsidRDefault="003B5CA6" w:rsidP="003B5CA6">
            <w:pPr>
              <w:jc w:val="center"/>
              <w:rPr>
                <w:color w:val="C00000"/>
                <w:sz w:val="16"/>
                <w:szCs w:val="16"/>
              </w:rPr>
            </w:pPr>
            <w:r>
              <w:rPr>
                <w:rFonts w:ascii="Poppins" w:hAnsi="Poppins" w:cs="Poppins"/>
                <w:color w:val="C00000"/>
                <w:sz w:val="16"/>
                <w:szCs w:val="16"/>
              </w:rPr>
              <w:t>+</w:t>
            </w:r>
            <w:r w:rsidRPr="00C47F88">
              <w:rPr>
                <w:rFonts w:ascii="Poppins" w:hAnsi="Poppins" w:cs="Poppins"/>
                <w:color w:val="C00000"/>
                <w:sz w:val="16"/>
                <w:szCs w:val="16"/>
              </w:rPr>
              <w:t xml:space="preserve">$11,255,981 </w:t>
            </w:r>
          </w:p>
        </w:tc>
        <w:tc>
          <w:tcPr>
            <w:tcW w:w="1131" w:type="pct"/>
            <w:vAlign w:val="center"/>
          </w:tcPr>
          <w:p w14:paraId="46674C67" w14:textId="78A27BB7" w:rsidR="003B5CA6" w:rsidRPr="00C47F88" w:rsidRDefault="003B5CA6" w:rsidP="003B5CA6">
            <w:pPr>
              <w:jc w:val="center"/>
              <w:rPr>
                <w:rFonts w:ascii="Poppins" w:hAnsi="Poppins" w:cs="Poppins"/>
                <w:color w:val="C00000"/>
                <w:sz w:val="16"/>
                <w:szCs w:val="16"/>
              </w:rPr>
            </w:pPr>
            <w:r>
              <w:rPr>
                <w:rFonts w:ascii="Poppins" w:hAnsi="Poppins" w:cs="Poppins"/>
                <w:color w:val="C00000"/>
                <w:sz w:val="16"/>
                <w:szCs w:val="16"/>
              </w:rPr>
              <w:t>+</w:t>
            </w:r>
            <w:r w:rsidRPr="00C47F88">
              <w:rPr>
                <w:rFonts w:ascii="Poppins" w:hAnsi="Poppins" w:cs="Poppins"/>
                <w:color w:val="C00000"/>
                <w:sz w:val="16"/>
                <w:szCs w:val="16"/>
              </w:rPr>
              <w:t xml:space="preserve">$16,363,480 </w:t>
            </w:r>
          </w:p>
        </w:tc>
        <w:tc>
          <w:tcPr>
            <w:tcW w:w="1128" w:type="pct"/>
            <w:vAlign w:val="center"/>
          </w:tcPr>
          <w:p w14:paraId="03EAEA6E" w14:textId="02BCA732" w:rsidR="003B5CA6" w:rsidRPr="00C47F88" w:rsidRDefault="003B5CA6" w:rsidP="003B5CA6">
            <w:pPr>
              <w:jc w:val="center"/>
              <w:rPr>
                <w:rFonts w:ascii="Poppins" w:hAnsi="Poppins" w:cs="Poppins"/>
                <w:color w:val="C00000"/>
                <w:sz w:val="16"/>
                <w:szCs w:val="16"/>
              </w:rPr>
            </w:pPr>
            <w:r>
              <w:rPr>
                <w:rFonts w:ascii="Poppins" w:hAnsi="Poppins" w:cs="Poppins"/>
                <w:color w:val="C00000"/>
                <w:sz w:val="16"/>
                <w:szCs w:val="16"/>
              </w:rPr>
              <w:t>+</w:t>
            </w:r>
            <w:r w:rsidRPr="00C47F88">
              <w:rPr>
                <w:rFonts w:ascii="Poppins" w:hAnsi="Poppins" w:cs="Poppins"/>
                <w:color w:val="C00000"/>
                <w:sz w:val="16"/>
                <w:szCs w:val="16"/>
              </w:rPr>
              <w:t xml:space="preserve">$22,100,577 </w:t>
            </w:r>
          </w:p>
        </w:tc>
      </w:tr>
      <w:tr w:rsidR="009912EB" w:rsidRPr="00B465EF" w14:paraId="378392B5" w14:textId="77777777" w:rsidTr="009912EB">
        <w:tc>
          <w:tcPr>
            <w:tcW w:w="1610" w:type="pct"/>
          </w:tcPr>
          <w:p w14:paraId="63BCD226" w14:textId="14194323" w:rsidR="009912EB" w:rsidRPr="00B465EF" w:rsidRDefault="009912EB" w:rsidP="005C7AC1">
            <w:pPr>
              <w:rPr>
                <w:sz w:val="16"/>
                <w:szCs w:val="16"/>
              </w:rPr>
            </w:pPr>
            <w:r w:rsidRPr="00B465EF">
              <w:rPr>
                <w:sz w:val="16"/>
                <w:szCs w:val="16"/>
              </w:rPr>
              <w:t>1</w:t>
            </w:r>
            <w:r>
              <w:rPr>
                <w:sz w:val="16"/>
                <w:szCs w:val="16"/>
              </w:rPr>
              <w:t>5</w:t>
            </w:r>
            <w:r w:rsidRPr="00B465EF">
              <w:rPr>
                <w:sz w:val="16"/>
                <w:szCs w:val="16"/>
              </w:rPr>
              <w:t xml:space="preserve">. One-off 10% increase in benchmark prices for </w:t>
            </w:r>
            <w:r>
              <w:rPr>
                <w:sz w:val="16"/>
                <w:szCs w:val="16"/>
              </w:rPr>
              <w:t>groups 1-7</w:t>
            </w:r>
          </w:p>
        </w:tc>
        <w:tc>
          <w:tcPr>
            <w:tcW w:w="1131" w:type="pct"/>
            <w:vAlign w:val="center"/>
          </w:tcPr>
          <w:p w14:paraId="47EAD659" w14:textId="77777777" w:rsidR="009912EB" w:rsidRPr="00C47F88" w:rsidRDefault="009912EB" w:rsidP="00B465EF">
            <w:pPr>
              <w:jc w:val="center"/>
              <w:rPr>
                <w:color w:val="C00000"/>
                <w:sz w:val="16"/>
                <w:szCs w:val="16"/>
              </w:rPr>
            </w:pPr>
            <w:r w:rsidRPr="00217973">
              <w:rPr>
                <w:rFonts w:ascii="Poppins" w:hAnsi="Poppins" w:cs="Poppins"/>
                <w:color w:val="C00000"/>
                <w:sz w:val="16"/>
                <w:szCs w:val="16"/>
              </w:rPr>
              <w:t>+$7,213,057</w:t>
            </w:r>
          </w:p>
        </w:tc>
        <w:tc>
          <w:tcPr>
            <w:tcW w:w="1131" w:type="pct"/>
            <w:vAlign w:val="center"/>
          </w:tcPr>
          <w:p w14:paraId="172DF584" w14:textId="77777777" w:rsidR="009912EB" w:rsidRPr="00C47F88" w:rsidRDefault="009912EB" w:rsidP="00B465EF">
            <w:pPr>
              <w:jc w:val="center"/>
              <w:rPr>
                <w:rFonts w:ascii="Poppins" w:hAnsi="Poppins" w:cs="Poppins"/>
                <w:color w:val="C00000"/>
                <w:sz w:val="16"/>
                <w:szCs w:val="16"/>
              </w:rPr>
            </w:pPr>
            <w:r w:rsidRPr="00217973">
              <w:rPr>
                <w:rFonts w:ascii="Poppins" w:hAnsi="Poppins" w:cs="Poppins"/>
                <w:color w:val="C00000"/>
                <w:sz w:val="16"/>
                <w:szCs w:val="16"/>
              </w:rPr>
              <w:t>+$7,479,361</w:t>
            </w:r>
          </w:p>
        </w:tc>
        <w:tc>
          <w:tcPr>
            <w:tcW w:w="1128" w:type="pct"/>
            <w:vAlign w:val="center"/>
          </w:tcPr>
          <w:p w14:paraId="593092FB" w14:textId="77777777" w:rsidR="009912EB" w:rsidRPr="00C47F88" w:rsidRDefault="009912EB" w:rsidP="00B465EF">
            <w:pPr>
              <w:jc w:val="center"/>
              <w:rPr>
                <w:rFonts w:ascii="Poppins" w:hAnsi="Poppins" w:cs="Poppins"/>
                <w:color w:val="C00000"/>
                <w:sz w:val="16"/>
                <w:szCs w:val="16"/>
              </w:rPr>
            </w:pPr>
            <w:r w:rsidRPr="00217973">
              <w:rPr>
                <w:rFonts w:ascii="Poppins" w:hAnsi="Poppins" w:cs="Poppins"/>
                <w:color w:val="C00000"/>
                <w:sz w:val="16"/>
                <w:szCs w:val="16"/>
              </w:rPr>
              <w:t>+$7,764,193</w:t>
            </w:r>
          </w:p>
        </w:tc>
      </w:tr>
      <w:tr w:rsidR="009912EB" w:rsidRPr="00B465EF" w14:paraId="5755D17C" w14:textId="77777777" w:rsidTr="009912EB">
        <w:trPr>
          <w:cnfStyle w:val="000000010000" w:firstRow="0" w:lastRow="0" w:firstColumn="0" w:lastColumn="0" w:oddVBand="0" w:evenVBand="0" w:oddHBand="0" w:evenHBand="1" w:firstRowFirstColumn="0" w:firstRowLastColumn="0" w:lastRowFirstColumn="0" w:lastRowLastColumn="0"/>
        </w:trPr>
        <w:tc>
          <w:tcPr>
            <w:tcW w:w="1610" w:type="pct"/>
          </w:tcPr>
          <w:p w14:paraId="4D9FF655" w14:textId="28316451" w:rsidR="009912EB" w:rsidRPr="00B465EF" w:rsidRDefault="009912EB" w:rsidP="005C7AC1">
            <w:pPr>
              <w:rPr>
                <w:sz w:val="16"/>
                <w:szCs w:val="16"/>
              </w:rPr>
            </w:pPr>
            <w:r w:rsidRPr="00B465EF">
              <w:rPr>
                <w:sz w:val="16"/>
                <w:szCs w:val="16"/>
              </w:rPr>
              <w:t>1</w:t>
            </w:r>
            <w:r>
              <w:rPr>
                <w:sz w:val="16"/>
                <w:szCs w:val="16"/>
              </w:rPr>
              <w:t>6</w:t>
            </w:r>
            <w:r w:rsidRPr="00B465EF">
              <w:rPr>
                <w:sz w:val="16"/>
                <w:szCs w:val="16"/>
              </w:rPr>
              <w:t>. One-off 10% increase in premium prices</w:t>
            </w:r>
          </w:p>
        </w:tc>
        <w:tc>
          <w:tcPr>
            <w:tcW w:w="1131" w:type="pct"/>
            <w:vAlign w:val="center"/>
          </w:tcPr>
          <w:p w14:paraId="4B347D7B" w14:textId="77777777" w:rsidR="009912EB" w:rsidRPr="00C47F88" w:rsidRDefault="009912EB" w:rsidP="00B465EF">
            <w:pPr>
              <w:jc w:val="center"/>
              <w:rPr>
                <w:color w:val="C00000"/>
                <w:sz w:val="16"/>
                <w:szCs w:val="16"/>
              </w:rPr>
            </w:pPr>
            <w:r w:rsidRPr="00217973">
              <w:rPr>
                <w:rFonts w:ascii="Poppins" w:hAnsi="Poppins" w:cs="Poppins"/>
                <w:color w:val="C00000"/>
                <w:sz w:val="16"/>
                <w:szCs w:val="16"/>
              </w:rPr>
              <w:t>+$179,570</w:t>
            </w:r>
          </w:p>
        </w:tc>
        <w:tc>
          <w:tcPr>
            <w:tcW w:w="1131" w:type="pct"/>
            <w:vAlign w:val="center"/>
          </w:tcPr>
          <w:p w14:paraId="37BEA649" w14:textId="77777777" w:rsidR="009912EB" w:rsidRPr="00C47F88" w:rsidRDefault="009912EB" w:rsidP="00B465EF">
            <w:pPr>
              <w:jc w:val="center"/>
              <w:rPr>
                <w:rFonts w:ascii="Poppins" w:hAnsi="Poppins" w:cs="Poppins"/>
                <w:color w:val="C00000"/>
                <w:sz w:val="16"/>
                <w:szCs w:val="16"/>
              </w:rPr>
            </w:pPr>
            <w:r w:rsidRPr="00217973">
              <w:rPr>
                <w:rFonts w:ascii="Poppins" w:hAnsi="Poppins" w:cs="Poppins"/>
                <w:color w:val="C00000"/>
                <w:sz w:val="16"/>
                <w:szCs w:val="16"/>
              </w:rPr>
              <w:t>+$189,749</w:t>
            </w:r>
          </w:p>
        </w:tc>
        <w:tc>
          <w:tcPr>
            <w:tcW w:w="1128" w:type="pct"/>
            <w:vAlign w:val="center"/>
          </w:tcPr>
          <w:p w14:paraId="27FE06C1" w14:textId="77777777" w:rsidR="009912EB" w:rsidRPr="00C47F88" w:rsidRDefault="009912EB" w:rsidP="00B465EF">
            <w:pPr>
              <w:jc w:val="center"/>
              <w:rPr>
                <w:rFonts w:ascii="Poppins" w:hAnsi="Poppins" w:cs="Poppins"/>
                <w:color w:val="C00000"/>
                <w:sz w:val="16"/>
                <w:szCs w:val="16"/>
              </w:rPr>
            </w:pPr>
            <w:r w:rsidRPr="00217973">
              <w:rPr>
                <w:rFonts w:ascii="Poppins" w:hAnsi="Poppins" w:cs="Poppins"/>
                <w:color w:val="C00000"/>
                <w:sz w:val="16"/>
                <w:szCs w:val="16"/>
              </w:rPr>
              <w:t>+$199,934</w:t>
            </w:r>
          </w:p>
        </w:tc>
      </w:tr>
      <w:tr w:rsidR="009912EB" w:rsidRPr="00B465EF" w14:paraId="44D37FB3" w14:textId="77777777" w:rsidTr="009912EB">
        <w:tc>
          <w:tcPr>
            <w:tcW w:w="1610" w:type="pct"/>
          </w:tcPr>
          <w:p w14:paraId="3D10F860" w14:textId="09E23FA9" w:rsidR="009912EB" w:rsidRPr="00B465EF" w:rsidRDefault="009912EB" w:rsidP="00344429">
            <w:pPr>
              <w:rPr>
                <w:sz w:val="16"/>
                <w:szCs w:val="16"/>
              </w:rPr>
            </w:pPr>
            <w:r>
              <w:rPr>
                <w:sz w:val="16"/>
                <w:szCs w:val="16"/>
              </w:rPr>
              <w:t>17. One-off 10% increase in both benchmark and premium prices (all products)</w:t>
            </w:r>
          </w:p>
        </w:tc>
        <w:tc>
          <w:tcPr>
            <w:tcW w:w="1131" w:type="pct"/>
            <w:vAlign w:val="center"/>
          </w:tcPr>
          <w:p w14:paraId="5A7072C0" w14:textId="47B0EDC4" w:rsidR="009912EB" w:rsidRPr="00217973" w:rsidRDefault="009912EB" w:rsidP="00344429">
            <w:pPr>
              <w:jc w:val="center"/>
              <w:rPr>
                <w:rFonts w:ascii="Poppins" w:hAnsi="Poppins" w:cs="Poppins"/>
                <w:color w:val="C00000"/>
                <w:sz w:val="16"/>
                <w:szCs w:val="16"/>
              </w:rPr>
            </w:pPr>
            <w:r w:rsidRPr="00217973">
              <w:rPr>
                <w:rFonts w:ascii="Poppins" w:hAnsi="Poppins" w:cs="Poppins"/>
                <w:color w:val="C00000"/>
                <w:sz w:val="16"/>
                <w:szCs w:val="16"/>
              </w:rPr>
              <w:t xml:space="preserve">+$11,331,439 </w:t>
            </w:r>
          </w:p>
        </w:tc>
        <w:tc>
          <w:tcPr>
            <w:tcW w:w="1131" w:type="pct"/>
            <w:vAlign w:val="center"/>
          </w:tcPr>
          <w:p w14:paraId="26EF20E5" w14:textId="699E5AF5" w:rsidR="009912EB" w:rsidRPr="00217973" w:rsidRDefault="009912EB" w:rsidP="00344429">
            <w:pPr>
              <w:jc w:val="center"/>
              <w:rPr>
                <w:rFonts w:ascii="Poppins" w:hAnsi="Poppins" w:cs="Poppins"/>
                <w:color w:val="C00000"/>
                <w:sz w:val="16"/>
                <w:szCs w:val="16"/>
              </w:rPr>
            </w:pPr>
            <w:r w:rsidRPr="00217973">
              <w:rPr>
                <w:rFonts w:ascii="Poppins" w:hAnsi="Poppins" w:cs="Poppins"/>
                <w:color w:val="C00000"/>
                <w:sz w:val="16"/>
                <w:szCs w:val="16"/>
              </w:rPr>
              <w:t xml:space="preserve">+$11,922,395 </w:t>
            </w:r>
          </w:p>
        </w:tc>
        <w:tc>
          <w:tcPr>
            <w:tcW w:w="1128" w:type="pct"/>
            <w:vAlign w:val="center"/>
          </w:tcPr>
          <w:p w14:paraId="3ECDAF4F" w14:textId="7B145246" w:rsidR="009912EB" w:rsidRPr="00217973" w:rsidRDefault="009912EB" w:rsidP="00344429">
            <w:pPr>
              <w:jc w:val="center"/>
              <w:rPr>
                <w:rFonts w:ascii="Poppins" w:hAnsi="Poppins" w:cs="Poppins"/>
                <w:color w:val="C00000"/>
                <w:sz w:val="16"/>
                <w:szCs w:val="16"/>
              </w:rPr>
            </w:pPr>
            <w:r w:rsidRPr="00217973">
              <w:rPr>
                <w:rFonts w:ascii="Poppins" w:hAnsi="Poppins" w:cs="Poppins"/>
                <w:color w:val="C00000"/>
                <w:sz w:val="16"/>
                <w:szCs w:val="16"/>
              </w:rPr>
              <w:t xml:space="preserve">+$12,539,737 </w:t>
            </w:r>
          </w:p>
        </w:tc>
      </w:tr>
      <w:tr w:rsidR="009912EB" w:rsidRPr="00B465EF" w14:paraId="32C408C4" w14:textId="77777777" w:rsidTr="009912EB">
        <w:trPr>
          <w:cnfStyle w:val="000000010000" w:firstRow="0" w:lastRow="0" w:firstColumn="0" w:lastColumn="0" w:oddVBand="0" w:evenVBand="0" w:oddHBand="0" w:evenHBand="1" w:firstRowFirstColumn="0" w:firstRowLastColumn="0" w:lastRowFirstColumn="0" w:lastRowLastColumn="0"/>
        </w:trPr>
        <w:tc>
          <w:tcPr>
            <w:tcW w:w="1610" w:type="pct"/>
          </w:tcPr>
          <w:p w14:paraId="609126EF" w14:textId="55A54F80" w:rsidR="009912EB" w:rsidRPr="00B465EF" w:rsidRDefault="009912EB" w:rsidP="00344429">
            <w:pPr>
              <w:rPr>
                <w:sz w:val="16"/>
                <w:szCs w:val="16"/>
              </w:rPr>
            </w:pPr>
            <w:r>
              <w:rPr>
                <w:sz w:val="16"/>
                <w:szCs w:val="16"/>
              </w:rPr>
              <w:t>18. One-off price increase in benchmark and premium prices AND ongoing CPI adjustment</w:t>
            </w:r>
            <w:r>
              <w:rPr>
                <w:rStyle w:val="FootnoteReference"/>
                <w:sz w:val="16"/>
                <w:szCs w:val="16"/>
              </w:rPr>
              <w:footnoteReference w:id="43"/>
            </w:r>
          </w:p>
        </w:tc>
        <w:tc>
          <w:tcPr>
            <w:tcW w:w="1131" w:type="pct"/>
            <w:vAlign w:val="center"/>
          </w:tcPr>
          <w:p w14:paraId="0649EF09" w14:textId="713BD396" w:rsidR="009912EB" w:rsidRPr="00217973" w:rsidRDefault="009912EB" w:rsidP="00344429">
            <w:pPr>
              <w:jc w:val="center"/>
              <w:rPr>
                <w:rFonts w:ascii="Poppins" w:hAnsi="Poppins" w:cs="Poppins"/>
                <w:color w:val="C00000"/>
                <w:sz w:val="16"/>
                <w:szCs w:val="16"/>
              </w:rPr>
            </w:pPr>
            <w:r w:rsidRPr="00217973">
              <w:rPr>
                <w:rFonts w:ascii="Poppins" w:hAnsi="Poppins" w:cs="Poppins"/>
                <w:color w:val="C00000"/>
                <w:sz w:val="16"/>
                <w:szCs w:val="16"/>
              </w:rPr>
              <w:t xml:space="preserve">+$11,331,439 </w:t>
            </w:r>
          </w:p>
        </w:tc>
        <w:tc>
          <w:tcPr>
            <w:tcW w:w="1131" w:type="pct"/>
            <w:vAlign w:val="center"/>
          </w:tcPr>
          <w:p w14:paraId="5D63DE3F" w14:textId="1F31170F" w:rsidR="009912EB" w:rsidRPr="00217973" w:rsidRDefault="009912EB" w:rsidP="00344429">
            <w:pPr>
              <w:jc w:val="center"/>
              <w:rPr>
                <w:rFonts w:ascii="Poppins" w:hAnsi="Poppins" w:cs="Poppins"/>
                <w:color w:val="C00000"/>
                <w:sz w:val="16"/>
                <w:szCs w:val="16"/>
              </w:rPr>
            </w:pPr>
            <w:r w:rsidRPr="00217973">
              <w:rPr>
                <w:rFonts w:ascii="Poppins" w:hAnsi="Poppins" w:cs="Poppins"/>
                <w:color w:val="C00000"/>
                <w:sz w:val="16"/>
                <w:szCs w:val="16"/>
              </w:rPr>
              <w:t xml:space="preserve">+$16,494,403 </w:t>
            </w:r>
          </w:p>
        </w:tc>
        <w:tc>
          <w:tcPr>
            <w:tcW w:w="1128" w:type="pct"/>
            <w:vAlign w:val="center"/>
          </w:tcPr>
          <w:p w14:paraId="5B51F6A5" w14:textId="394E4DC7" w:rsidR="009912EB" w:rsidRPr="00217973" w:rsidRDefault="009912EB" w:rsidP="00344429">
            <w:pPr>
              <w:jc w:val="center"/>
              <w:rPr>
                <w:rFonts w:ascii="Poppins" w:hAnsi="Poppins" w:cs="Poppins"/>
                <w:color w:val="C00000"/>
                <w:sz w:val="16"/>
                <w:szCs w:val="16"/>
              </w:rPr>
            </w:pPr>
            <w:r w:rsidRPr="00217973">
              <w:rPr>
                <w:rFonts w:ascii="Poppins" w:hAnsi="Poppins" w:cs="Poppins"/>
                <w:color w:val="C00000"/>
                <w:sz w:val="16"/>
                <w:szCs w:val="16"/>
              </w:rPr>
              <w:t xml:space="preserve">+$22,290,678 </w:t>
            </w:r>
          </w:p>
        </w:tc>
      </w:tr>
    </w:tbl>
    <w:p w14:paraId="25A930F9" w14:textId="60509614" w:rsidR="00CA4189" w:rsidRPr="00CA4189" w:rsidRDefault="00217973" w:rsidP="00CA4189">
      <w:pPr>
        <w:pStyle w:val="Source"/>
      </w:pPr>
      <w:r w:rsidRPr="002557C9">
        <w:rPr>
          <w:color w:val="auto"/>
        </w:rPr>
        <w:t>Note: red text signals additional cost compared to</w:t>
      </w:r>
      <w:r w:rsidR="00C475DB" w:rsidRPr="002557C9">
        <w:rPr>
          <w:color w:val="auto"/>
        </w:rPr>
        <w:t xml:space="preserve"> current</w:t>
      </w:r>
      <w:r w:rsidRPr="002557C9">
        <w:rPr>
          <w:color w:val="auto"/>
        </w:rPr>
        <w:t xml:space="preserve"> forecast</w:t>
      </w:r>
    </w:p>
    <w:p w14:paraId="466D8218" w14:textId="1C310C45" w:rsidR="00E6091F" w:rsidRDefault="00E6091F" w:rsidP="00CA4189">
      <w:r>
        <w:t xml:space="preserve">Stakeholders suggested </w:t>
      </w:r>
      <w:r w:rsidR="0084543E">
        <w:t>the Review consider</w:t>
      </w:r>
      <w:r>
        <w:t xml:space="preserve"> test</w:t>
      </w:r>
      <w:r w:rsidR="00D6535B">
        <w:t>ing</w:t>
      </w:r>
      <w:r>
        <w:t xml:space="preserve"> </w:t>
      </w:r>
      <w:r w:rsidR="0084543E">
        <w:t xml:space="preserve">the </w:t>
      </w:r>
      <w:r>
        <w:t xml:space="preserve">pricing scenarios with the intent of bringing the Scheme closer to international prices. This is expected to make the Australian </w:t>
      </w:r>
      <w:r w:rsidR="00B23963">
        <w:t>s</w:t>
      </w:r>
      <w:r>
        <w:t>toma market more attractive for suppliers to release and test newer and more efficient appliances, leading to better outcomes for ostomates in Australia.</w:t>
      </w:r>
    </w:p>
    <w:p w14:paraId="1F077A85" w14:textId="66305F18" w:rsidR="002C1ADF" w:rsidRPr="00D6152E" w:rsidRDefault="00D6152E" w:rsidP="00040DE4">
      <w:r>
        <w:rPr>
          <w:highlight w:val="yellow"/>
        </w:rPr>
        <w:fldChar w:fldCharType="begin"/>
      </w:r>
      <w:r>
        <w:rPr>
          <w:highlight w:val="yellow"/>
        </w:rPr>
        <w:instrText xml:space="preserve"> REF _Ref157419269 \h </w:instrText>
      </w:r>
      <w:r>
        <w:rPr>
          <w:highlight w:val="yellow"/>
        </w:rPr>
      </w:r>
      <w:r>
        <w:rPr>
          <w:highlight w:val="yellow"/>
        </w:rPr>
        <w:fldChar w:fldCharType="separate"/>
      </w:r>
      <w:r w:rsidR="00FE1418">
        <w:t xml:space="preserve">Figure </w:t>
      </w:r>
      <w:r w:rsidR="00FE1418">
        <w:rPr>
          <w:noProof/>
        </w:rPr>
        <w:t>14</w:t>
      </w:r>
      <w:r>
        <w:rPr>
          <w:highlight w:val="yellow"/>
        </w:rPr>
        <w:fldChar w:fldCharType="end"/>
      </w:r>
      <w:r w:rsidR="00E6091F">
        <w:t xml:space="preserve"> illustrates the unit price of five core products (as suggested by stakeholders) compared to the UK, </w:t>
      </w:r>
      <w:proofErr w:type="gramStart"/>
      <w:r w:rsidR="00E6091F">
        <w:t>Switzerland</w:t>
      </w:r>
      <w:proofErr w:type="gramEnd"/>
      <w:r w:rsidR="00E6091F">
        <w:t xml:space="preserve"> and the USA. Current (2022-23) unit prices are below all three comparator countries – on average, these five products are priced 56% higher in the UK, 412% higher in Switzerland and 243% higher in the USA. Changes to price </w:t>
      </w:r>
      <w:r w:rsidR="008558A7">
        <w:t xml:space="preserve">in 2023-24 </w:t>
      </w:r>
      <w:r w:rsidR="00E6091F">
        <w:t xml:space="preserve">via indexation (using </w:t>
      </w:r>
      <w:r w:rsidR="008558A7">
        <w:t xml:space="preserve">five-year average </w:t>
      </w:r>
      <w:r w:rsidR="00E6091F">
        <w:t xml:space="preserve">CPI) </w:t>
      </w:r>
      <w:r w:rsidR="00D66AD5">
        <w:t xml:space="preserve">or </w:t>
      </w:r>
      <w:r w:rsidR="00E6091F">
        <w:t xml:space="preserve">a one-off price increase </w:t>
      </w:r>
      <w:r w:rsidR="008558A7">
        <w:t xml:space="preserve">in both </w:t>
      </w:r>
      <w:r w:rsidR="00D66AD5">
        <w:t xml:space="preserve">benchmark price </w:t>
      </w:r>
      <w:r w:rsidR="00D66AD5" w:rsidRPr="00D66AD5">
        <w:t xml:space="preserve">(10%) </w:t>
      </w:r>
      <w:r w:rsidR="00D66AD5">
        <w:t xml:space="preserve">and </w:t>
      </w:r>
      <w:r w:rsidR="00D66AD5">
        <w:lastRenderedPageBreak/>
        <w:t xml:space="preserve">premium price (10%) </w:t>
      </w:r>
      <w:r w:rsidR="00E6091F">
        <w:t>close this gap slightly, although international comparators are still higher for all five products.</w:t>
      </w:r>
      <w:r w:rsidR="00D66AD5">
        <w:t xml:space="preserve"> The last row demonstrates the 2024-25 prices if a one-off increase was applied in 2023-24 and then indexation was applied in 2024-25. </w:t>
      </w:r>
      <w:r w:rsidR="00C31EE1">
        <w:t xml:space="preserve">Prices </w:t>
      </w:r>
      <w:r w:rsidR="00000959">
        <w:t xml:space="preserve">for the five core products </w:t>
      </w:r>
      <w:r w:rsidR="00C31EE1">
        <w:t>are still higher in the UK (37</w:t>
      </w:r>
      <w:r w:rsidR="00000959">
        <w:t>%</w:t>
      </w:r>
      <w:r w:rsidR="00C31EE1">
        <w:t xml:space="preserve"> higher on average), </w:t>
      </w:r>
      <w:r w:rsidR="00000959">
        <w:t xml:space="preserve">Switzerland (350% higher on average) and the </w:t>
      </w:r>
      <w:r w:rsidR="00C31EE1">
        <w:t>USA (</w:t>
      </w:r>
      <w:r w:rsidR="001B619C">
        <w:t>201% higher on average).</w:t>
      </w:r>
    </w:p>
    <w:p w14:paraId="01F184D3" w14:textId="1BE1EE4F" w:rsidR="00D6152E" w:rsidRDefault="00D6152E" w:rsidP="00E31D01">
      <w:pPr>
        <w:pStyle w:val="Caption"/>
      </w:pPr>
      <w:bookmarkStart w:id="86" w:name="_Ref157419269"/>
      <w:bookmarkStart w:id="87" w:name="_Toc161743138"/>
      <w:r>
        <w:t xml:space="preserve">Figure </w:t>
      </w:r>
      <w:r>
        <w:fldChar w:fldCharType="begin"/>
      </w:r>
      <w:r>
        <w:instrText xml:space="preserve"> SEQ Figure \* ARABIC </w:instrText>
      </w:r>
      <w:r>
        <w:fldChar w:fldCharType="separate"/>
      </w:r>
      <w:r w:rsidR="00FE1418">
        <w:rPr>
          <w:noProof/>
        </w:rPr>
        <w:t>14</w:t>
      </w:r>
      <w:r>
        <w:rPr>
          <w:noProof/>
        </w:rPr>
        <w:fldChar w:fldCharType="end"/>
      </w:r>
      <w:bookmarkEnd w:id="86"/>
      <w:r>
        <w:t xml:space="preserve">: </w:t>
      </w:r>
      <w:r w:rsidRPr="008874E7">
        <w:t>International comparison of the unit price of five core products</w:t>
      </w:r>
      <w:r w:rsidR="008558A7">
        <w:t xml:space="preserve"> under indexation and one-off price </w:t>
      </w:r>
      <w:proofErr w:type="gramStart"/>
      <w:r w:rsidR="008558A7">
        <w:t>increases</w:t>
      </w:r>
      <w:bookmarkEnd w:id="87"/>
      <w:proofErr w:type="gramEnd"/>
    </w:p>
    <w:p w14:paraId="7CF196A9" w14:textId="45BF6917" w:rsidR="00D825A1" w:rsidRDefault="00D825A1" w:rsidP="00D825A1">
      <w:pPr>
        <w:pStyle w:val="Source"/>
      </w:pPr>
    </w:p>
    <w:p w14:paraId="45995CFD" w14:textId="17D390BB" w:rsidR="00471851" w:rsidRDefault="00471851" w:rsidP="00D825A1">
      <w:pPr>
        <w:pStyle w:val="Source"/>
        <w:rPr>
          <w:sz w:val="16"/>
          <w:szCs w:val="18"/>
        </w:rPr>
      </w:pPr>
      <w:r>
        <w:rPr>
          <w:noProof/>
          <w:sz w:val="16"/>
          <w:szCs w:val="18"/>
        </w:rPr>
        <w:drawing>
          <wp:inline distT="0" distB="0" distL="0" distR="0" wp14:anchorId="2A8D6055" wp14:editId="0417D3A7">
            <wp:extent cx="6254814" cy="4152900"/>
            <wp:effectExtent l="0" t="0" r="0" b="0"/>
            <wp:docPr id="389810075" name="Picture 1" descr="Figure 14: International comparison of the unit price and five core products under indexation and one-off price increa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810075" name="Picture 1" descr="Figure 14: International comparison of the unit price and five core products under indexation and one-off price increase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69267" cy="4162496"/>
                    </a:xfrm>
                    <a:prstGeom prst="rect">
                      <a:avLst/>
                    </a:prstGeom>
                    <a:noFill/>
                  </pic:spPr>
                </pic:pic>
              </a:graphicData>
            </a:graphic>
          </wp:inline>
        </w:drawing>
      </w:r>
    </w:p>
    <w:p w14:paraId="6BEAE353" w14:textId="629E0B23" w:rsidR="00BE5406" w:rsidRDefault="00D825A1" w:rsidP="00D825A1">
      <w:pPr>
        <w:pStyle w:val="Source"/>
        <w:rPr>
          <w:sz w:val="16"/>
          <w:szCs w:val="18"/>
        </w:rPr>
      </w:pPr>
      <w:r w:rsidRPr="002557C9">
        <w:rPr>
          <w:color w:val="auto"/>
          <w:sz w:val="16"/>
          <w:szCs w:val="18"/>
        </w:rPr>
        <w:t xml:space="preserve">Note: </w:t>
      </w:r>
      <w:r w:rsidR="004E3FBB" w:rsidRPr="002557C9">
        <w:rPr>
          <w:color w:val="auto"/>
          <w:sz w:val="16"/>
          <w:szCs w:val="18"/>
        </w:rPr>
        <w:t xml:space="preserve">Indexation price is the potential 2023-24 price if the </w:t>
      </w:r>
      <w:proofErr w:type="gramStart"/>
      <w:r w:rsidR="004E3FBB" w:rsidRPr="002557C9">
        <w:rPr>
          <w:color w:val="auto"/>
          <w:sz w:val="16"/>
          <w:szCs w:val="18"/>
        </w:rPr>
        <w:t>five year</w:t>
      </w:r>
      <w:proofErr w:type="gramEnd"/>
      <w:r w:rsidR="004E3FBB" w:rsidRPr="002557C9">
        <w:rPr>
          <w:color w:val="auto"/>
          <w:sz w:val="16"/>
          <w:szCs w:val="18"/>
        </w:rPr>
        <w:t xml:space="preserve"> average June CPI was applied to 2022-23 prices. One-off increase is the potential 2023-24 price if both benchmark and premium prices were increased by 10%, and the one-off increase then indexation </w:t>
      </w:r>
      <w:r w:rsidR="00DA2CAE" w:rsidRPr="002557C9">
        <w:rPr>
          <w:color w:val="auto"/>
          <w:sz w:val="16"/>
          <w:szCs w:val="18"/>
        </w:rPr>
        <w:t>applies the one-off increase in FY24, followed by indexation in FY25</w:t>
      </w:r>
      <w:r w:rsidR="00CD55C6" w:rsidRPr="002557C9">
        <w:rPr>
          <w:color w:val="auto"/>
          <w:sz w:val="16"/>
          <w:szCs w:val="18"/>
        </w:rPr>
        <w:t xml:space="preserve"> (i.e. compounded increases)</w:t>
      </w:r>
      <w:r w:rsidR="00DA2CAE" w:rsidRPr="002557C9">
        <w:rPr>
          <w:color w:val="auto"/>
          <w:sz w:val="16"/>
          <w:szCs w:val="18"/>
        </w:rPr>
        <w:t xml:space="preserve">. </w:t>
      </w:r>
    </w:p>
    <w:p w14:paraId="41D3204C" w14:textId="66C9EF36" w:rsidR="00D825A1" w:rsidRPr="00D825A1" w:rsidRDefault="00D825A1" w:rsidP="00D825A1">
      <w:pPr>
        <w:pStyle w:val="Source"/>
        <w:rPr>
          <w:sz w:val="16"/>
          <w:szCs w:val="18"/>
        </w:rPr>
      </w:pPr>
      <w:r w:rsidRPr="002557C9">
        <w:rPr>
          <w:color w:val="auto"/>
          <w:sz w:val="16"/>
          <w:szCs w:val="18"/>
        </w:rPr>
        <w:t xml:space="preserve">Conversions from international currency to </w:t>
      </w:r>
      <w:r w:rsidR="00E739AA" w:rsidRPr="002557C9">
        <w:rPr>
          <w:color w:val="auto"/>
          <w:sz w:val="16"/>
          <w:szCs w:val="18"/>
        </w:rPr>
        <w:t>Australian Dollar (</w:t>
      </w:r>
      <w:r w:rsidRPr="002557C9">
        <w:rPr>
          <w:color w:val="auto"/>
          <w:sz w:val="16"/>
          <w:szCs w:val="18"/>
        </w:rPr>
        <w:t>AUD</w:t>
      </w:r>
      <w:r w:rsidR="00E739AA" w:rsidRPr="002557C9">
        <w:rPr>
          <w:color w:val="auto"/>
          <w:sz w:val="16"/>
          <w:szCs w:val="18"/>
        </w:rPr>
        <w:t>)</w:t>
      </w:r>
      <w:r w:rsidRPr="002557C9">
        <w:rPr>
          <w:color w:val="auto"/>
          <w:sz w:val="16"/>
          <w:szCs w:val="18"/>
        </w:rPr>
        <w:t xml:space="preserve"> were based on the following exchange rates: 1 GBP = 1.92 AUD, 1 CHF = 1.73 AUD, 1 USD = 1.54 AUD.</w:t>
      </w:r>
    </w:p>
    <w:p w14:paraId="5B8AD8E0" w14:textId="5E63E5A9" w:rsidR="00D825A1" w:rsidRPr="00D825A1" w:rsidRDefault="00D825A1" w:rsidP="00D825A1">
      <w:pPr>
        <w:pStyle w:val="Source"/>
        <w:rPr>
          <w:sz w:val="16"/>
          <w:szCs w:val="18"/>
        </w:rPr>
      </w:pPr>
      <w:r w:rsidRPr="002557C9">
        <w:rPr>
          <w:color w:val="auto"/>
          <w:sz w:val="16"/>
          <w:szCs w:val="18"/>
        </w:rPr>
        <w:t>USA prices are scheduled within a ran</w:t>
      </w:r>
      <w:r w:rsidR="00F57C89" w:rsidRPr="002557C9">
        <w:rPr>
          <w:color w:val="auto"/>
          <w:sz w:val="16"/>
          <w:szCs w:val="18"/>
        </w:rPr>
        <w:t>g</w:t>
      </w:r>
      <w:r w:rsidRPr="002557C9">
        <w:rPr>
          <w:color w:val="auto"/>
          <w:sz w:val="16"/>
          <w:szCs w:val="18"/>
        </w:rPr>
        <w:t>e - the price ceilings are used here.</w:t>
      </w:r>
    </w:p>
    <w:p w14:paraId="38420353" w14:textId="50285AD6" w:rsidR="00E51893" w:rsidRDefault="00D825A1" w:rsidP="00F61D58">
      <w:pPr>
        <w:pStyle w:val="Source"/>
        <w:rPr>
          <w:sz w:val="16"/>
          <w:szCs w:val="18"/>
        </w:rPr>
      </w:pPr>
      <w:r w:rsidRPr="002557C9">
        <w:rPr>
          <w:color w:val="auto"/>
          <w:sz w:val="16"/>
          <w:szCs w:val="18"/>
        </w:rPr>
        <w:t>Sources: U</w:t>
      </w:r>
      <w:r w:rsidR="00600650" w:rsidRPr="002557C9">
        <w:rPr>
          <w:color w:val="auto"/>
          <w:sz w:val="16"/>
          <w:szCs w:val="18"/>
        </w:rPr>
        <w:t>K</w:t>
      </w:r>
      <w:r w:rsidRPr="002557C9">
        <w:rPr>
          <w:color w:val="auto"/>
          <w:sz w:val="16"/>
          <w:szCs w:val="18"/>
        </w:rPr>
        <w:t xml:space="preserve"> Drug Tariff Part IX October 2023, </w:t>
      </w:r>
      <w:proofErr w:type="spellStart"/>
      <w:r w:rsidRPr="002557C9">
        <w:rPr>
          <w:color w:val="auto"/>
          <w:sz w:val="16"/>
          <w:szCs w:val="18"/>
        </w:rPr>
        <w:t>Mediq</w:t>
      </w:r>
      <w:proofErr w:type="spellEnd"/>
      <w:r w:rsidRPr="002557C9">
        <w:rPr>
          <w:color w:val="auto"/>
          <w:sz w:val="16"/>
          <w:szCs w:val="18"/>
        </w:rPr>
        <w:t xml:space="preserve"> Suisse Catalogue des </w:t>
      </w:r>
      <w:proofErr w:type="spellStart"/>
      <w:r w:rsidRPr="002557C9">
        <w:rPr>
          <w:color w:val="auto"/>
          <w:sz w:val="16"/>
          <w:szCs w:val="18"/>
        </w:rPr>
        <w:t>produits</w:t>
      </w:r>
      <w:proofErr w:type="spellEnd"/>
      <w:r w:rsidRPr="002557C9">
        <w:rPr>
          <w:color w:val="auto"/>
          <w:sz w:val="16"/>
          <w:szCs w:val="18"/>
        </w:rPr>
        <w:t xml:space="preserve"> </w:t>
      </w:r>
      <w:proofErr w:type="spellStart"/>
      <w:r w:rsidRPr="002557C9">
        <w:rPr>
          <w:color w:val="auto"/>
          <w:sz w:val="16"/>
          <w:szCs w:val="18"/>
        </w:rPr>
        <w:t>stomie</w:t>
      </w:r>
      <w:proofErr w:type="spellEnd"/>
      <w:r w:rsidRPr="002557C9">
        <w:rPr>
          <w:color w:val="auto"/>
          <w:sz w:val="16"/>
          <w:szCs w:val="18"/>
        </w:rPr>
        <w:t>, USA Durable Medical Equipment, Prosthetics, Orthotics, and Supplied (DMEPOS) October 2023 Fee Schedule</w:t>
      </w:r>
    </w:p>
    <w:p w14:paraId="07DFC27A" w14:textId="77777777" w:rsidR="00E51893" w:rsidRDefault="00E51893" w:rsidP="00F61D58">
      <w:pPr>
        <w:pStyle w:val="Source"/>
        <w:rPr>
          <w:sz w:val="16"/>
          <w:szCs w:val="18"/>
        </w:rPr>
        <w:sectPr w:rsidR="00E51893" w:rsidSect="00361225">
          <w:pgSz w:w="11906" w:h="16838" w:code="9"/>
          <w:pgMar w:top="1134" w:right="1134" w:bottom="1134" w:left="1134" w:header="709" w:footer="510" w:gutter="0"/>
          <w:cols w:space="708"/>
          <w:docGrid w:linePitch="360"/>
        </w:sectPr>
      </w:pPr>
    </w:p>
    <w:p w14:paraId="2A7A6401" w14:textId="77777777" w:rsidR="00F61D58" w:rsidRDefault="00F61D58" w:rsidP="00F61D58">
      <w:pPr>
        <w:pStyle w:val="Heading2"/>
      </w:pPr>
      <w:r>
        <w:lastRenderedPageBreak/>
        <w:t>Time components</w:t>
      </w:r>
    </w:p>
    <w:p w14:paraId="2D2704D5" w14:textId="347F094E" w:rsidR="00197B64" w:rsidRDefault="00F61D58" w:rsidP="00F61D58">
      <w:r>
        <w:t>There was mixed feedback from s</w:t>
      </w:r>
      <w:r w:rsidRPr="007855F2">
        <w:t xml:space="preserve">takeholders </w:t>
      </w:r>
      <w:r>
        <w:t>on the expected future</w:t>
      </w:r>
      <w:r w:rsidRPr="007855F2">
        <w:t xml:space="preserve"> increase </w:t>
      </w:r>
      <w:r>
        <w:t xml:space="preserve">or decrease </w:t>
      </w:r>
      <w:r w:rsidRPr="007855F2">
        <w:t xml:space="preserve">in number of ostomates </w:t>
      </w:r>
      <w:r>
        <w:t xml:space="preserve">accessing the </w:t>
      </w:r>
      <w:r w:rsidR="00EB3162">
        <w:t>S</w:t>
      </w:r>
      <w:r>
        <w:t>cheme</w:t>
      </w:r>
      <w:r w:rsidRPr="007855F2">
        <w:t>. Potential</w:t>
      </w:r>
      <w:r>
        <w:t>ly,</w:t>
      </w:r>
      <w:r w:rsidRPr="007855F2">
        <w:t xml:space="preserve"> more temporary stomas are being performed, as well as more stomas on older people</w:t>
      </w:r>
      <w:r>
        <w:t xml:space="preserve">, however technological advancements in surgery and medical care may help offset these increases. </w:t>
      </w:r>
      <w:r w:rsidRPr="007855F2">
        <w:t xml:space="preserve">Additionally, there may be an increase in ostomates </w:t>
      </w:r>
      <w:r>
        <w:t>in line with</w:t>
      </w:r>
      <w:r w:rsidRPr="007855F2">
        <w:t xml:space="preserve"> </w:t>
      </w:r>
      <w:r>
        <w:t>projected</w:t>
      </w:r>
      <w:r w:rsidRPr="007855F2">
        <w:t xml:space="preserve"> population growth in Australia</w:t>
      </w:r>
      <w:r>
        <w:t>.</w:t>
      </w:r>
    </w:p>
    <w:p w14:paraId="345B4897" w14:textId="786DF398" w:rsidR="00F61D58" w:rsidRDefault="00F61D58" w:rsidP="00F61D58">
      <w:r>
        <w:t>Based on what was possible with the available data, the following scenario w</w:t>
      </w:r>
      <w:r w:rsidR="0067259E">
        <w:t>as</w:t>
      </w:r>
      <w:r>
        <w:t xml:space="preserve"> modelled:</w:t>
      </w:r>
    </w:p>
    <w:p w14:paraId="7280988A" w14:textId="11EE4B5B" w:rsidR="0067259E" w:rsidRDefault="0067259E" w:rsidP="0067259E">
      <w:pPr>
        <w:pStyle w:val="ListBullet"/>
      </w:pPr>
      <w:r>
        <w:t>Increase in ostomates in line with population growth.</w:t>
      </w:r>
    </w:p>
    <w:p w14:paraId="16DBFD87" w14:textId="2165F1FF" w:rsidR="0067259E" w:rsidRDefault="00197B64" w:rsidP="00197B64">
      <w:pPr>
        <w:pStyle w:val="BodyText"/>
      </w:pPr>
      <w:r>
        <w:t>This scenario tests the predicted increases in expenditure if the number of ostomates increased in line with population growth</w:t>
      </w:r>
      <w:r w:rsidR="009A41B4">
        <w:t xml:space="preserve">, as per </w:t>
      </w:r>
      <w:r w:rsidR="009A41B4">
        <w:fldChar w:fldCharType="begin"/>
      </w:r>
      <w:r w:rsidR="009A41B4">
        <w:instrText xml:space="preserve"> REF _Ref157607890 \h </w:instrText>
      </w:r>
      <w:r w:rsidR="009A41B4">
        <w:fldChar w:fldCharType="separate"/>
      </w:r>
      <w:r w:rsidR="00FE1418">
        <w:t xml:space="preserve">Table </w:t>
      </w:r>
      <w:r w:rsidR="00FE1418">
        <w:rPr>
          <w:noProof/>
        </w:rPr>
        <w:t>14</w:t>
      </w:r>
      <w:r w:rsidR="009A41B4">
        <w:fldChar w:fldCharType="end"/>
      </w:r>
      <w:r w:rsidR="009A41B4">
        <w:t>.</w:t>
      </w:r>
    </w:p>
    <w:p w14:paraId="2B67931A" w14:textId="22155E4A" w:rsidR="00867C9F" w:rsidRDefault="00FA4F71" w:rsidP="00FA4F71">
      <w:pPr>
        <w:pStyle w:val="Caption"/>
      </w:pPr>
      <w:bookmarkStart w:id="88" w:name="_Ref157607890"/>
      <w:bookmarkStart w:id="89" w:name="_Toc161743117"/>
      <w:r>
        <w:t xml:space="preserve">Table </w:t>
      </w:r>
      <w:r>
        <w:fldChar w:fldCharType="begin"/>
      </w:r>
      <w:r>
        <w:instrText xml:space="preserve"> SEQ Table \* ARABIC </w:instrText>
      </w:r>
      <w:r>
        <w:fldChar w:fldCharType="separate"/>
      </w:r>
      <w:r w:rsidR="00FE1418">
        <w:rPr>
          <w:noProof/>
        </w:rPr>
        <w:t>14</w:t>
      </w:r>
      <w:r>
        <w:rPr>
          <w:noProof/>
        </w:rPr>
        <w:fldChar w:fldCharType="end"/>
      </w:r>
      <w:bookmarkEnd w:id="88"/>
      <w:r>
        <w:t xml:space="preserve">: </w:t>
      </w:r>
      <w:r w:rsidR="00867C9F">
        <w:t>Time components</w:t>
      </w:r>
      <w:r w:rsidR="00867C9F" w:rsidRPr="005D0BA5">
        <w:t>: summary of expenditure changes</w:t>
      </w:r>
      <w:bookmarkEnd w:id="89"/>
    </w:p>
    <w:tbl>
      <w:tblPr>
        <w:tblStyle w:val="TableHealthConsultPurple"/>
        <w:tblW w:w="5000" w:type="pct"/>
        <w:tblLayout w:type="fixed"/>
        <w:tblLook w:val="0420" w:firstRow="1" w:lastRow="0" w:firstColumn="0" w:lastColumn="0" w:noHBand="0" w:noVBand="1"/>
      </w:tblPr>
      <w:tblGrid>
        <w:gridCol w:w="3376"/>
        <w:gridCol w:w="1566"/>
        <w:gridCol w:w="1566"/>
        <w:gridCol w:w="1565"/>
        <w:gridCol w:w="1565"/>
      </w:tblGrid>
      <w:tr w:rsidR="00C4315A" w:rsidRPr="009E25B9" w14:paraId="37F3259E" w14:textId="77777777" w:rsidTr="0058430B">
        <w:trPr>
          <w:cnfStyle w:val="100000000000" w:firstRow="1" w:lastRow="0" w:firstColumn="0" w:lastColumn="0" w:oddVBand="0" w:evenVBand="0" w:oddHBand="0" w:evenHBand="0" w:firstRowFirstColumn="0" w:firstRowLastColumn="0" w:lastRowFirstColumn="0" w:lastRowLastColumn="0"/>
        </w:trPr>
        <w:tc>
          <w:tcPr>
            <w:tcW w:w="1751" w:type="pct"/>
            <w:vAlign w:val="center"/>
          </w:tcPr>
          <w:p w14:paraId="7F49E082" w14:textId="77777777" w:rsidR="00C4315A" w:rsidRPr="009E25B9" w:rsidRDefault="00C4315A" w:rsidP="003038A5">
            <w:pPr>
              <w:rPr>
                <w:sz w:val="16"/>
                <w:szCs w:val="16"/>
              </w:rPr>
            </w:pPr>
            <w:r w:rsidRPr="009E25B9">
              <w:rPr>
                <w:sz w:val="16"/>
                <w:szCs w:val="16"/>
              </w:rPr>
              <w:t>Scenario</w:t>
            </w:r>
          </w:p>
        </w:tc>
        <w:tc>
          <w:tcPr>
            <w:tcW w:w="812" w:type="pct"/>
            <w:vAlign w:val="center"/>
          </w:tcPr>
          <w:p w14:paraId="0B60E568" w14:textId="77777777" w:rsidR="00C4315A" w:rsidRPr="00D12723" w:rsidRDefault="00C4315A" w:rsidP="00C4315A">
            <w:pPr>
              <w:jc w:val="center"/>
              <w:rPr>
                <w:rFonts w:ascii="Poppins" w:hAnsi="Poppins" w:cs="Poppins"/>
                <w:b w:val="0"/>
                <w:bCs/>
                <w:sz w:val="16"/>
                <w:szCs w:val="16"/>
              </w:rPr>
            </w:pPr>
          </w:p>
        </w:tc>
        <w:tc>
          <w:tcPr>
            <w:tcW w:w="812" w:type="pct"/>
            <w:vAlign w:val="center"/>
          </w:tcPr>
          <w:p w14:paraId="61D7F05D" w14:textId="4FBFC7CD" w:rsidR="00C4315A" w:rsidRPr="003038A5" w:rsidRDefault="00C4315A" w:rsidP="00C4315A">
            <w:pPr>
              <w:jc w:val="center"/>
              <w:rPr>
                <w:rFonts w:ascii="Poppins" w:hAnsi="Poppins" w:cs="Poppins"/>
                <w:color w:val="000000"/>
                <w:sz w:val="16"/>
                <w:szCs w:val="16"/>
              </w:rPr>
            </w:pPr>
            <w:r w:rsidRPr="003038A5">
              <w:rPr>
                <w:rFonts w:ascii="Poppins" w:hAnsi="Poppins" w:cs="Poppins"/>
                <w:sz w:val="16"/>
                <w:szCs w:val="16"/>
              </w:rPr>
              <w:t>2023-24</w:t>
            </w:r>
          </w:p>
        </w:tc>
        <w:tc>
          <w:tcPr>
            <w:tcW w:w="812" w:type="pct"/>
            <w:vAlign w:val="center"/>
          </w:tcPr>
          <w:p w14:paraId="342D0CBB" w14:textId="7539549B" w:rsidR="00C4315A" w:rsidRPr="003038A5" w:rsidRDefault="00C4315A" w:rsidP="00C4315A">
            <w:pPr>
              <w:jc w:val="center"/>
              <w:rPr>
                <w:rFonts w:ascii="Poppins" w:hAnsi="Poppins" w:cs="Poppins"/>
                <w:color w:val="000000"/>
                <w:sz w:val="16"/>
                <w:szCs w:val="16"/>
              </w:rPr>
            </w:pPr>
            <w:r w:rsidRPr="003038A5">
              <w:rPr>
                <w:rFonts w:ascii="Poppins" w:hAnsi="Poppins" w:cs="Poppins"/>
                <w:sz w:val="16"/>
                <w:szCs w:val="16"/>
              </w:rPr>
              <w:t>2024-25</w:t>
            </w:r>
          </w:p>
        </w:tc>
        <w:tc>
          <w:tcPr>
            <w:tcW w:w="812" w:type="pct"/>
            <w:vAlign w:val="center"/>
          </w:tcPr>
          <w:p w14:paraId="3F4E3FD2" w14:textId="5E20B99D" w:rsidR="00C4315A" w:rsidRPr="003038A5" w:rsidRDefault="00C4315A" w:rsidP="00C4315A">
            <w:pPr>
              <w:jc w:val="center"/>
              <w:rPr>
                <w:rFonts w:ascii="Poppins" w:hAnsi="Poppins" w:cs="Poppins"/>
                <w:color w:val="000000"/>
                <w:sz w:val="16"/>
                <w:szCs w:val="16"/>
              </w:rPr>
            </w:pPr>
            <w:r w:rsidRPr="003038A5">
              <w:rPr>
                <w:rFonts w:ascii="Poppins" w:hAnsi="Poppins" w:cs="Poppins"/>
                <w:sz w:val="16"/>
                <w:szCs w:val="16"/>
              </w:rPr>
              <w:t>2025-26</w:t>
            </w:r>
          </w:p>
        </w:tc>
      </w:tr>
      <w:tr w:rsidR="00827A73" w:rsidRPr="009E25B9" w14:paraId="0C621264" w14:textId="77777777" w:rsidTr="0058430B">
        <w:tc>
          <w:tcPr>
            <w:tcW w:w="1751" w:type="pct"/>
            <w:vMerge w:val="restart"/>
            <w:vAlign w:val="center"/>
          </w:tcPr>
          <w:p w14:paraId="05F6FF6F" w14:textId="4315D0BC" w:rsidR="00827A73" w:rsidRPr="009E25B9" w:rsidRDefault="00827A73" w:rsidP="003038A5">
            <w:pPr>
              <w:rPr>
                <w:sz w:val="16"/>
                <w:szCs w:val="16"/>
              </w:rPr>
            </w:pPr>
            <w:r w:rsidRPr="009E25B9">
              <w:rPr>
                <w:sz w:val="16"/>
                <w:szCs w:val="16"/>
              </w:rPr>
              <w:t>1</w:t>
            </w:r>
            <w:r w:rsidR="00CF222C">
              <w:rPr>
                <w:sz w:val="16"/>
                <w:szCs w:val="16"/>
              </w:rPr>
              <w:t>9</w:t>
            </w:r>
            <w:r w:rsidRPr="009E25B9">
              <w:rPr>
                <w:sz w:val="16"/>
                <w:szCs w:val="16"/>
              </w:rPr>
              <w:t xml:space="preserve">. </w:t>
            </w:r>
            <w:r>
              <w:rPr>
                <w:sz w:val="16"/>
                <w:szCs w:val="16"/>
              </w:rPr>
              <w:t>Increase in ostomates in line with population growth</w:t>
            </w:r>
          </w:p>
        </w:tc>
        <w:tc>
          <w:tcPr>
            <w:tcW w:w="812" w:type="pct"/>
            <w:vAlign w:val="center"/>
          </w:tcPr>
          <w:p w14:paraId="014F08DE" w14:textId="51253361" w:rsidR="00827A73" w:rsidRPr="00D12723" w:rsidRDefault="00827A73" w:rsidP="00C4315A">
            <w:pPr>
              <w:jc w:val="center"/>
              <w:rPr>
                <w:rFonts w:ascii="Poppins" w:hAnsi="Poppins" w:cs="Poppins"/>
                <w:bCs/>
                <w:color w:val="C00000"/>
                <w:sz w:val="16"/>
                <w:szCs w:val="16"/>
              </w:rPr>
            </w:pPr>
            <w:r w:rsidRPr="00D12723">
              <w:rPr>
                <w:rFonts w:ascii="Poppins" w:hAnsi="Poppins" w:cs="Poppins"/>
                <w:bCs/>
                <w:sz w:val="16"/>
                <w:szCs w:val="16"/>
              </w:rPr>
              <w:t>Expenditure</w:t>
            </w:r>
          </w:p>
        </w:tc>
        <w:tc>
          <w:tcPr>
            <w:tcW w:w="812" w:type="pct"/>
            <w:vAlign w:val="center"/>
          </w:tcPr>
          <w:p w14:paraId="1AED3346" w14:textId="4919E410" w:rsidR="00827A73" w:rsidRPr="009E25B9" w:rsidRDefault="00827A73" w:rsidP="00C4315A">
            <w:pPr>
              <w:jc w:val="center"/>
              <w:rPr>
                <w:sz w:val="16"/>
                <w:szCs w:val="16"/>
              </w:rPr>
            </w:pPr>
            <w:r w:rsidRPr="00BD4212">
              <w:rPr>
                <w:rFonts w:ascii="Poppins" w:hAnsi="Poppins" w:cs="Poppins"/>
                <w:color w:val="C00000"/>
                <w:sz w:val="16"/>
                <w:szCs w:val="16"/>
              </w:rPr>
              <w:t>+$1,345,479</w:t>
            </w:r>
          </w:p>
        </w:tc>
        <w:tc>
          <w:tcPr>
            <w:tcW w:w="812" w:type="pct"/>
            <w:vAlign w:val="center"/>
          </w:tcPr>
          <w:p w14:paraId="18D4D056" w14:textId="5BF5FA24" w:rsidR="00827A73" w:rsidRPr="009E25B9" w:rsidRDefault="00827A73" w:rsidP="00C4315A">
            <w:pPr>
              <w:jc w:val="center"/>
              <w:rPr>
                <w:rFonts w:ascii="Poppins" w:hAnsi="Poppins" w:cs="Poppins"/>
                <w:color w:val="000000"/>
                <w:sz w:val="16"/>
                <w:szCs w:val="16"/>
              </w:rPr>
            </w:pPr>
            <w:r w:rsidRPr="00BD4212">
              <w:rPr>
                <w:rFonts w:ascii="Poppins" w:hAnsi="Poppins" w:cs="Poppins"/>
                <w:color w:val="C00000"/>
                <w:sz w:val="16"/>
                <w:szCs w:val="16"/>
              </w:rPr>
              <w:t>+$2,452,582</w:t>
            </w:r>
          </w:p>
        </w:tc>
        <w:tc>
          <w:tcPr>
            <w:tcW w:w="812" w:type="pct"/>
            <w:vAlign w:val="center"/>
          </w:tcPr>
          <w:p w14:paraId="374926CB" w14:textId="7B0DE9A6" w:rsidR="00827A73" w:rsidRPr="009E25B9" w:rsidRDefault="00827A73" w:rsidP="00C4315A">
            <w:pPr>
              <w:jc w:val="center"/>
              <w:rPr>
                <w:rFonts w:ascii="Poppins" w:hAnsi="Poppins" w:cs="Poppins"/>
                <w:color w:val="000000"/>
                <w:sz w:val="16"/>
                <w:szCs w:val="16"/>
              </w:rPr>
            </w:pPr>
            <w:r w:rsidRPr="00BD4212">
              <w:rPr>
                <w:rFonts w:ascii="Poppins" w:hAnsi="Poppins" w:cs="Poppins"/>
                <w:color w:val="C00000"/>
                <w:sz w:val="16"/>
                <w:szCs w:val="16"/>
              </w:rPr>
              <w:t>+$3,378,739</w:t>
            </w:r>
          </w:p>
        </w:tc>
      </w:tr>
      <w:tr w:rsidR="00827A73" w:rsidRPr="009E25B9" w14:paraId="14F2CF6D" w14:textId="77777777" w:rsidTr="0058430B">
        <w:trPr>
          <w:cnfStyle w:val="000000010000" w:firstRow="0" w:lastRow="0" w:firstColumn="0" w:lastColumn="0" w:oddVBand="0" w:evenVBand="0" w:oddHBand="0" w:evenHBand="1" w:firstRowFirstColumn="0" w:firstRowLastColumn="0" w:lastRowFirstColumn="0" w:lastRowLastColumn="0"/>
        </w:trPr>
        <w:tc>
          <w:tcPr>
            <w:tcW w:w="1751" w:type="pct"/>
            <w:vMerge/>
            <w:vAlign w:val="center"/>
          </w:tcPr>
          <w:p w14:paraId="2968353C" w14:textId="3EEEDBC9" w:rsidR="00827A73" w:rsidRPr="009E25B9" w:rsidRDefault="00827A73" w:rsidP="005C7AC1">
            <w:pPr>
              <w:rPr>
                <w:sz w:val="16"/>
                <w:szCs w:val="16"/>
              </w:rPr>
            </w:pPr>
          </w:p>
        </w:tc>
        <w:tc>
          <w:tcPr>
            <w:tcW w:w="812" w:type="pct"/>
            <w:vAlign w:val="center"/>
          </w:tcPr>
          <w:p w14:paraId="3A6A321E" w14:textId="40DAB768" w:rsidR="00827A73" w:rsidRPr="009E25B9" w:rsidRDefault="0058430B" w:rsidP="00C4315A">
            <w:pPr>
              <w:jc w:val="center"/>
              <w:rPr>
                <w:sz w:val="16"/>
                <w:szCs w:val="16"/>
              </w:rPr>
            </w:pPr>
            <w:r>
              <w:rPr>
                <w:sz w:val="16"/>
                <w:szCs w:val="16"/>
              </w:rPr>
              <w:t>Total n</w:t>
            </w:r>
            <w:r w:rsidR="00827A73">
              <w:rPr>
                <w:sz w:val="16"/>
                <w:szCs w:val="16"/>
              </w:rPr>
              <w:t>umber of ostomates</w:t>
            </w:r>
            <w:r>
              <w:rPr>
                <w:sz w:val="16"/>
                <w:szCs w:val="16"/>
              </w:rPr>
              <w:t xml:space="preserve"> </w:t>
            </w:r>
          </w:p>
        </w:tc>
        <w:tc>
          <w:tcPr>
            <w:tcW w:w="812" w:type="pct"/>
            <w:vAlign w:val="center"/>
          </w:tcPr>
          <w:p w14:paraId="2B41CA4A" w14:textId="7A4942CC" w:rsidR="50427EFC" w:rsidRPr="26B082D3" w:rsidRDefault="50427EFC" w:rsidP="26B082D3">
            <w:pPr>
              <w:jc w:val="center"/>
              <w:rPr>
                <w:rFonts w:ascii="Poppins" w:eastAsia="Poppins" w:hAnsi="Poppins" w:cs="Poppins"/>
                <w:color w:val="C00000"/>
                <w:sz w:val="22"/>
                <w:szCs w:val="22"/>
              </w:rPr>
            </w:pPr>
            <w:r w:rsidRPr="00162803">
              <w:rPr>
                <w:rFonts w:ascii="Poppins" w:hAnsi="Poppins" w:cs="Poppins"/>
                <w:color w:val="000000" w:themeColor="text1"/>
                <w:sz w:val="16"/>
                <w:szCs w:val="16"/>
              </w:rPr>
              <w:t>49,689</w:t>
            </w:r>
          </w:p>
        </w:tc>
        <w:tc>
          <w:tcPr>
            <w:tcW w:w="812" w:type="pct"/>
            <w:vAlign w:val="center"/>
          </w:tcPr>
          <w:p w14:paraId="15FA3042" w14:textId="729A1F51" w:rsidR="26B082D3" w:rsidRDefault="00162803" w:rsidP="26B082D3">
            <w:pPr>
              <w:jc w:val="center"/>
              <w:rPr>
                <w:rFonts w:ascii="Poppins" w:hAnsi="Poppins" w:cs="Poppins"/>
                <w:color w:val="000000" w:themeColor="text1"/>
                <w:sz w:val="16"/>
                <w:szCs w:val="16"/>
              </w:rPr>
            </w:pPr>
            <w:r w:rsidRPr="00162803">
              <w:rPr>
                <w:rFonts w:ascii="Poppins" w:hAnsi="Poppins" w:cs="Poppins"/>
                <w:color w:val="000000" w:themeColor="text1"/>
                <w:sz w:val="16"/>
                <w:szCs w:val="16"/>
              </w:rPr>
              <w:t>50,468</w:t>
            </w:r>
          </w:p>
        </w:tc>
        <w:tc>
          <w:tcPr>
            <w:tcW w:w="812" w:type="pct"/>
            <w:vAlign w:val="center"/>
          </w:tcPr>
          <w:p w14:paraId="3A1A105F" w14:textId="26BF57B4" w:rsidR="26B082D3" w:rsidRDefault="00162803" w:rsidP="26B082D3">
            <w:pPr>
              <w:jc w:val="center"/>
              <w:rPr>
                <w:rFonts w:ascii="Poppins" w:hAnsi="Poppins" w:cs="Poppins"/>
                <w:color w:val="000000" w:themeColor="text1"/>
                <w:sz w:val="16"/>
                <w:szCs w:val="16"/>
              </w:rPr>
            </w:pPr>
            <w:r w:rsidRPr="00162803">
              <w:rPr>
                <w:rFonts w:ascii="Poppins" w:hAnsi="Poppins" w:cs="Poppins"/>
                <w:color w:val="000000" w:themeColor="text1"/>
                <w:sz w:val="16"/>
                <w:szCs w:val="16"/>
              </w:rPr>
              <w:t>51,225</w:t>
            </w:r>
          </w:p>
        </w:tc>
      </w:tr>
    </w:tbl>
    <w:p w14:paraId="42082394" w14:textId="77777777" w:rsidR="00197B64" w:rsidRDefault="00197B64" w:rsidP="00197B64">
      <w:pPr>
        <w:pStyle w:val="BodyText"/>
      </w:pPr>
    </w:p>
    <w:p w14:paraId="58F13FB5" w14:textId="7AE09252" w:rsidR="00EA0C6A" w:rsidRPr="00075C1D" w:rsidRDefault="00EA0C6A" w:rsidP="00EA0C6A">
      <w:pPr>
        <w:pStyle w:val="Heading1"/>
      </w:pPr>
      <w:bookmarkStart w:id="90" w:name="_Toc156898591"/>
      <w:bookmarkStart w:id="91" w:name="_Toc161743095"/>
      <w:r>
        <w:lastRenderedPageBreak/>
        <w:t>Conclusions and Recommendations</w:t>
      </w:r>
      <w:bookmarkEnd w:id="90"/>
      <w:bookmarkEnd w:id="91"/>
    </w:p>
    <w:p w14:paraId="3A25F9AA" w14:textId="38677DF2" w:rsidR="00EA0C6A" w:rsidRDefault="00EA0C6A" w:rsidP="002B285C">
      <w:pPr>
        <w:pStyle w:val="BodyText"/>
      </w:pPr>
      <w:r>
        <w:t xml:space="preserve">This </w:t>
      </w:r>
      <w:r w:rsidRPr="00CB76DE">
        <w:t xml:space="preserve">Chapter </w:t>
      </w:r>
      <w:r w:rsidR="00181EFC">
        <w:t xml:space="preserve">summarises the </w:t>
      </w:r>
      <w:r w:rsidR="00BF009A">
        <w:t>keys</w:t>
      </w:r>
      <w:r>
        <w:t xml:space="preserve"> findings </w:t>
      </w:r>
      <w:r w:rsidR="00181EFC">
        <w:t xml:space="preserve">of the Review and provides </w:t>
      </w:r>
      <w:r>
        <w:t xml:space="preserve">recommendations </w:t>
      </w:r>
      <w:r w:rsidRPr="00CB76DE">
        <w:t>to enhance and optimi</w:t>
      </w:r>
      <w:r>
        <w:t>s</w:t>
      </w:r>
      <w:r w:rsidRPr="00CB76DE">
        <w:t xml:space="preserve">e the Scheme. </w:t>
      </w:r>
    </w:p>
    <w:p w14:paraId="218B75CC" w14:textId="77777777" w:rsidR="00EA0C6A" w:rsidRDefault="00EA0C6A" w:rsidP="009B5965">
      <w:pPr>
        <w:pStyle w:val="Heading2"/>
      </w:pPr>
      <w:r>
        <w:t>Clinical eligibility assessment</w:t>
      </w:r>
    </w:p>
    <w:p w14:paraId="2FEB6E17" w14:textId="54B7084B" w:rsidR="00604DB8" w:rsidRDefault="00604DB8" w:rsidP="00604DB8">
      <w:pPr>
        <w:pStyle w:val="BodyText"/>
      </w:pPr>
      <w:r>
        <w:t>The Scheme has adapt</w:t>
      </w:r>
      <w:r w:rsidR="00026F80">
        <w:t xml:space="preserve">ed </w:t>
      </w:r>
      <w:r>
        <w:t>through periodic reviews of clinical eligibility</w:t>
      </w:r>
      <w:r w:rsidR="006F0696">
        <w:t xml:space="preserve"> </w:t>
      </w:r>
      <w:r w:rsidR="009A314B">
        <w:t xml:space="preserve">closing gaps </w:t>
      </w:r>
      <w:r>
        <w:t>for ostomates accessing subsidi</w:t>
      </w:r>
      <w:r w:rsidR="005A67FA">
        <w:t>s</w:t>
      </w:r>
      <w:r>
        <w:t>ed products without significantly increasing expenditure.</w:t>
      </w:r>
    </w:p>
    <w:p w14:paraId="5A690B97" w14:textId="34A4CB60" w:rsidR="00604DB8" w:rsidRDefault="00405F8C" w:rsidP="00604DB8">
      <w:pPr>
        <w:pStyle w:val="BodyText"/>
      </w:pPr>
      <w:r>
        <w:t>C</w:t>
      </w:r>
      <w:r w:rsidR="00604DB8">
        <w:t>ompar</w:t>
      </w:r>
      <w:r>
        <w:t>ed to</w:t>
      </w:r>
      <w:r w:rsidR="00604DB8">
        <w:t xml:space="preserve"> international stoma schemes </w:t>
      </w:r>
      <w:r>
        <w:t>(</w:t>
      </w:r>
      <w:r w:rsidR="00604DB8">
        <w:t>UK, USA, and Switzerland</w:t>
      </w:r>
      <w:r>
        <w:t>)</w:t>
      </w:r>
      <w:r w:rsidR="00604DB8">
        <w:t xml:space="preserve">, the Scheme aligns closely </w:t>
      </w:r>
      <w:r w:rsidR="0005737C">
        <w:t xml:space="preserve">with </w:t>
      </w:r>
      <w:r w:rsidR="00604DB8">
        <w:t>eligibility criteria. However, challenges persist in formally recogni</w:t>
      </w:r>
      <w:r w:rsidR="00D165BD">
        <w:t>s</w:t>
      </w:r>
      <w:r w:rsidR="00604DB8">
        <w:t xml:space="preserve">ing certain conditions, leading to the need for additional support letters or forms in cases like esophagostomies, nephrostomies, and vesicostomies. </w:t>
      </w:r>
    </w:p>
    <w:p w14:paraId="79E7B186" w14:textId="3296632D" w:rsidR="00604DB8" w:rsidRDefault="00C4006D" w:rsidP="00604DB8">
      <w:pPr>
        <w:pStyle w:val="BodyText"/>
      </w:pPr>
      <w:r>
        <w:t xml:space="preserve">Differing </w:t>
      </w:r>
      <w:r w:rsidR="00604DB8">
        <w:t>interpretations of eligibility criteria lead to inconsistencies in application</w:t>
      </w:r>
      <w:r w:rsidR="00E675A2">
        <w:t>s</w:t>
      </w:r>
      <w:r w:rsidR="00604DB8">
        <w:t xml:space="preserve">, prompting suggestions for publishing a set list of eligible stoma types to mitigate discrepancies. </w:t>
      </w:r>
      <w:r w:rsidR="008427EC">
        <w:t xml:space="preserve">While some proposed </w:t>
      </w:r>
      <w:r w:rsidR="00604DB8">
        <w:t>modify</w:t>
      </w:r>
      <w:r w:rsidR="00BE2B27">
        <w:t>ing</w:t>
      </w:r>
      <w:r w:rsidR="00604DB8">
        <w:t xml:space="preserve"> </w:t>
      </w:r>
      <w:r w:rsidR="00DD0A6A">
        <w:t>the</w:t>
      </w:r>
      <w:r w:rsidR="00604DB8">
        <w:t xml:space="preserve"> criteria to include conditions like </w:t>
      </w:r>
      <w:r w:rsidR="00460E64">
        <w:t>Hirschsprung’s</w:t>
      </w:r>
      <w:r w:rsidR="00604DB8">
        <w:t xml:space="preserve"> disease, MS, or LARS to enhance inclusivity for those requiring products available on the Scheme but lacking a technically defined stoma</w:t>
      </w:r>
      <w:r w:rsidR="00DD0A6A">
        <w:t xml:space="preserve">, it </w:t>
      </w:r>
      <w:r w:rsidR="00E753F4">
        <w:t xml:space="preserve">is </w:t>
      </w:r>
      <w:r w:rsidR="00D70C8E">
        <w:t>recommend</w:t>
      </w:r>
      <w:r w:rsidR="00E753F4">
        <w:t>ed</w:t>
      </w:r>
      <w:r w:rsidR="00D70C8E">
        <w:t xml:space="preserve"> </w:t>
      </w:r>
      <w:r w:rsidR="00E753F4">
        <w:t>that</w:t>
      </w:r>
      <w:r w:rsidR="00D70C8E">
        <w:t xml:space="preserve"> </w:t>
      </w:r>
      <w:r w:rsidR="00DD0A6A">
        <w:t xml:space="preserve">support for </w:t>
      </w:r>
      <w:r w:rsidR="00F1102E">
        <w:t>these</w:t>
      </w:r>
      <w:r w:rsidR="00DD0A6A">
        <w:t xml:space="preserve"> patients </w:t>
      </w:r>
      <w:r w:rsidR="00E753F4">
        <w:t xml:space="preserve">remain </w:t>
      </w:r>
      <w:r w:rsidR="00F1102E">
        <w:t>outside</w:t>
      </w:r>
      <w:r w:rsidR="007E4D26">
        <w:t xml:space="preserve"> the Scheme</w:t>
      </w:r>
      <w:r w:rsidR="00F1102E">
        <w:t xml:space="preserve"> so that it </w:t>
      </w:r>
      <w:r w:rsidR="00E753F4">
        <w:t>maintains</w:t>
      </w:r>
      <w:r w:rsidR="00F1102E">
        <w:t xml:space="preserve"> its intended objectives</w:t>
      </w:r>
      <w:r w:rsidR="0084046E">
        <w:t xml:space="preserve"> to “</w:t>
      </w:r>
      <w:r w:rsidR="0084046E" w:rsidRPr="0084046E">
        <w:t>provides free stoma appliances and products to people who have a stoma (ostomates)</w:t>
      </w:r>
      <w:r w:rsidR="0084046E">
        <w:t>”</w:t>
      </w:r>
      <w:r w:rsidR="0084046E" w:rsidRPr="0084046E">
        <w:t>.</w:t>
      </w:r>
      <w:r w:rsidR="00327824">
        <w:t xml:space="preserve"> </w:t>
      </w:r>
    </w:p>
    <w:p w14:paraId="2FCB0EFE" w14:textId="67780EB5" w:rsidR="00604DB8" w:rsidRDefault="00604DB8" w:rsidP="00604DB8">
      <w:pPr>
        <w:pStyle w:val="BodyText"/>
      </w:pPr>
      <w:r>
        <w:t xml:space="preserve">The </w:t>
      </w:r>
      <w:r w:rsidR="006F2FCC">
        <w:t>R</w:t>
      </w:r>
      <w:r>
        <w:t xml:space="preserve">eview considered whether the Scheme should </w:t>
      </w:r>
      <w:r w:rsidR="006B41F4">
        <w:t xml:space="preserve">expand its clinical eligibility and </w:t>
      </w:r>
      <w:r>
        <w:t xml:space="preserve">be available to </w:t>
      </w:r>
      <w:r w:rsidR="006B41F4">
        <w:t xml:space="preserve">either </w:t>
      </w:r>
      <w:r>
        <w:t>stoma types outside of the GI tract</w:t>
      </w:r>
      <w:r w:rsidR="006B41F4">
        <w:t xml:space="preserve"> or </w:t>
      </w:r>
      <w:r w:rsidR="00ED75B0">
        <w:t>those within the GI tract but not for the removal of waste</w:t>
      </w:r>
      <w:r>
        <w:t xml:space="preserve">, but </w:t>
      </w:r>
      <w:r w:rsidR="00ED75B0">
        <w:t xml:space="preserve">the </w:t>
      </w:r>
      <w:r>
        <w:t>review</w:t>
      </w:r>
      <w:r w:rsidR="00260B75">
        <w:t xml:space="preserve"> of the </w:t>
      </w:r>
      <w:r w:rsidR="00DD0A6A">
        <w:t>published literature</w:t>
      </w:r>
      <w:r>
        <w:t xml:space="preserve"> and expert consultations deemed these stoma types, including tracheostomy, gastrostomy, thoracostomy, </w:t>
      </w:r>
      <w:proofErr w:type="spellStart"/>
      <w:r>
        <w:t>pharyngostomy</w:t>
      </w:r>
      <w:proofErr w:type="spellEnd"/>
      <w:r>
        <w:t>, and wound management requiring drainage, as out of scope for Scheme inclusion.</w:t>
      </w:r>
      <w:r w:rsidR="00252E95">
        <w:t xml:space="preserve"> </w:t>
      </w:r>
    </w:p>
    <w:p w14:paraId="7E2719BB" w14:textId="4E6791E2" w:rsidR="00604DB8" w:rsidRDefault="0091233A" w:rsidP="00604DB8">
      <w:pPr>
        <w:pStyle w:val="BodyText"/>
      </w:pPr>
      <w:r>
        <w:t xml:space="preserve">Despite </w:t>
      </w:r>
      <w:r w:rsidR="00604DB8">
        <w:t xml:space="preserve">advances in stoma care, including product design and surgical techniques, </w:t>
      </w:r>
      <w:r w:rsidR="00007434">
        <w:t>Australia</w:t>
      </w:r>
      <w:r w:rsidR="00626878">
        <w:t xml:space="preserve">n ostomates </w:t>
      </w:r>
      <w:r w:rsidR="006D4662">
        <w:t>lack</w:t>
      </w:r>
      <w:r w:rsidR="00626878">
        <w:t xml:space="preserve"> access to </w:t>
      </w:r>
      <w:r w:rsidR="003C1ED5">
        <w:t xml:space="preserve">more current </w:t>
      </w:r>
      <w:r w:rsidR="00604DB8">
        <w:t xml:space="preserve">international products. </w:t>
      </w:r>
      <w:r w:rsidR="005A3D88">
        <w:t>G</w:t>
      </w:r>
      <w:r w:rsidR="00604DB8">
        <w:t xml:space="preserve">aps </w:t>
      </w:r>
      <w:r w:rsidR="005A3D88">
        <w:t xml:space="preserve">exist </w:t>
      </w:r>
      <w:r w:rsidR="00604DB8">
        <w:t>for less common stoma types, particularly paediatric stomas, lacking essential items like hydrophilic catheters, lubricants, ACE stoppers, stopper dressings, and specific products for children with ACE and vesicostomy stomas, which do not align with best practices for stoma care.</w:t>
      </w:r>
    </w:p>
    <w:tbl>
      <w:tblPr>
        <w:tblStyle w:val="TableHealthConsult1"/>
        <w:tblW w:w="9639" w:type="dxa"/>
        <w:tblLook w:val="04A0" w:firstRow="1" w:lastRow="0" w:firstColumn="1" w:lastColumn="0" w:noHBand="0" w:noVBand="1"/>
      </w:tblPr>
      <w:tblGrid>
        <w:gridCol w:w="9639"/>
      </w:tblGrid>
      <w:tr w:rsidR="00F90268" w:rsidRPr="002B285C" w14:paraId="24A002DE" w14:textId="77777777" w:rsidTr="002A2D64">
        <w:trPr>
          <w:cnfStyle w:val="100000000000" w:firstRow="1" w:lastRow="0" w:firstColumn="0" w:lastColumn="0" w:oddVBand="0" w:evenVBand="0" w:oddHBand="0" w:evenHBand="0" w:firstRowFirstColumn="0" w:firstRowLastColumn="0" w:lastRowFirstColumn="0" w:lastRowLastColumn="0"/>
          <w:tblHeader w:val="0"/>
        </w:trPr>
        <w:tc>
          <w:tcPr>
            <w:cnfStyle w:val="001000000100" w:firstRow="0" w:lastRow="0" w:firstColumn="1" w:lastColumn="0" w:oddVBand="0" w:evenVBand="0" w:oddHBand="0" w:evenHBand="0" w:firstRowFirstColumn="1" w:firstRowLastColumn="0" w:lastRowFirstColumn="0" w:lastRowLastColumn="0"/>
            <w:tcW w:w="9639" w:type="dxa"/>
          </w:tcPr>
          <w:p w14:paraId="211E5B44" w14:textId="77777777" w:rsidR="00F90268" w:rsidRPr="002B285C" w:rsidRDefault="00F90268" w:rsidP="005C7AC1">
            <w:pPr>
              <w:rPr>
                <w:sz w:val="18"/>
                <w:szCs w:val="18"/>
              </w:rPr>
            </w:pPr>
            <w:r w:rsidRPr="002B285C">
              <w:rPr>
                <w:sz w:val="18"/>
                <w:szCs w:val="18"/>
              </w:rPr>
              <w:t>Recommendation #1</w:t>
            </w:r>
          </w:p>
        </w:tc>
      </w:tr>
      <w:tr w:rsidR="00F90268" w:rsidRPr="002B285C" w14:paraId="0AB7082A" w14:textId="77777777" w:rsidTr="002A2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A85D130" w14:textId="73A335AD" w:rsidR="00F90268" w:rsidRPr="002B285C" w:rsidRDefault="00F90268" w:rsidP="005C7AC1">
            <w:pPr>
              <w:rPr>
                <w:b w:val="0"/>
                <w:color w:val="auto"/>
                <w:sz w:val="18"/>
                <w:szCs w:val="18"/>
              </w:rPr>
            </w:pPr>
            <w:r w:rsidRPr="000C3006">
              <w:rPr>
                <w:b w:val="0"/>
                <w:sz w:val="18"/>
                <w:szCs w:val="18"/>
              </w:rPr>
              <w:t xml:space="preserve">The Scheme should maintain its focus on stomas originating from the </w:t>
            </w:r>
            <w:r w:rsidR="002C631E" w:rsidRPr="000C3006">
              <w:rPr>
                <w:b w:val="0"/>
                <w:sz w:val="18"/>
                <w:szCs w:val="18"/>
              </w:rPr>
              <w:t>GI</w:t>
            </w:r>
            <w:r w:rsidRPr="000C3006">
              <w:rPr>
                <w:b w:val="0"/>
                <w:sz w:val="18"/>
                <w:szCs w:val="18"/>
              </w:rPr>
              <w:t xml:space="preserve"> tract</w:t>
            </w:r>
            <w:r w:rsidR="007B5E82">
              <w:rPr>
                <w:b w:val="0"/>
                <w:sz w:val="18"/>
                <w:szCs w:val="18"/>
              </w:rPr>
              <w:t xml:space="preserve"> for the removal of waste</w:t>
            </w:r>
            <w:r w:rsidR="00F77411">
              <w:rPr>
                <w:b w:val="0"/>
                <w:sz w:val="18"/>
                <w:szCs w:val="18"/>
              </w:rPr>
              <w:t xml:space="preserve"> and neo-anus openings</w:t>
            </w:r>
            <w:r w:rsidRPr="000C3006">
              <w:rPr>
                <w:b w:val="0"/>
                <w:sz w:val="18"/>
                <w:szCs w:val="18"/>
              </w:rPr>
              <w:t>, refraining from expanding eligibility to cover non-GI stomas.</w:t>
            </w:r>
            <w:r w:rsidRPr="002B285C">
              <w:rPr>
                <w:b w:val="0"/>
                <w:color w:val="auto"/>
                <w:sz w:val="18"/>
                <w:szCs w:val="18"/>
              </w:rPr>
              <w:t xml:space="preserve"> </w:t>
            </w:r>
          </w:p>
        </w:tc>
      </w:tr>
      <w:tr w:rsidR="00F90268" w:rsidRPr="002B285C" w14:paraId="47129871" w14:textId="77777777" w:rsidTr="002A2D64">
        <w:tc>
          <w:tcPr>
            <w:cnfStyle w:val="001000000000" w:firstRow="0" w:lastRow="0" w:firstColumn="1" w:lastColumn="0" w:oddVBand="0" w:evenVBand="0" w:oddHBand="0" w:evenHBand="0" w:firstRowFirstColumn="0" w:firstRowLastColumn="0" w:lastRowFirstColumn="0" w:lastRowLastColumn="0"/>
            <w:tcW w:w="9639" w:type="dxa"/>
          </w:tcPr>
          <w:p w14:paraId="2AC0F20D" w14:textId="77777777" w:rsidR="00F90268" w:rsidRPr="002B285C" w:rsidRDefault="00F90268" w:rsidP="005C7AC1">
            <w:pPr>
              <w:rPr>
                <w:sz w:val="18"/>
                <w:szCs w:val="18"/>
              </w:rPr>
            </w:pPr>
            <w:r w:rsidRPr="002B285C">
              <w:rPr>
                <w:sz w:val="18"/>
                <w:szCs w:val="18"/>
              </w:rPr>
              <w:t>Recommendation #2</w:t>
            </w:r>
          </w:p>
        </w:tc>
      </w:tr>
      <w:tr w:rsidR="00F90268" w:rsidRPr="002B285C" w14:paraId="5D0BA7ED" w14:textId="77777777" w:rsidTr="002A2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F7D17EC" w14:textId="76547173" w:rsidR="00F90268" w:rsidRPr="002B285C" w:rsidRDefault="008E6312" w:rsidP="005C7AC1">
            <w:pPr>
              <w:rPr>
                <w:b w:val="0"/>
                <w:color w:val="auto"/>
                <w:sz w:val="18"/>
                <w:szCs w:val="18"/>
              </w:rPr>
            </w:pPr>
            <w:r w:rsidRPr="008E6312">
              <w:rPr>
                <w:b w:val="0"/>
                <w:sz w:val="18"/>
                <w:szCs w:val="18"/>
              </w:rPr>
              <w:t>Clarify and standardise the eligibility criteria to mitigate potential inconsistencies in application, by publishing a set list of eligible stoma types alongside the clinical eligibility criteria in the SAS Operational Guidelines.</w:t>
            </w:r>
          </w:p>
        </w:tc>
      </w:tr>
      <w:tr w:rsidR="00F90268" w:rsidRPr="002B285C" w14:paraId="6E320C21" w14:textId="77777777" w:rsidTr="002A2D64">
        <w:tc>
          <w:tcPr>
            <w:cnfStyle w:val="001000000000" w:firstRow="0" w:lastRow="0" w:firstColumn="1" w:lastColumn="0" w:oddVBand="0" w:evenVBand="0" w:oddHBand="0" w:evenHBand="0" w:firstRowFirstColumn="0" w:firstRowLastColumn="0" w:lastRowFirstColumn="0" w:lastRowLastColumn="0"/>
            <w:tcW w:w="9639" w:type="dxa"/>
          </w:tcPr>
          <w:p w14:paraId="23361E38" w14:textId="77777777" w:rsidR="00F90268" w:rsidRPr="002B285C" w:rsidRDefault="00F90268" w:rsidP="005C7AC1">
            <w:pPr>
              <w:rPr>
                <w:sz w:val="18"/>
                <w:szCs w:val="18"/>
              </w:rPr>
            </w:pPr>
            <w:r w:rsidRPr="002B285C">
              <w:rPr>
                <w:sz w:val="18"/>
                <w:szCs w:val="18"/>
              </w:rPr>
              <w:lastRenderedPageBreak/>
              <w:t>Recommendation #3</w:t>
            </w:r>
          </w:p>
        </w:tc>
      </w:tr>
      <w:tr w:rsidR="00F90268" w:rsidRPr="002B285C" w14:paraId="67CB1E83" w14:textId="77777777" w:rsidTr="002A2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vAlign w:val="center"/>
          </w:tcPr>
          <w:p w14:paraId="0D7BF74E" w14:textId="3A1DAE0A" w:rsidR="00F90268" w:rsidRPr="002B285C" w:rsidRDefault="00F90268" w:rsidP="00E31D01">
            <w:pPr>
              <w:rPr>
                <w:b w:val="0"/>
                <w:color w:val="auto"/>
                <w:sz w:val="18"/>
                <w:szCs w:val="18"/>
              </w:rPr>
            </w:pPr>
            <w:r w:rsidRPr="000C3006">
              <w:rPr>
                <w:b w:val="0"/>
                <w:sz w:val="18"/>
                <w:szCs w:val="18"/>
              </w:rPr>
              <w:t xml:space="preserve">Address gaps in </w:t>
            </w:r>
            <w:r w:rsidR="008D3BC4" w:rsidRPr="000C3006">
              <w:rPr>
                <w:b w:val="0"/>
                <w:sz w:val="18"/>
                <w:szCs w:val="18"/>
              </w:rPr>
              <w:t>Sched</w:t>
            </w:r>
            <w:r w:rsidR="008D3BC4">
              <w:rPr>
                <w:b w:val="0"/>
                <w:sz w:val="18"/>
                <w:szCs w:val="18"/>
              </w:rPr>
              <w:t>u</w:t>
            </w:r>
            <w:r w:rsidR="008D3BC4" w:rsidRPr="000C3006">
              <w:rPr>
                <w:sz w:val="18"/>
                <w:szCs w:val="18"/>
              </w:rPr>
              <w:t>le’s</w:t>
            </w:r>
            <w:r w:rsidRPr="000C3006">
              <w:rPr>
                <w:b w:val="0"/>
                <w:sz w:val="18"/>
                <w:szCs w:val="18"/>
              </w:rPr>
              <w:t xml:space="preserve"> product offerings for paediatric stomas by exploring the possibility of engaging with suppliers who can provide the necessary products to enhance the Scheme.</w:t>
            </w:r>
          </w:p>
        </w:tc>
      </w:tr>
      <w:tr w:rsidR="00F90268" w:rsidRPr="002B285C" w14:paraId="1E25A6A0" w14:textId="77777777" w:rsidTr="002A2D64">
        <w:tc>
          <w:tcPr>
            <w:cnfStyle w:val="001000000000" w:firstRow="0" w:lastRow="0" w:firstColumn="1" w:lastColumn="0" w:oddVBand="0" w:evenVBand="0" w:oddHBand="0" w:evenHBand="0" w:firstRowFirstColumn="0" w:firstRowLastColumn="0" w:lastRowFirstColumn="0" w:lastRowLastColumn="0"/>
            <w:tcW w:w="9639" w:type="dxa"/>
          </w:tcPr>
          <w:p w14:paraId="765E63C0" w14:textId="3272C30F" w:rsidR="00F90268" w:rsidRPr="002B285C" w:rsidRDefault="00F90268" w:rsidP="005C7AC1">
            <w:pPr>
              <w:rPr>
                <w:sz w:val="18"/>
                <w:szCs w:val="18"/>
              </w:rPr>
            </w:pPr>
            <w:r w:rsidRPr="002B285C">
              <w:rPr>
                <w:sz w:val="18"/>
                <w:szCs w:val="18"/>
              </w:rPr>
              <w:t>Recommendation #4</w:t>
            </w:r>
          </w:p>
        </w:tc>
      </w:tr>
      <w:tr w:rsidR="00F90268" w:rsidRPr="002B285C" w14:paraId="30BB5A25" w14:textId="77777777" w:rsidTr="002A2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D1599D5" w14:textId="22D64B7D" w:rsidR="00F90268" w:rsidRPr="002B285C" w:rsidRDefault="004B1717" w:rsidP="005C7AC1">
            <w:pPr>
              <w:rPr>
                <w:b w:val="0"/>
                <w:color w:val="auto"/>
                <w:sz w:val="18"/>
                <w:szCs w:val="18"/>
              </w:rPr>
            </w:pPr>
            <w:r>
              <w:rPr>
                <w:b w:val="0"/>
                <w:bCs/>
                <w:sz w:val="18"/>
                <w:szCs w:val="18"/>
              </w:rPr>
              <w:t xml:space="preserve">Maintain the intended objectives of the Scheme and do not modify the </w:t>
            </w:r>
            <w:r w:rsidR="00F90268" w:rsidRPr="000C3006">
              <w:rPr>
                <w:b w:val="0"/>
                <w:bCs/>
                <w:sz w:val="18"/>
                <w:szCs w:val="18"/>
              </w:rPr>
              <w:t xml:space="preserve">criteria to include </w:t>
            </w:r>
            <w:r w:rsidR="002C631E" w:rsidRPr="000C3006">
              <w:rPr>
                <w:b w:val="0"/>
                <w:bCs/>
                <w:sz w:val="18"/>
                <w:szCs w:val="18"/>
              </w:rPr>
              <w:t>GI</w:t>
            </w:r>
            <w:r w:rsidR="00F90268" w:rsidRPr="000C3006">
              <w:rPr>
                <w:b w:val="0"/>
                <w:bCs/>
                <w:sz w:val="18"/>
                <w:szCs w:val="18"/>
              </w:rPr>
              <w:t xml:space="preserve"> tract dysfunction conditions </w:t>
            </w:r>
            <w:r w:rsidR="003F29C9">
              <w:rPr>
                <w:b w:val="0"/>
                <w:bCs/>
                <w:sz w:val="18"/>
                <w:szCs w:val="18"/>
              </w:rPr>
              <w:t xml:space="preserve">where patients do not have a </w:t>
            </w:r>
            <w:r w:rsidR="00F90268" w:rsidRPr="000C3006">
              <w:rPr>
                <w:b w:val="0"/>
                <w:bCs/>
                <w:sz w:val="18"/>
                <w:szCs w:val="18"/>
              </w:rPr>
              <w:t>stoma.</w:t>
            </w:r>
            <w:r w:rsidR="00F90268" w:rsidRPr="002B285C">
              <w:rPr>
                <w:b w:val="0"/>
                <w:color w:val="auto"/>
                <w:sz w:val="18"/>
                <w:szCs w:val="18"/>
              </w:rPr>
              <w:t xml:space="preserve"> </w:t>
            </w:r>
          </w:p>
        </w:tc>
      </w:tr>
    </w:tbl>
    <w:p w14:paraId="4EEF9323" w14:textId="77777777" w:rsidR="00677743" w:rsidRDefault="00677743" w:rsidP="009B5965">
      <w:pPr>
        <w:pStyle w:val="Heading2"/>
      </w:pPr>
      <w:r>
        <w:t xml:space="preserve">Support from other government </w:t>
      </w:r>
      <w:proofErr w:type="gramStart"/>
      <w:r>
        <w:t>schemes</w:t>
      </w:r>
      <w:proofErr w:type="gramEnd"/>
    </w:p>
    <w:p w14:paraId="0935B9C1" w14:textId="1FAA96F8" w:rsidR="0029729F" w:rsidRDefault="0029729F" w:rsidP="002B285C">
      <w:pPr>
        <w:pStyle w:val="BodyText"/>
      </w:pPr>
      <w:r>
        <w:t>T</w:t>
      </w:r>
      <w:r w:rsidRPr="0029729F">
        <w:t xml:space="preserve">he Scheme </w:t>
      </w:r>
      <w:r>
        <w:t xml:space="preserve">is </w:t>
      </w:r>
      <w:r w:rsidRPr="0029729F">
        <w:t>the sole stoma scheme in Australia, with no duplications or overlaps detected with other federally funded national schemes or state and territory-funded medical appliance or equipment schemes. Stakeholder input and analysis have emphasi</w:t>
      </w:r>
      <w:r>
        <w:t>s</w:t>
      </w:r>
      <w:r w:rsidRPr="0029729F">
        <w:t>ed this absence of redundancy, highlighting the Sch</w:t>
      </w:r>
      <w:r w:rsidR="00030F57">
        <w:t>e</w:t>
      </w:r>
      <w:r w:rsidRPr="0029729F">
        <w:t>me's unique and targeted focus</w:t>
      </w:r>
      <w:r w:rsidR="00B44400">
        <w:t>.</w:t>
      </w:r>
    </w:p>
    <w:p w14:paraId="128E374E" w14:textId="6E6E6528" w:rsidR="0029729F" w:rsidRDefault="00DF37EE" w:rsidP="002B285C">
      <w:pPr>
        <w:pStyle w:val="BodyText"/>
      </w:pPr>
      <w:r>
        <w:t>S</w:t>
      </w:r>
      <w:r w:rsidR="007F3E0D" w:rsidRPr="007F3E0D">
        <w:t>ome STNs suggest</w:t>
      </w:r>
      <w:r w:rsidR="007F3E0D">
        <w:t>ed</w:t>
      </w:r>
      <w:r w:rsidR="007F3E0D" w:rsidRPr="007F3E0D">
        <w:t xml:space="preserve"> that </w:t>
      </w:r>
      <w:r w:rsidR="007F3E0D" w:rsidRPr="00C37195">
        <w:t xml:space="preserve">certain products </w:t>
      </w:r>
      <w:r w:rsidR="007F3E0D" w:rsidRPr="007F3E0D">
        <w:t xml:space="preserve">should be available under the Scheme rather than </w:t>
      </w:r>
      <w:r w:rsidR="007F3E0D">
        <w:t xml:space="preserve">under the </w:t>
      </w:r>
      <w:r w:rsidR="007F3E0D" w:rsidRPr="007F3E0D">
        <w:t>CAPS</w:t>
      </w:r>
      <w:r>
        <w:t xml:space="preserve"> as</w:t>
      </w:r>
      <w:r w:rsidR="007F3E0D" w:rsidRPr="007F3E0D">
        <w:t xml:space="preserve"> CAPS</w:t>
      </w:r>
      <w:r>
        <w:t xml:space="preserve"> funding</w:t>
      </w:r>
      <w:r w:rsidR="007F3E0D" w:rsidRPr="007F3E0D">
        <w:t xml:space="preserve"> often falls short in covering the complete cost of required supplies</w:t>
      </w:r>
      <w:r w:rsidR="00A135D3">
        <w:t xml:space="preserve"> such as nappies </w:t>
      </w:r>
      <w:r w:rsidR="00971F46">
        <w:t>and catheters</w:t>
      </w:r>
      <w:r w:rsidR="00A135D3">
        <w:t xml:space="preserve">. </w:t>
      </w:r>
      <w:r>
        <w:t>I</w:t>
      </w:r>
      <w:r w:rsidR="007F3E0D" w:rsidRPr="007F3E0D">
        <w:t>t is not the Scheme's responsibility to address these gaps</w:t>
      </w:r>
      <w:r w:rsidR="00754011">
        <w:t>. However</w:t>
      </w:r>
      <w:r w:rsidR="00B17665">
        <w:t>,</w:t>
      </w:r>
      <w:r w:rsidR="00754011">
        <w:t xml:space="preserve"> given the received feedback</w:t>
      </w:r>
      <w:r w:rsidR="007F3E0D" w:rsidRPr="007F3E0D">
        <w:t xml:space="preserve"> it is </w:t>
      </w:r>
      <w:r w:rsidR="00B9136E">
        <w:t>important</w:t>
      </w:r>
      <w:r w:rsidR="007F3E0D" w:rsidRPr="007F3E0D">
        <w:t xml:space="preserve"> to understand the </w:t>
      </w:r>
      <w:r w:rsidR="00963255">
        <w:t>drivers</w:t>
      </w:r>
      <w:r w:rsidR="007F3E0D" w:rsidRPr="007F3E0D">
        <w:t xml:space="preserve"> and </w:t>
      </w:r>
      <w:r w:rsidR="006C4532">
        <w:t>impacts</w:t>
      </w:r>
      <w:r w:rsidR="007F3E0D" w:rsidRPr="007F3E0D">
        <w:t xml:space="preserve"> for the Scheme when other government schemes do not fully meet </w:t>
      </w:r>
      <w:r w:rsidR="00B17665">
        <w:t>patients’</w:t>
      </w:r>
      <w:r w:rsidR="007F3E0D" w:rsidRPr="007F3E0D">
        <w:t xml:space="preserve"> needs. It is recommended that these concerns be brought to the attention of the administrators responsible for CAPS.</w:t>
      </w:r>
    </w:p>
    <w:p w14:paraId="12122861" w14:textId="47587078" w:rsidR="005A4392" w:rsidRDefault="005A4392" w:rsidP="005A4392">
      <w:pPr>
        <w:pStyle w:val="BodyText"/>
      </w:pPr>
      <w:r>
        <w:t>Ostomates who qualify for the NDIS due to reasons unrelated to their stoma condition can utili</w:t>
      </w:r>
      <w:r w:rsidR="00BC3CA2">
        <w:t>s</w:t>
      </w:r>
      <w:r>
        <w:t xml:space="preserve">e their NDIS funding to purchase stoma appliances and products if their </w:t>
      </w:r>
      <w:r w:rsidR="00BC3CA2">
        <w:t>association</w:t>
      </w:r>
      <w:r>
        <w:t xml:space="preserve"> is </w:t>
      </w:r>
      <w:proofErr w:type="gramStart"/>
      <w:r>
        <w:t>an</w:t>
      </w:r>
      <w:proofErr w:type="gramEnd"/>
      <w:r>
        <w:t xml:space="preserve"> NDIS provider. Additionally, NDIS or HCP funds may be used to cover postage costs for stoma products. Determining the extent to which ostomates utili</w:t>
      </w:r>
      <w:r w:rsidR="00BC3CA2">
        <w:t>s</w:t>
      </w:r>
      <w:r>
        <w:t xml:space="preserve">e NDIS funding for stoma-related expenses or leverage NDIS and HCP funds for postage costs </w:t>
      </w:r>
      <w:r w:rsidR="007179E0">
        <w:t xml:space="preserve">has not been possible within this Review </w:t>
      </w:r>
      <w:r w:rsidR="00DE3E9D">
        <w:t xml:space="preserve">given limitations with the </w:t>
      </w:r>
      <w:r>
        <w:t>Scheme data.</w:t>
      </w:r>
    </w:p>
    <w:p w14:paraId="164362B9" w14:textId="7AA87D8B" w:rsidR="001D5497" w:rsidRPr="00564E9A" w:rsidRDefault="005A4392" w:rsidP="00564E9A">
      <w:pPr>
        <w:pStyle w:val="BodyText"/>
      </w:pPr>
      <w:r>
        <w:t>Given that no duplication or overlap has been identified with other national schemes or state and territory-funded medical appliance or equipment schemes, the Review</w:t>
      </w:r>
      <w:r w:rsidR="00BC3CA2">
        <w:t xml:space="preserve">ers have </w:t>
      </w:r>
      <w:r>
        <w:t xml:space="preserve">not </w:t>
      </w:r>
      <w:r w:rsidR="00BC3CA2">
        <w:t>made</w:t>
      </w:r>
      <w:r>
        <w:t xml:space="preserve"> any recommendations </w:t>
      </w:r>
      <w:r w:rsidR="00BC3CA2">
        <w:t>related to</w:t>
      </w:r>
      <w:r>
        <w:t xml:space="preserve"> this domain.</w:t>
      </w:r>
      <w:r w:rsidRPr="00564E9A">
        <w:t xml:space="preserve"> </w:t>
      </w:r>
    </w:p>
    <w:p w14:paraId="7E63A603" w14:textId="77777777" w:rsidR="00677743" w:rsidRPr="00B01656" w:rsidRDefault="00677743" w:rsidP="00987F4B">
      <w:pPr>
        <w:pStyle w:val="Heading2"/>
      </w:pPr>
      <w:r w:rsidRPr="00B01656">
        <w:t>Accessibility for marginalised groups</w:t>
      </w:r>
    </w:p>
    <w:p w14:paraId="1D90284E" w14:textId="4DDDF875" w:rsidR="00DF014D" w:rsidRDefault="009D66FD" w:rsidP="002B285C">
      <w:pPr>
        <w:pStyle w:val="BodyText"/>
      </w:pPr>
      <w:r>
        <w:t>S</w:t>
      </w:r>
      <w:r w:rsidR="00DF014D" w:rsidRPr="00DF014D">
        <w:t>toma care plays a crucial role in the lives of individuals across diverse demographics in Australia, including those in metropolitan, regional, rural, and remote areas</w:t>
      </w:r>
      <w:r w:rsidR="007B0747">
        <w:t>.</w:t>
      </w:r>
    </w:p>
    <w:p w14:paraId="140960E4" w14:textId="486F3584" w:rsidR="00677743" w:rsidRPr="00A16C00" w:rsidRDefault="00677743" w:rsidP="002B285C">
      <w:pPr>
        <w:pStyle w:val="BodyText"/>
      </w:pPr>
      <w:r w:rsidRPr="00A16C00">
        <w:t xml:space="preserve">Despite the </w:t>
      </w:r>
      <w:r>
        <w:t>Scheme</w:t>
      </w:r>
      <w:r w:rsidRPr="00A16C00">
        <w:t xml:space="preserve"> providing full subsidies for stoma care products, some ostomates still incur out-of-pocket costs. </w:t>
      </w:r>
      <w:r w:rsidR="00A670BC">
        <w:t xml:space="preserve">Some </w:t>
      </w:r>
      <w:r w:rsidRPr="00A16C00">
        <w:t>ostomates choose private health options due to barriers in accessing stoma care and surgery within the public health system, while others find the Scheme sufficient for their needs through the public system.</w:t>
      </w:r>
    </w:p>
    <w:p w14:paraId="46D6D71B" w14:textId="396AA2E8" w:rsidR="00677743" w:rsidRDefault="00B83AEF" w:rsidP="002B285C">
      <w:pPr>
        <w:pStyle w:val="BodyText"/>
      </w:pPr>
      <w:r>
        <w:t>There are</w:t>
      </w:r>
      <w:r w:rsidR="00677743">
        <w:t xml:space="preserve"> </w:t>
      </w:r>
      <w:r w:rsidR="00677743" w:rsidRPr="00A16C00">
        <w:t>barriers for marginali</w:t>
      </w:r>
      <w:r w:rsidR="00677743">
        <w:t>s</w:t>
      </w:r>
      <w:r w:rsidR="00677743" w:rsidRPr="00A16C00">
        <w:t xml:space="preserve">ed groups in accessing the </w:t>
      </w:r>
      <w:r w:rsidR="00677743">
        <w:t>Scheme</w:t>
      </w:r>
      <w:r w:rsidR="00677743" w:rsidRPr="00A16C00">
        <w:t xml:space="preserve"> and maintaining proper stoma car</w:t>
      </w:r>
      <w:r w:rsidR="00677743">
        <w:t xml:space="preserve">e </w:t>
      </w:r>
      <w:r w:rsidR="007A05A4">
        <w:t xml:space="preserve">which results </w:t>
      </w:r>
      <w:r w:rsidR="00D34B1D">
        <w:t xml:space="preserve">mainly </w:t>
      </w:r>
      <w:r w:rsidR="007A05A4">
        <w:t>from</w:t>
      </w:r>
      <w:r w:rsidR="00677743" w:rsidRPr="00A16C00">
        <w:t xml:space="preserve"> difficulty in accessing </w:t>
      </w:r>
      <w:proofErr w:type="spellStart"/>
      <w:r w:rsidR="00677743" w:rsidRPr="00A16C00">
        <w:t>STNs.</w:t>
      </w:r>
      <w:proofErr w:type="spellEnd"/>
      <w:r w:rsidR="00677743" w:rsidRPr="00A16C00">
        <w:t xml:space="preserve"> </w:t>
      </w:r>
      <w:r w:rsidR="00FD3DF9">
        <w:t>However</w:t>
      </w:r>
      <w:r w:rsidR="00677743" w:rsidRPr="00A16C00">
        <w:t xml:space="preserve"> poor health literacy, geographical remoteness, and the need for bi-annual updates to additional order forms</w:t>
      </w:r>
      <w:r w:rsidR="00677743">
        <w:t xml:space="preserve"> </w:t>
      </w:r>
      <w:r w:rsidR="0070030E">
        <w:lastRenderedPageBreak/>
        <w:t>(</w:t>
      </w:r>
      <w:r w:rsidR="00677743">
        <w:t>require access to an STN or other healthcare provider for approval</w:t>
      </w:r>
      <w:r w:rsidR="0070030E">
        <w:t>) were</w:t>
      </w:r>
      <w:r w:rsidR="00FD3DF9">
        <w:t xml:space="preserve"> also </w:t>
      </w:r>
      <w:r w:rsidR="00442354">
        <w:t xml:space="preserve">identified </w:t>
      </w:r>
      <w:r w:rsidR="00FD3DF9">
        <w:t>barriers</w:t>
      </w:r>
      <w:r w:rsidR="00442354">
        <w:t xml:space="preserve"> to access</w:t>
      </w:r>
      <w:r w:rsidR="00677743" w:rsidRPr="00A16C00">
        <w:t>.</w:t>
      </w:r>
    </w:p>
    <w:tbl>
      <w:tblPr>
        <w:tblStyle w:val="TableHealthConsult"/>
        <w:tblW w:w="9639" w:type="dxa"/>
        <w:tblLook w:val="04A0" w:firstRow="1" w:lastRow="0" w:firstColumn="1" w:lastColumn="0" w:noHBand="0" w:noVBand="1"/>
      </w:tblPr>
      <w:tblGrid>
        <w:gridCol w:w="9639"/>
      </w:tblGrid>
      <w:tr w:rsidR="00677743" w:rsidRPr="002B285C" w14:paraId="162C77EE" w14:textId="77777777" w:rsidTr="005C7A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39" w:type="dxa"/>
          </w:tcPr>
          <w:p w14:paraId="3B06FD34" w14:textId="450B7F71" w:rsidR="00677743" w:rsidRPr="002B285C" w:rsidRDefault="00677743" w:rsidP="005C7AC1">
            <w:pPr>
              <w:rPr>
                <w:sz w:val="18"/>
                <w:szCs w:val="18"/>
              </w:rPr>
            </w:pPr>
            <w:r w:rsidRPr="002B285C">
              <w:rPr>
                <w:sz w:val="18"/>
                <w:szCs w:val="18"/>
              </w:rPr>
              <w:t>Recommendation #</w:t>
            </w:r>
            <w:r w:rsidR="00B90B97">
              <w:rPr>
                <w:sz w:val="18"/>
                <w:szCs w:val="18"/>
              </w:rPr>
              <w:t>5</w:t>
            </w:r>
          </w:p>
        </w:tc>
      </w:tr>
      <w:tr w:rsidR="00677743" w:rsidRPr="002B285C" w14:paraId="310F77DD" w14:textId="77777777" w:rsidTr="005C7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0ABCC546" w14:textId="4F925643" w:rsidR="0070030E" w:rsidRDefault="00677743" w:rsidP="0070030E">
            <w:pPr>
              <w:spacing w:before="120" w:after="120"/>
              <w:rPr>
                <w:b w:val="0"/>
                <w:sz w:val="18"/>
                <w:szCs w:val="18"/>
              </w:rPr>
            </w:pPr>
            <w:r w:rsidRPr="002B285C">
              <w:rPr>
                <w:sz w:val="18"/>
                <w:szCs w:val="18"/>
              </w:rPr>
              <w:t>Review and implement strategies to enhance accessibility to the Scheme</w:t>
            </w:r>
            <w:r w:rsidR="0070030E">
              <w:rPr>
                <w:sz w:val="18"/>
                <w:szCs w:val="18"/>
              </w:rPr>
              <w:t xml:space="preserve">, including: </w:t>
            </w:r>
          </w:p>
          <w:p w14:paraId="387DAEAF" w14:textId="58B91BF0" w:rsidR="00C50814" w:rsidRPr="0070030E" w:rsidRDefault="00677743" w:rsidP="00E442CB">
            <w:pPr>
              <w:pStyle w:val="ListNumber"/>
              <w:numPr>
                <w:ilvl w:val="0"/>
                <w:numId w:val="51"/>
              </w:numPr>
              <w:rPr>
                <w:b w:val="0"/>
                <w:sz w:val="18"/>
                <w:szCs w:val="18"/>
              </w:rPr>
            </w:pPr>
            <w:r w:rsidRPr="0070030E">
              <w:rPr>
                <w:sz w:val="18"/>
                <w:szCs w:val="18"/>
              </w:rPr>
              <w:t xml:space="preserve">Improving access to STNs: </w:t>
            </w:r>
            <w:r w:rsidRPr="0070030E">
              <w:rPr>
                <w:b w:val="0"/>
                <w:sz w:val="18"/>
                <w:szCs w:val="18"/>
              </w:rPr>
              <w:t xml:space="preserve">Enhance strategies for improved access to STNs, especially in remote or marginalised areas. </w:t>
            </w:r>
            <w:r w:rsidR="00A4632F">
              <w:rPr>
                <w:b w:val="0"/>
                <w:sz w:val="18"/>
                <w:szCs w:val="18"/>
              </w:rPr>
              <w:t xml:space="preserve">Consider </w:t>
            </w:r>
            <w:r w:rsidRPr="0070030E">
              <w:rPr>
                <w:b w:val="0"/>
                <w:sz w:val="18"/>
                <w:szCs w:val="18"/>
              </w:rPr>
              <w:t>telehealth options, utilising STNs in associations, and increasing the availability of face-to-face consultations.</w:t>
            </w:r>
          </w:p>
          <w:p w14:paraId="2089BC4A" w14:textId="77777777" w:rsidR="00C50814" w:rsidRPr="00046527" w:rsidRDefault="00677743" w:rsidP="00E442CB">
            <w:pPr>
              <w:pStyle w:val="ListNumber"/>
              <w:numPr>
                <w:ilvl w:val="0"/>
                <w:numId w:val="51"/>
              </w:numPr>
              <w:rPr>
                <w:b w:val="0"/>
                <w:sz w:val="18"/>
                <w:szCs w:val="18"/>
              </w:rPr>
            </w:pPr>
            <w:r w:rsidRPr="00046527">
              <w:rPr>
                <w:sz w:val="18"/>
                <w:szCs w:val="18"/>
              </w:rPr>
              <w:t>Health literacy initiatives</w:t>
            </w:r>
            <w:r w:rsidRPr="00046527">
              <w:rPr>
                <w:b w:val="0"/>
                <w:sz w:val="18"/>
                <w:szCs w:val="18"/>
              </w:rPr>
              <w:t>: Implement targeted health literacy programs to empower ostomates, particularly those from marginalised groups, with the knowledge and understanding needed to navigate the healthcare system effectively.</w:t>
            </w:r>
          </w:p>
          <w:p w14:paraId="3C7F6B8E" w14:textId="2BC58C82" w:rsidR="00C50814" w:rsidRPr="00046527" w:rsidRDefault="00677743" w:rsidP="00E442CB">
            <w:pPr>
              <w:pStyle w:val="ListNumber"/>
              <w:numPr>
                <w:ilvl w:val="0"/>
                <w:numId w:val="51"/>
              </w:numPr>
              <w:rPr>
                <w:b w:val="0"/>
                <w:sz w:val="18"/>
                <w:szCs w:val="18"/>
              </w:rPr>
            </w:pPr>
            <w:r w:rsidRPr="00046527">
              <w:rPr>
                <w:sz w:val="18"/>
                <w:szCs w:val="18"/>
              </w:rPr>
              <w:t>Streamline ordering processes</w:t>
            </w:r>
            <w:r w:rsidRPr="00046527">
              <w:rPr>
                <w:b w:val="0"/>
                <w:sz w:val="18"/>
                <w:szCs w:val="18"/>
              </w:rPr>
              <w:t>: Simplify and streamline the process of obtaining additional order forms, possibly by exploring digital or automated solutions, to reduce administrative burdens on ostomates.</w:t>
            </w:r>
          </w:p>
          <w:p w14:paraId="6902F21F" w14:textId="1ABB7BC1" w:rsidR="00677743" w:rsidRPr="002B285C" w:rsidRDefault="00677743" w:rsidP="00E442CB">
            <w:pPr>
              <w:pStyle w:val="ListNumber"/>
              <w:numPr>
                <w:ilvl w:val="0"/>
                <w:numId w:val="51"/>
              </w:numPr>
              <w:rPr>
                <w:b w:val="0"/>
                <w:color w:val="auto"/>
                <w:sz w:val="18"/>
                <w:szCs w:val="18"/>
              </w:rPr>
            </w:pPr>
            <w:r w:rsidRPr="00046527">
              <w:rPr>
                <w:sz w:val="18"/>
                <w:szCs w:val="18"/>
              </w:rPr>
              <w:t>Expand support networks:</w:t>
            </w:r>
            <w:r w:rsidRPr="00046527">
              <w:rPr>
                <w:b w:val="0"/>
                <w:sz w:val="18"/>
                <w:szCs w:val="18"/>
              </w:rPr>
              <w:t xml:space="preserve"> Strengthen support networks, such as stoma associations, support groups and specialised healthcare workers such as Aboriginal Health Workers, to ensure </w:t>
            </w:r>
            <w:r w:rsidR="00C43115" w:rsidRPr="00046527">
              <w:rPr>
                <w:b w:val="0"/>
                <w:sz w:val="18"/>
                <w:szCs w:val="18"/>
              </w:rPr>
              <w:t xml:space="preserve">marginalised </w:t>
            </w:r>
            <w:r w:rsidRPr="00046527">
              <w:rPr>
                <w:b w:val="0"/>
                <w:sz w:val="18"/>
                <w:szCs w:val="18"/>
              </w:rPr>
              <w:t>groups have adequate assistance in navigating the Scheme and addressing their needs.</w:t>
            </w:r>
          </w:p>
        </w:tc>
      </w:tr>
    </w:tbl>
    <w:p w14:paraId="397622A4" w14:textId="77777777" w:rsidR="00677743" w:rsidRDefault="00677743" w:rsidP="00987F4B">
      <w:pPr>
        <w:pStyle w:val="Heading2"/>
      </w:pPr>
      <w:r>
        <w:t>Products on the Schedule</w:t>
      </w:r>
    </w:p>
    <w:p w14:paraId="041BC0C1" w14:textId="04D8A015" w:rsidR="00677743" w:rsidRDefault="00677743" w:rsidP="002B285C">
      <w:pPr>
        <w:pStyle w:val="BodyText"/>
      </w:pPr>
      <w:r>
        <w:t xml:space="preserve">The Schedule </w:t>
      </w:r>
      <w:r w:rsidR="00782DE3">
        <w:t>offers</w:t>
      </w:r>
      <w:r>
        <w:t xml:space="preserve"> an extensive </w:t>
      </w:r>
      <w:r w:rsidR="008F107F">
        <w:t>range</w:t>
      </w:r>
      <w:r>
        <w:t xml:space="preserve"> of approximately 3,600 products and appliances, aimed at providing diverse support to ostomates. </w:t>
      </w:r>
      <w:r w:rsidR="00091C15">
        <w:t xml:space="preserve">Stakeholders viewed </w:t>
      </w:r>
      <w:r w:rsidR="00E37A84">
        <w:t xml:space="preserve">this </w:t>
      </w:r>
      <w:r>
        <w:t xml:space="preserve">broad </w:t>
      </w:r>
      <w:r w:rsidR="00E37A84">
        <w:t>selection as positive</w:t>
      </w:r>
      <w:r>
        <w:t xml:space="preserve">, </w:t>
      </w:r>
      <w:r w:rsidR="00E37A84">
        <w:t>as</w:t>
      </w:r>
      <w:r>
        <w:t xml:space="preserve"> it </w:t>
      </w:r>
      <w:r w:rsidR="00E37A84">
        <w:t>allows for</w:t>
      </w:r>
      <w:r>
        <w:t xml:space="preserve"> patient choice</w:t>
      </w:r>
      <w:r w:rsidR="00C269E6">
        <w:t xml:space="preserve"> and caters to </w:t>
      </w:r>
      <w:r>
        <w:t>individual needs and preferences in stoma care. Clinician feedback</w:t>
      </w:r>
      <w:r w:rsidR="000C033E">
        <w:t xml:space="preserve"> emphasised</w:t>
      </w:r>
      <w:r>
        <w:t xml:space="preserve"> the importance of considering factors such as weight, body shape, physicality, job requirements, and climate, </w:t>
      </w:r>
      <w:r w:rsidR="006020AE">
        <w:t>supporting</w:t>
      </w:r>
      <w:r>
        <w:t xml:space="preserve"> the argument for maintaining this wide-ranging product selection to ensure patient-centred care.</w:t>
      </w:r>
    </w:p>
    <w:p w14:paraId="37BE510E" w14:textId="50691237" w:rsidR="00677743" w:rsidRDefault="00677743" w:rsidP="002B285C">
      <w:pPr>
        <w:pStyle w:val="BodyText"/>
      </w:pPr>
      <w:r>
        <w:t xml:space="preserve">In 2023, the Schedule underwent </w:t>
      </w:r>
      <w:r w:rsidR="0070705B">
        <w:t>significant</w:t>
      </w:r>
      <w:r>
        <w:t xml:space="preserve"> changes, including the removal of </w:t>
      </w:r>
      <w:r w:rsidR="004A6520">
        <w:t>s</w:t>
      </w:r>
      <w:r>
        <w:t xml:space="preserve">upport </w:t>
      </w:r>
      <w:r w:rsidR="004A6520">
        <w:t>g</w:t>
      </w:r>
      <w:r>
        <w:t xml:space="preserve">arments, </w:t>
      </w:r>
      <w:r w:rsidR="004868EA">
        <w:t>adjustments to</w:t>
      </w:r>
      <w:r>
        <w:t xml:space="preserve"> the maximum quantity for Support Belts, and standardisation of </w:t>
      </w:r>
      <w:r w:rsidR="004F47FC">
        <w:t>c</w:t>
      </w:r>
      <w:r>
        <w:t xml:space="preserve">leanser </w:t>
      </w:r>
      <w:r w:rsidR="004F47FC">
        <w:t>w</w:t>
      </w:r>
      <w:r>
        <w:t xml:space="preserve">ipes allocation. Stakeholders generally endorsed these changes to the Schedule, expressing minimal concerns, except for specific instances such as the removal of the 3M </w:t>
      </w:r>
      <w:proofErr w:type="spellStart"/>
      <w:r>
        <w:t>Cavilon</w:t>
      </w:r>
      <w:proofErr w:type="spellEnd"/>
      <w:r>
        <w:t xml:space="preserve"> No Sting Barrier Film Wipes in 2018</w:t>
      </w:r>
      <w:r w:rsidR="00CA62E7">
        <w:t xml:space="preserve"> which was removed at the request of the product supplier</w:t>
      </w:r>
      <w:r>
        <w:t>.</w:t>
      </w:r>
    </w:p>
    <w:p w14:paraId="1B384E9E" w14:textId="562C663E" w:rsidR="00677743" w:rsidRDefault="00412C51" w:rsidP="002B285C">
      <w:pPr>
        <w:pStyle w:val="BodyText"/>
      </w:pPr>
      <w:r>
        <w:t>T</w:t>
      </w:r>
      <w:r w:rsidR="00677743">
        <w:t xml:space="preserve">he Review </w:t>
      </w:r>
      <w:r w:rsidR="009237B0">
        <w:t xml:space="preserve">focused on </w:t>
      </w:r>
      <w:r w:rsidR="00677743">
        <w:t xml:space="preserve">questions </w:t>
      </w:r>
      <w:r w:rsidR="009237B0">
        <w:t>regarding</w:t>
      </w:r>
      <w:r w:rsidR="00677743">
        <w:t xml:space="preserve"> the appropriateness of certain products available on the Schedule, prompting considerations regarding clinical evidence and alignment with stoma care guidelines. STNs presented varying opinions on the necessity of specific products in the Accessories category, suggesting potential removals based on clinical necessity. Additionally, </w:t>
      </w:r>
      <w:r w:rsidR="00350F35">
        <w:t xml:space="preserve">there were </w:t>
      </w:r>
      <w:r w:rsidR="00677743">
        <w:t>querie</w:t>
      </w:r>
      <w:r w:rsidR="00350F35">
        <w:t>s</w:t>
      </w:r>
      <w:r w:rsidR="00677743">
        <w:t xml:space="preserve"> </w:t>
      </w:r>
      <w:r w:rsidR="002156D0">
        <w:t xml:space="preserve">from some STNs </w:t>
      </w:r>
      <w:r w:rsidR="001E1A3D">
        <w:t>about</w:t>
      </w:r>
      <w:r w:rsidR="00677743">
        <w:t xml:space="preserve"> whether catheters should be subsidised on the Scheme given its </w:t>
      </w:r>
      <w:r w:rsidR="00EF5445">
        <w:t>primary</w:t>
      </w:r>
      <w:r w:rsidR="00677743">
        <w:t xml:space="preserve"> focus on stomas and the need for self-catheterisation may be </w:t>
      </w:r>
      <w:r w:rsidR="00BA1722">
        <w:t xml:space="preserve">relatively </w:t>
      </w:r>
      <w:r w:rsidR="00677743">
        <w:t>low.</w:t>
      </w:r>
      <w:r w:rsidR="002156D0">
        <w:t xml:space="preserve"> In the analysis provided</w:t>
      </w:r>
      <w:r w:rsidR="008F433A">
        <w:t xml:space="preserve"> </w:t>
      </w:r>
      <w:r w:rsidR="00244FBB">
        <w:t>in</w:t>
      </w:r>
      <w:r w:rsidR="008F433A">
        <w:t xml:space="preserve"> </w:t>
      </w:r>
      <w:r w:rsidR="00244FBB">
        <w:fldChar w:fldCharType="begin"/>
      </w:r>
      <w:r w:rsidR="00244FBB">
        <w:instrText xml:space="preserve"> REF _Ref159917767 \r \h </w:instrText>
      </w:r>
      <w:r w:rsidR="00244FBB">
        <w:fldChar w:fldCharType="separate"/>
      </w:r>
      <w:r w:rsidR="00FE1418">
        <w:t>Appendix F</w:t>
      </w:r>
      <w:r w:rsidR="00244FBB">
        <w:fldChar w:fldCharType="end"/>
      </w:r>
      <w:r w:rsidR="00244FBB">
        <w:t xml:space="preserve">, </w:t>
      </w:r>
      <w:r w:rsidR="00244FBB" w:rsidRPr="00244FBB">
        <w:t>the majority of ostomates using catheters have a stoma type listed as “Other” (55%), with urostomy the second most common (27%) and Ileostomy the third most common (9%). This may be clinically appropriate given the number of ostomates that have two or more stomas accessing the Scheme.</w:t>
      </w:r>
    </w:p>
    <w:p w14:paraId="5A2CD6A4" w14:textId="1C2BB129" w:rsidR="00677743" w:rsidRDefault="00BA1722" w:rsidP="002B285C">
      <w:pPr>
        <w:pStyle w:val="BodyText"/>
      </w:pPr>
      <w:r>
        <w:t>Concerns</w:t>
      </w:r>
      <w:r w:rsidR="00677743">
        <w:t xml:space="preserve"> were raised regarding the Scheme offering potentially outdated technology and products that may no longer align with STN recommendations. An analysis of product utilisation rates aimed to identify opportunities to eliminate low-utilisation products and enhance overall </w:t>
      </w:r>
      <w:r w:rsidR="00677743">
        <w:lastRenderedPageBreak/>
        <w:t xml:space="preserve">clinical outcomes. Stakeholders recommended adjustments to the </w:t>
      </w:r>
      <w:r w:rsidR="00225FC9">
        <w:t xml:space="preserve">maximum </w:t>
      </w:r>
      <w:r w:rsidR="00677743">
        <w:t>quantities of various products, proposing both increases and decreases based on patient needs and concerns related to potential wastage.</w:t>
      </w:r>
    </w:p>
    <w:p w14:paraId="05334A37" w14:textId="747484F6" w:rsidR="00677743" w:rsidRDefault="005027E4" w:rsidP="002B285C">
      <w:pPr>
        <w:pStyle w:val="BodyText"/>
      </w:pPr>
      <w:r>
        <w:t>There</w:t>
      </w:r>
      <w:r w:rsidR="00677743">
        <w:t xml:space="preserve"> were also </w:t>
      </w:r>
      <w:r>
        <w:t>c</w:t>
      </w:r>
      <w:r w:rsidR="00677743">
        <w:t xml:space="preserve">oncerns about potential wastage arising from ostomates and suppliers over-ordering products deemed unnecessary, influenced by factors such as supplier’s marketing efforts. Reasons for over-ordering included ostomates' lack of understanding, susceptibility to marketing influence, self-prescription, and the fear of running out of essential products. These concerns </w:t>
      </w:r>
      <w:r w:rsidR="00177866">
        <w:t>highlighted</w:t>
      </w:r>
      <w:r w:rsidR="00677743">
        <w:t xml:space="preserve"> the need for a nuanced and proactive approach to ensure optimal efficiency, patient satisfaction, and resource utilisation within the Scheme.</w:t>
      </w:r>
    </w:p>
    <w:tbl>
      <w:tblPr>
        <w:tblStyle w:val="TableHealthConsult"/>
        <w:tblW w:w="0" w:type="auto"/>
        <w:tblLook w:val="04A0" w:firstRow="1" w:lastRow="0" w:firstColumn="1" w:lastColumn="0" w:noHBand="0" w:noVBand="1"/>
      </w:tblPr>
      <w:tblGrid>
        <w:gridCol w:w="9628"/>
      </w:tblGrid>
      <w:tr w:rsidR="00677743" w:rsidRPr="002B285C" w14:paraId="38F0A3F3" w14:textId="77777777" w:rsidTr="00C5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tcPr>
          <w:p w14:paraId="1BB2E464" w14:textId="51D9B9C3" w:rsidR="00677743" w:rsidRPr="002B285C" w:rsidRDefault="00677743" w:rsidP="005C7AC1">
            <w:pPr>
              <w:rPr>
                <w:b w:val="0"/>
                <w:bCs/>
                <w:sz w:val="18"/>
                <w:szCs w:val="18"/>
              </w:rPr>
            </w:pPr>
            <w:r w:rsidRPr="002B285C">
              <w:rPr>
                <w:bCs/>
                <w:sz w:val="18"/>
                <w:szCs w:val="18"/>
              </w:rPr>
              <w:t>Recommendation #</w:t>
            </w:r>
            <w:r w:rsidR="00B90B97">
              <w:rPr>
                <w:bCs/>
                <w:sz w:val="18"/>
                <w:szCs w:val="18"/>
              </w:rPr>
              <w:t>6</w:t>
            </w:r>
          </w:p>
        </w:tc>
      </w:tr>
      <w:tr w:rsidR="00677743" w:rsidRPr="002B285C" w14:paraId="56F0CB95" w14:textId="77777777" w:rsidTr="00C5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2E00CC2E" w14:textId="79978FAD" w:rsidR="00677743" w:rsidRPr="002B285C" w:rsidRDefault="00677743" w:rsidP="00B7086F">
            <w:pPr>
              <w:pStyle w:val="BodyText"/>
              <w:rPr>
                <w:b w:val="0"/>
                <w:bCs/>
                <w:color w:val="auto"/>
                <w:sz w:val="18"/>
                <w:szCs w:val="18"/>
              </w:rPr>
            </w:pPr>
            <w:r w:rsidRPr="00BD59F4">
              <w:rPr>
                <w:b w:val="0"/>
                <w:sz w:val="18"/>
                <w:szCs w:val="18"/>
              </w:rPr>
              <w:t>Implement a strategic approach to rationalise products on the Schedule, leveraging opportunities to remove products that may not be clinically necessary and/or adjusting product quantities that lead to cost savings.</w:t>
            </w:r>
            <w:r w:rsidR="009761D5" w:rsidRPr="00BD59F4">
              <w:rPr>
                <w:b w:val="0"/>
                <w:sz w:val="18"/>
                <w:szCs w:val="18"/>
              </w:rPr>
              <w:t xml:space="preserve"> Specific consideration should be given to:</w:t>
            </w:r>
          </w:p>
          <w:p w14:paraId="248AACB4" w14:textId="1057A8A3" w:rsidR="00C50814" w:rsidRPr="0027176E" w:rsidRDefault="00677743" w:rsidP="00E442CB">
            <w:pPr>
              <w:pStyle w:val="ListNumber"/>
              <w:numPr>
                <w:ilvl w:val="0"/>
                <w:numId w:val="52"/>
              </w:numPr>
              <w:rPr>
                <w:b w:val="0"/>
                <w:sz w:val="18"/>
                <w:szCs w:val="18"/>
              </w:rPr>
            </w:pPr>
            <w:r w:rsidRPr="008A35D0">
              <w:rPr>
                <w:sz w:val="18"/>
                <w:szCs w:val="18"/>
              </w:rPr>
              <w:t xml:space="preserve">Removal or restriction on specific product categories: </w:t>
            </w:r>
            <w:r w:rsidR="009D710B" w:rsidRPr="009D710B">
              <w:rPr>
                <w:b w:val="0"/>
                <w:sz w:val="18"/>
                <w:szCs w:val="18"/>
              </w:rPr>
              <w:t>Evaluate and, if deemed necessary, implement the removal or restriction of certain product categories from the Schedule</w:t>
            </w:r>
            <w:r w:rsidR="00F35A95">
              <w:rPr>
                <w:b w:val="0"/>
                <w:sz w:val="18"/>
                <w:szCs w:val="18"/>
              </w:rPr>
              <w:t xml:space="preserve"> including cleanser wipes, deodorants, and creams and ointments</w:t>
            </w:r>
            <w:r w:rsidR="009D710B" w:rsidRPr="009D710B">
              <w:rPr>
                <w:b w:val="0"/>
                <w:sz w:val="18"/>
                <w:szCs w:val="18"/>
              </w:rPr>
              <w:t xml:space="preserve">. While this action would result in cost savings, it must be carefully considered </w:t>
            </w:r>
            <w:proofErr w:type="gramStart"/>
            <w:r w:rsidR="009D710B" w:rsidRPr="009D710B">
              <w:rPr>
                <w:b w:val="0"/>
                <w:sz w:val="18"/>
                <w:szCs w:val="18"/>
              </w:rPr>
              <w:t>in light of</w:t>
            </w:r>
            <w:proofErr w:type="gramEnd"/>
            <w:r w:rsidR="009D710B" w:rsidRPr="009D710B">
              <w:rPr>
                <w:b w:val="0"/>
                <w:sz w:val="18"/>
                <w:szCs w:val="18"/>
              </w:rPr>
              <w:t xml:space="preserve"> the number of ostomates who would be affected by such changes.</w:t>
            </w:r>
          </w:p>
          <w:p w14:paraId="26E62A33" w14:textId="43D858E4" w:rsidR="00C50814" w:rsidRPr="0027176E" w:rsidRDefault="00C604D2" w:rsidP="00E442CB">
            <w:pPr>
              <w:pStyle w:val="ListNumber"/>
              <w:numPr>
                <w:ilvl w:val="0"/>
                <w:numId w:val="52"/>
              </w:numPr>
              <w:rPr>
                <w:b w:val="0"/>
                <w:sz w:val="18"/>
                <w:szCs w:val="18"/>
              </w:rPr>
            </w:pPr>
            <w:r>
              <w:rPr>
                <w:sz w:val="18"/>
                <w:szCs w:val="18"/>
              </w:rPr>
              <w:t>Assessment of product u</w:t>
            </w:r>
            <w:r w:rsidR="00677743" w:rsidRPr="008A35D0">
              <w:rPr>
                <w:sz w:val="18"/>
                <w:szCs w:val="18"/>
              </w:rPr>
              <w:t xml:space="preserve">tilisation: </w:t>
            </w:r>
            <w:r w:rsidR="00CE4C02" w:rsidRPr="00CE4C02">
              <w:rPr>
                <w:b w:val="0"/>
                <w:sz w:val="18"/>
                <w:szCs w:val="18"/>
              </w:rPr>
              <w:t>The Review identified several products with low utili</w:t>
            </w:r>
            <w:r w:rsidR="00CE4C02">
              <w:rPr>
                <w:b w:val="0"/>
                <w:sz w:val="18"/>
                <w:szCs w:val="18"/>
              </w:rPr>
              <w:t>s</w:t>
            </w:r>
            <w:r w:rsidR="00CE4C02" w:rsidRPr="00CE4C02">
              <w:rPr>
                <w:b w:val="0"/>
                <w:sz w:val="18"/>
                <w:szCs w:val="18"/>
              </w:rPr>
              <w:t>ation and has assessed the associated costs related to their potential removal from the Scheme. This analysis offer</w:t>
            </w:r>
            <w:r w:rsidR="00CE4C02">
              <w:rPr>
                <w:b w:val="0"/>
                <w:sz w:val="18"/>
                <w:szCs w:val="18"/>
              </w:rPr>
              <w:t>s</w:t>
            </w:r>
            <w:r w:rsidR="00CE4C02" w:rsidRPr="00CE4C02">
              <w:rPr>
                <w:b w:val="0"/>
                <w:sz w:val="18"/>
                <w:szCs w:val="18"/>
              </w:rPr>
              <w:t xml:space="preserve"> insights into the financial implications and benefits of eliminating products with limited demand.</w:t>
            </w:r>
            <w:r w:rsidR="00CC18BA">
              <w:rPr>
                <w:b w:val="0"/>
                <w:sz w:val="18"/>
                <w:szCs w:val="18"/>
              </w:rPr>
              <w:t xml:space="preserve"> However, this action would only result in a rationalisation of products rather than cost savings, given </w:t>
            </w:r>
            <w:r w:rsidR="0061549C">
              <w:rPr>
                <w:b w:val="0"/>
                <w:sz w:val="18"/>
                <w:szCs w:val="18"/>
              </w:rPr>
              <w:t>ostomates would transition to similarly priced alternative products if they were to no longer be available on the Scheme.</w:t>
            </w:r>
          </w:p>
          <w:p w14:paraId="04694E62" w14:textId="477D51E8" w:rsidR="00677743" w:rsidRPr="0027176E" w:rsidRDefault="001D46DC" w:rsidP="00E442CB">
            <w:pPr>
              <w:pStyle w:val="ListNumber"/>
              <w:numPr>
                <w:ilvl w:val="0"/>
                <w:numId w:val="52"/>
              </w:numPr>
              <w:rPr>
                <w:b w:val="0"/>
                <w:color w:val="auto"/>
                <w:sz w:val="18"/>
                <w:szCs w:val="18"/>
              </w:rPr>
            </w:pPr>
            <w:r>
              <w:rPr>
                <w:sz w:val="18"/>
                <w:szCs w:val="18"/>
              </w:rPr>
              <w:t xml:space="preserve">Adjustment to </w:t>
            </w:r>
            <w:r w:rsidR="00E201DF">
              <w:rPr>
                <w:sz w:val="18"/>
                <w:szCs w:val="18"/>
              </w:rPr>
              <w:t>maximum</w:t>
            </w:r>
            <w:r w:rsidR="00E201DF" w:rsidRPr="008A35D0">
              <w:rPr>
                <w:sz w:val="18"/>
                <w:szCs w:val="18"/>
              </w:rPr>
              <w:t xml:space="preserve"> </w:t>
            </w:r>
            <w:r>
              <w:rPr>
                <w:sz w:val="18"/>
                <w:szCs w:val="18"/>
              </w:rPr>
              <w:t xml:space="preserve">product </w:t>
            </w:r>
            <w:r w:rsidR="00677743" w:rsidRPr="008A35D0">
              <w:rPr>
                <w:sz w:val="18"/>
                <w:szCs w:val="18"/>
              </w:rPr>
              <w:t xml:space="preserve">allocation: </w:t>
            </w:r>
            <w:r w:rsidR="00F66D7E" w:rsidRPr="00F66D7E">
              <w:rPr>
                <w:b w:val="0"/>
                <w:sz w:val="18"/>
                <w:szCs w:val="18"/>
              </w:rPr>
              <w:t xml:space="preserve">Review and, if needed, adjust the </w:t>
            </w:r>
            <w:r w:rsidR="00E201DF">
              <w:rPr>
                <w:b w:val="0"/>
                <w:sz w:val="18"/>
                <w:szCs w:val="18"/>
              </w:rPr>
              <w:t>maximum</w:t>
            </w:r>
            <w:r w:rsidR="00E201DF" w:rsidRPr="00F66D7E">
              <w:rPr>
                <w:b w:val="0"/>
                <w:sz w:val="18"/>
                <w:szCs w:val="18"/>
              </w:rPr>
              <w:t xml:space="preserve"> </w:t>
            </w:r>
            <w:r w:rsidR="00F66D7E" w:rsidRPr="00F66D7E">
              <w:rPr>
                <w:b w:val="0"/>
                <w:sz w:val="18"/>
                <w:szCs w:val="18"/>
              </w:rPr>
              <w:t>allocation of products. This adjustment may involve increasing or decreasing allocations based on usage patterns and requirements.</w:t>
            </w:r>
            <w:r w:rsidR="00DA470F">
              <w:rPr>
                <w:b w:val="0"/>
                <w:sz w:val="18"/>
                <w:szCs w:val="18"/>
              </w:rPr>
              <w:t xml:space="preserve"> Products for consideration </w:t>
            </w:r>
            <w:r w:rsidR="00222ECA">
              <w:rPr>
                <w:b w:val="0"/>
                <w:sz w:val="18"/>
                <w:szCs w:val="18"/>
              </w:rPr>
              <w:t>in this category include closed bag systems, plug systems and an overall increase in bags and seals provided by the Scheme.</w:t>
            </w:r>
            <w:r w:rsidR="00F66D7E" w:rsidRPr="00F66D7E">
              <w:rPr>
                <w:b w:val="0"/>
                <w:sz w:val="18"/>
                <w:szCs w:val="18"/>
              </w:rPr>
              <w:t xml:space="preserve"> The financial </w:t>
            </w:r>
            <w:r w:rsidR="00FA5406" w:rsidRPr="00814B94">
              <w:rPr>
                <w:b w:val="0"/>
                <w:sz w:val="18"/>
                <w:szCs w:val="18"/>
              </w:rPr>
              <w:t>modellin</w:t>
            </w:r>
            <w:r w:rsidR="00FA5406" w:rsidRPr="006745D1">
              <w:rPr>
                <w:sz w:val="18"/>
                <w:szCs w:val="18"/>
              </w:rPr>
              <w:t>g</w:t>
            </w:r>
            <w:r w:rsidR="00F66D7E" w:rsidRPr="00F66D7E">
              <w:rPr>
                <w:b w:val="0"/>
                <w:sz w:val="18"/>
                <w:szCs w:val="18"/>
              </w:rPr>
              <w:t xml:space="preserve"> includes cost estimates associated with </w:t>
            </w:r>
            <w:r w:rsidR="0032225E">
              <w:rPr>
                <w:b w:val="0"/>
                <w:sz w:val="18"/>
                <w:szCs w:val="18"/>
              </w:rPr>
              <w:t xml:space="preserve">such </w:t>
            </w:r>
            <w:r w:rsidR="00F66D7E" w:rsidRPr="00F66D7E">
              <w:rPr>
                <w:b w:val="0"/>
                <w:sz w:val="18"/>
                <w:szCs w:val="18"/>
              </w:rPr>
              <w:t>adjustments.</w:t>
            </w:r>
          </w:p>
        </w:tc>
      </w:tr>
    </w:tbl>
    <w:p w14:paraId="796CAE6D" w14:textId="659C0738" w:rsidR="008273BA" w:rsidRDefault="002F7922" w:rsidP="0027176E">
      <w:r>
        <w:t>If</w:t>
      </w:r>
      <w:r w:rsidR="0027176E">
        <w:t xml:space="preserve"> pursuing recommendation #6, it is essential to strike a balance between addressing the diverse needs of ostomates and maintaining responsible government spending. It is crucial to recognise the significance of offering essential products and services to ostomates. Any removal or restriction of product categories must consider the potential effects on the quality of life and health outcomes for individuals with stomas. Therefore, prior to making any decisions about removing products from the Schedule, it is suggested to engage further with the ostomate community to assess the potential impacts on their health and well-being. Additionally, consultations with the clinical community, particularly STNs, should be undertaken to ensure a comprehensive understanding of the consequences of such actions.</w:t>
      </w:r>
    </w:p>
    <w:p w14:paraId="6EBF05FE" w14:textId="77777777" w:rsidR="00677743" w:rsidRDefault="00677743" w:rsidP="00987F4B">
      <w:pPr>
        <w:pStyle w:val="Heading2"/>
      </w:pPr>
      <w:r>
        <w:t>Methodology for product pricing</w:t>
      </w:r>
    </w:p>
    <w:p w14:paraId="181EC15A" w14:textId="47A344E4" w:rsidR="00677743" w:rsidRDefault="007A5F80" w:rsidP="00A40E02">
      <w:pPr>
        <w:pStyle w:val="BodyText"/>
      </w:pPr>
      <w:r>
        <w:t xml:space="preserve">The current Scheme </w:t>
      </w:r>
      <w:r w:rsidR="00253E2E">
        <w:t>utilises</w:t>
      </w:r>
      <w:r w:rsidR="006A1A6E">
        <w:t xml:space="preserve"> a </w:t>
      </w:r>
      <w:r>
        <w:t>benchmark and premium pricing</w:t>
      </w:r>
      <w:r w:rsidR="006A1A6E">
        <w:t xml:space="preserve"> approach</w:t>
      </w:r>
      <w:r>
        <w:t xml:space="preserve">, </w:t>
      </w:r>
      <w:r w:rsidR="001F5ED5">
        <w:t xml:space="preserve">which </w:t>
      </w:r>
      <w:r w:rsidR="006A1A6E">
        <w:t xml:space="preserve">enhances </w:t>
      </w:r>
      <w:r>
        <w:t xml:space="preserve">transparency and </w:t>
      </w:r>
      <w:r w:rsidR="00AB2FCE">
        <w:t>consistency</w:t>
      </w:r>
      <w:r w:rsidR="006A1A6E">
        <w:t xml:space="preserve"> </w:t>
      </w:r>
      <w:r>
        <w:t xml:space="preserve">among manufacturers. </w:t>
      </w:r>
      <w:r w:rsidR="008045F5">
        <w:t xml:space="preserve">Although </w:t>
      </w:r>
      <w:r w:rsidR="000846AD">
        <w:t>a</w:t>
      </w:r>
      <w:r w:rsidR="00677743">
        <w:t>lternative price-setting methods were</w:t>
      </w:r>
      <w:r w:rsidR="000846AD">
        <w:t xml:space="preserve"> considered, </w:t>
      </w:r>
      <w:r w:rsidR="00690197">
        <w:t xml:space="preserve">they were </w:t>
      </w:r>
      <w:r w:rsidR="00E80CC0">
        <w:t xml:space="preserve">largely deemed </w:t>
      </w:r>
      <w:r w:rsidR="00690197">
        <w:t xml:space="preserve">unfeasible </w:t>
      </w:r>
      <w:r w:rsidR="00877395">
        <w:t xml:space="preserve">for the Scheme </w:t>
      </w:r>
      <w:r w:rsidR="00690197">
        <w:t xml:space="preserve">and </w:t>
      </w:r>
      <w:r w:rsidR="0023160A">
        <w:t xml:space="preserve">lacked </w:t>
      </w:r>
      <w:r w:rsidR="00690197">
        <w:t xml:space="preserve">support </w:t>
      </w:r>
      <w:r w:rsidR="0023160A">
        <w:t xml:space="preserve">from </w:t>
      </w:r>
      <w:r w:rsidR="009D3B8B">
        <w:t>stakeholders</w:t>
      </w:r>
      <w:r w:rsidR="00690197">
        <w:t>.</w:t>
      </w:r>
      <w:r w:rsidR="002A1862">
        <w:t xml:space="preserve"> The current</w:t>
      </w:r>
      <w:r w:rsidR="001A3070">
        <w:t xml:space="preserve"> benchmark and premium</w:t>
      </w:r>
      <w:r w:rsidR="002A1862">
        <w:t xml:space="preserve"> methodology</w:t>
      </w:r>
      <w:r w:rsidR="001A3070">
        <w:t xml:space="preserve"> for price-setting</w:t>
      </w:r>
      <w:r w:rsidR="00F84D70">
        <w:t xml:space="preserve"> </w:t>
      </w:r>
      <w:r w:rsidR="00090472">
        <w:t xml:space="preserve">aligns with </w:t>
      </w:r>
      <w:r w:rsidR="009D24A9">
        <w:t>the Scheme’s objectives</w:t>
      </w:r>
      <w:r w:rsidR="00D62F1E">
        <w:t xml:space="preserve">, </w:t>
      </w:r>
      <w:r w:rsidR="00953A07">
        <w:t xml:space="preserve">which </w:t>
      </w:r>
      <w:r w:rsidR="000B1BF5">
        <w:t xml:space="preserve">further </w:t>
      </w:r>
      <w:r w:rsidR="00953A07">
        <w:t xml:space="preserve">supports </w:t>
      </w:r>
      <w:r w:rsidR="000B1BF5">
        <w:t xml:space="preserve">retaining </w:t>
      </w:r>
      <w:r w:rsidR="0090680B">
        <w:t>this</w:t>
      </w:r>
      <w:r w:rsidR="0095526C">
        <w:t xml:space="preserve"> approach</w:t>
      </w:r>
      <w:r w:rsidR="0090680B">
        <w:t xml:space="preserve">. </w:t>
      </w:r>
    </w:p>
    <w:p w14:paraId="18DBD9A8" w14:textId="2B425571" w:rsidR="002B638E" w:rsidRPr="002B285C" w:rsidRDefault="00A94E92" w:rsidP="002B638E">
      <w:pPr>
        <w:rPr>
          <w:b/>
          <w:sz w:val="18"/>
          <w:szCs w:val="18"/>
        </w:rPr>
      </w:pPr>
      <w:r>
        <w:lastRenderedPageBreak/>
        <w:t>The a</w:t>
      </w:r>
      <w:r w:rsidR="00167FF8">
        <w:t xml:space="preserve">bsence of </w:t>
      </w:r>
      <w:r w:rsidR="00AE317F">
        <w:t xml:space="preserve">any price </w:t>
      </w:r>
      <w:r w:rsidR="00AB2FCE">
        <w:t>increase</w:t>
      </w:r>
      <w:r w:rsidR="00AE317F">
        <w:t xml:space="preserve"> </w:t>
      </w:r>
      <w:r w:rsidR="00167FF8">
        <w:t xml:space="preserve">since 2013 </w:t>
      </w:r>
      <w:r w:rsidR="00AE317F">
        <w:t xml:space="preserve">has raised </w:t>
      </w:r>
      <w:r w:rsidR="00167FF8">
        <w:t>significant concern</w:t>
      </w:r>
      <w:r w:rsidR="00AE317F">
        <w:t>s</w:t>
      </w:r>
      <w:r w:rsidR="00167FF8">
        <w:t xml:space="preserve">. </w:t>
      </w:r>
      <w:r w:rsidR="008F4820">
        <w:t>Furthermore</w:t>
      </w:r>
      <w:r w:rsidR="00AB2FCE">
        <w:t>,</w:t>
      </w:r>
      <w:r w:rsidR="008F4820">
        <w:t xml:space="preserve"> the lack</w:t>
      </w:r>
      <w:r w:rsidR="008740AB">
        <w:t xml:space="preserve"> of</w:t>
      </w:r>
      <w:r w:rsidR="008F4820">
        <w:t xml:space="preserve"> </w:t>
      </w:r>
      <w:r w:rsidR="00167FF8">
        <w:t xml:space="preserve">review or update of benchmark pricing </w:t>
      </w:r>
      <w:r w:rsidR="00086E8B">
        <w:t xml:space="preserve">has resulted in </w:t>
      </w:r>
      <w:r w:rsidR="00167FF8">
        <w:t>outdated pricing and an inability to adapt to market changes.</w:t>
      </w:r>
      <w:r w:rsidR="00AD4749">
        <w:t xml:space="preserve"> Comparisons of </w:t>
      </w:r>
      <w:r w:rsidR="00F865FF">
        <w:t xml:space="preserve">international </w:t>
      </w:r>
      <w:r w:rsidR="00AD4749">
        <w:t xml:space="preserve">pricing for core products </w:t>
      </w:r>
      <w:r w:rsidR="00C035C8">
        <w:t xml:space="preserve">has also revealed substantial </w:t>
      </w:r>
      <w:r w:rsidR="00AB2FCE">
        <w:t>disparities</w:t>
      </w:r>
      <w:r w:rsidR="00C035C8">
        <w:t xml:space="preserve"> </w:t>
      </w:r>
      <w:r w:rsidR="00AD4749">
        <w:t xml:space="preserve">between </w:t>
      </w:r>
      <w:r w:rsidR="00BC3B18">
        <w:t>the Australian market</w:t>
      </w:r>
      <w:r w:rsidR="00BB074C">
        <w:t xml:space="preserve"> and </w:t>
      </w:r>
      <w:r w:rsidR="007206B3">
        <w:t xml:space="preserve">how the product suppliers are subsidised internationally. </w:t>
      </w:r>
    </w:p>
    <w:p w14:paraId="1EB29481" w14:textId="6FE8BC19" w:rsidR="000F5B37" w:rsidRDefault="00B00699" w:rsidP="00A23DED">
      <w:pPr>
        <w:pStyle w:val="BodyText"/>
      </w:pPr>
      <w:r>
        <w:t>To address concerns highlighted by the Review</w:t>
      </w:r>
      <w:r w:rsidR="0028287B">
        <w:t xml:space="preserve">, the </w:t>
      </w:r>
      <w:r w:rsidR="00AB2FCE">
        <w:t>introduction</w:t>
      </w:r>
      <w:r w:rsidR="0028287B">
        <w:t xml:space="preserve"> of </w:t>
      </w:r>
      <w:r w:rsidR="00A23DED">
        <w:t xml:space="preserve">regular price reviews </w:t>
      </w:r>
      <w:r w:rsidR="00777BB3">
        <w:t xml:space="preserve">is </w:t>
      </w:r>
      <w:r w:rsidR="00471F9F">
        <w:t xml:space="preserve">important to </w:t>
      </w:r>
      <w:r w:rsidR="00A23DED">
        <w:t>ensur</w:t>
      </w:r>
      <w:r w:rsidR="00471F9F">
        <w:t>e</w:t>
      </w:r>
      <w:r w:rsidR="00A23DED">
        <w:t xml:space="preserve"> that the Scheme's pricing structure </w:t>
      </w:r>
      <w:r w:rsidR="008F4B1D">
        <w:t>remains equitable</w:t>
      </w:r>
      <w:r w:rsidR="00A23DED">
        <w:t xml:space="preserve">, transparent, and responsive to </w:t>
      </w:r>
      <w:r w:rsidR="002A7543">
        <w:t xml:space="preserve">changing </w:t>
      </w:r>
      <w:r w:rsidR="00A23DED">
        <w:t xml:space="preserve">market </w:t>
      </w:r>
      <w:r w:rsidR="002A7543">
        <w:t>conditions</w:t>
      </w:r>
      <w:r w:rsidR="00A23DED">
        <w:t xml:space="preserve">. </w:t>
      </w:r>
      <w:r w:rsidR="000F5B37" w:rsidRPr="000F5B37">
        <w:t>While implementing retro</w:t>
      </w:r>
      <w:r w:rsidR="000F5B37">
        <w:t xml:space="preserve">spective </w:t>
      </w:r>
      <w:r w:rsidR="000F5B37" w:rsidRPr="000F5B37">
        <w:t xml:space="preserve">indexation </w:t>
      </w:r>
      <w:r w:rsidR="000F5B37">
        <w:t xml:space="preserve">will be </w:t>
      </w:r>
      <w:r w:rsidR="000F5B37" w:rsidRPr="000F5B37">
        <w:t>cost-prohibitive for the Government</w:t>
      </w:r>
      <w:r w:rsidR="00B901F9">
        <w:t xml:space="preserve"> and is therefore </w:t>
      </w:r>
      <w:r w:rsidR="000F5B37" w:rsidRPr="000F5B37">
        <w:t>not recommended</w:t>
      </w:r>
      <w:r w:rsidR="002A7E89">
        <w:t xml:space="preserve">, </w:t>
      </w:r>
      <w:r w:rsidR="00BB791E" w:rsidRPr="00BB791E">
        <w:t>conducting an immediate price review of the Schedule</w:t>
      </w:r>
      <w:r w:rsidR="00421047" w:rsidRPr="00421047">
        <w:t xml:space="preserve"> </w:t>
      </w:r>
      <w:r w:rsidR="0045351A">
        <w:t xml:space="preserve">(involving a combination of </w:t>
      </w:r>
      <w:r w:rsidR="00421047" w:rsidRPr="00421047">
        <w:t xml:space="preserve">market research </w:t>
      </w:r>
      <w:r w:rsidR="0045351A">
        <w:t xml:space="preserve">and </w:t>
      </w:r>
      <w:r w:rsidR="00421047" w:rsidRPr="00421047">
        <w:t>supplier submissions</w:t>
      </w:r>
      <w:r w:rsidR="0045351A">
        <w:t>)</w:t>
      </w:r>
      <w:r w:rsidR="00BB791E" w:rsidRPr="00BB791E">
        <w:t>, with adjustments</w:t>
      </w:r>
      <w:r w:rsidR="002A7E89">
        <w:t xml:space="preserve">. This approach </w:t>
      </w:r>
      <w:r w:rsidR="00BB791E" w:rsidRPr="00BB791E">
        <w:t>will align product prices with current industry standards and effectively address the concerns raised by the stoma appliance industry.</w:t>
      </w:r>
    </w:p>
    <w:p w14:paraId="246C0E99" w14:textId="183F7C56" w:rsidR="00D17068" w:rsidRDefault="00F465BE" w:rsidP="00E1467C">
      <w:pPr>
        <w:pStyle w:val="BodyText"/>
      </w:pPr>
      <w:r>
        <w:t>Mixed f</w:t>
      </w:r>
      <w:r w:rsidR="004C27F8">
        <w:t xml:space="preserve">eedback on the processes </w:t>
      </w:r>
      <w:r w:rsidR="0022310E">
        <w:t xml:space="preserve">and requirements </w:t>
      </w:r>
      <w:r w:rsidR="00B04957">
        <w:t>needed</w:t>
      </w:r>
      <w:r w:rsidR="004C27F8">
        <w:t xml:space="preserve"> to</w:t>
      </w:r>
      <w:r w:rsidR="00B04957">
        <w:t xml:space="preserve"> justify</w:t>
      </w:r>
      <w:r w:rsidR="004C27F8">
        <w:t xml:space="preserve"> p</w:t>
      </w:r>
      <w:r w:rsidR="00D17068" w:rsidRPr="00D17068">
        <w:t>remium pricing</w:t>
      </w:r>
      <w:r w:rsidR="00B04957">
        <w:t xml:space="preserve"> also emerged throughout the Review</w:t>
      </w:r>
      <w:r w:rsidR="006D6748">
        <w:t>.</w:t>
      </w:r>
      <w:r w:rsidR="00D17068" w:rsidRPr="006D6748">
        <w:t xml:space="preserve"> </w:t>
      </w:r>
      <w:r w:rsidR="00BB19A8" w:rsidRPr="006D6748">
        <w:t xml:space="preserve">Some stakeholders expressed concerns about the </w:t>
      </w:r>
      <w:r w:rsidR="00190762" w:rsidRPr="00190762">
        <w:t xml:space="preserve">stringency of the existing criteria, asserting that it may impede innovation and accessibility. Conversely, </w:t>
      </w:r>
      <w:r w:rsidR="00EE6FCD">
        <w:t>there is an argument</w:t>
      </w:r>
      <w:r w:rsidR="00190762" w:rsidRPr="00190762">
        <w:t xml:space="preserve"> for more comprehensive evidence</w:t>
      </w:r>
      <w:r w:rsidR="00EE6FCD">
        <w:t xml:space="preserve"> requirements</w:t>
      </w:r>
      <w:r w:rsidR="00190762" w:rsidRPr="00190762">
        <w:t>, especially for new technologies, if proven effective internationally.</w:t>
      </w:r>
      <w:r w:rsidR="0030187F">
        <w:t xml:space="preserve"> </w:t>
      </w:r>
      <w:r w:rsidR="005E74D4">
        <w:t xml:space="preserve">It is the view of the Reviewers </w:t>
      </w:r>
      <w:r w:rsidR="000E4CDD">
        <w:t xml:space="preserve">that the Scheme </w:t>
      </w:r>
      <w:r w:rsidR="007D0688">
        <w:t xml:space="preserve">should explore </w:t>
      </w:r>
      <w:r w:rsidR="000E4CDD">
        <w:t xml:space="preserve">opportunities to streamline the </w:t>
      </w:r>
      <w:r w:rsidR="000E4CDD" w:rsidRPr="000E4CDD">
        <w:t xml:space="preserve">assessments for premium pricing and where possible, enhance transparency in </w:t>
      </w:r>
      <w:r w:rsidR="00990963">
        <w:t xml:space="preserve">decisions made by SPAP where premium pricing </w:t>
      </w:r>
      <w:r w:rsidR="003F6626">
        <w:t>application has not been successful</w:t>
      </w:r>
      <w:r w:rsidR="00DA3DA9">
        <w:t xml:space="preserve">. </w:t>
      </w:r>
      <w:r w:rsidR="00E1467C">
        <w:t>This may include providing clearer guidelines on the requirements for applying and improved</w:t>
      </w:r>
      <w:r w:rsidR="00E1467C" w:rsidRPr="000E4CDD">
        <w:t xml:space="preserve"> communication of decisions from SPAP</w:t>
      </w:r>
      <w:r w:rsidR="00E1467C">
        <w:t xml:space="preserve">. </w:t>
      </w:r>
      <w:r w:rsidR="00BB2215">
        <w:t xml:space="preserve">Feedback received from product suppliers suggested </w:t>
      </w:r>
      <w:r w:rsidR="00BA569C">
        <w:t>that</w:t>
      </w:r>
      <w:r w:rsidR="000C5813">
        <w:t xml:space="preserve"> applying for premium pricing</w:t>
      </w:r>
      <w:r w:rsidR="00BB2215">
        <w:t xml:space="preserve"> requires</w:t>
      </w:r>
      <w:r w:rsidR="000C5813">
        <w:t xml:space="preserve"> </w:t>
      </w:r>
      <w:r w:rsidR="001A5F15">
        <w:t xml:space="preserve">cost-effectiveness and clinical </w:t>
      </w:r>
      <w:r w:rsidR="000C5813">
        <w:t>evidence to justify a higher cost product</w:t>
      </w:r>
      <w:r w:rsidR="00BA569C">
        <w:t xml:space="preserve">, which is not always present </w:t>
      </w:r>
      <w:r w:rsidR="00C82C9D">
        <w:t xml:space="preserve">for many of these products where new technologies are focused on the overall wellbeing and maintaining skin integrity of ostomates. </w:t>
      </w:r>
      <w:r w:rsidR="00E1467C">
        <w:t xml:space="preserve">Other feedback also highlighted the process does not provide an opportunity to respond to evaluation questions prior to SPAP decision making. </w:t>
      </w:r>
    </w:p>
    <w:tbl>
      <w:tblPr>
        <w:tblStyle w:val="TableHealthConsult1"/>
        <w:tblW w:w="0" w:type="auto"/>
        <w:tblLook w:val="04A0" w:firstRow="1" w:lastRow="0" w:firstColumn="1" w:lastColumn="0" w:noHBand="0" w:noVBand="1"/>
      </w:tblPr>
      <w:tblGrid>
        <w:gridCol w:w="9628"/>
      </w:tblGrid>
      <w:tr w:rsidR="00860AF9" w:rsidRPr="003E5558" w14:paraId="50E24FFC" w14:textId="77777777" w:rsidTr="00C5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tcPr>
          <w:p w14:paraId="3B1C89E1" w14:textId="415AA79B" w:rsidR="00860AF9" w:rsidRPr="002B285C" w:rsidRDefault="00860AF9" w:rsidP="005C7AC1">
            <w:pPr>
              <w:rPr>
                <w:sz w:val="18"/>
                <w:szCs w:val="18"/>
              </w:rPr>
            </w:pPr>
            <w:r w:rsidRPr="002B285C">
              <w:rPr>
                <w:sz w:val="18"/>
                <w:szCs w:val="18"/>
              </w:rPr>
              <w:t>Recommendation #</w:t>
            </w:r>
            <w:r w:rsidR="00B90B97">
              <w:rPr>
                <w:sz w:val="18"/>
                <w:szCs w:val="18"/>
              </w:rPr>
              <w:t>7</w:t>
            </w:r>
          </w:p>
        </w:tc>
      </w:tr>
      <w:tr w:rsidR="00860AF9" w:rsidRPr="003E5558" w14:paraId="67FCFAA5" w14:textId="77777777" w:rsidTr="00C5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05AD64B4" w14:textId="45A5DE84" w:rsidR="00860AF9" w:rsidRPr="001F420C" w:rsidRDefault="00860AF9" w:rsidP="004570AB">
            <w:pPr>
              <w:pStyle w:val="ListNumber"/>
              <w:numPr>
                <w:ilvl w:val="0"/>
                <w:numId w:val="0"/>
              </w:numPr>
              <w:ind w:left="360" w:hanging="360"/>
              <w:rPr>
                <w:b w:val="0"/>
                <w:sz w:val="18"/>
                <w:szCs w:val="18"/>
              </w:rPr>
            </w:pPr>
            <w:r w:rsidRPr="001F420C">
              <w:rPr>
                <w:b w:val="0"/>
                <w:sz w:val="18"/>
                <w:szCs w:val="18"/>
              </w:rPr>
              <w:t>Maintain the current benchmark and premium model</w:t>
            </w:r>
            <w:r w:rsidR="00606E9B" w:rsidRPr="001F420C">
              <w:rPr>
                <w:b w:val="0"/>
                <w:sz w:val="18"/>
                <w:szCs w:val="18"/>
              </w:rPr>
              <w:t xml:space="preserve"> for price-setting</w:t>
            </w:r>
            <w:r w:rsidR="004570AB" w:rsidRPr="001F420C">
              <w:rPr>
                <w:b w:val="0"/>
                <w:sz w:val="18"/>
                <w:szCs w:val="18"/>
              </w:rPr>
              <w:t xml:space="preserve"> products</w:t>
            </w:r>
            <w:r w:rsidRPr="001F420C">
              <w:rPr>
                <w:b w:val="0"/>
                <w:sz w:val="18"/>
                <w:szCs w:val="18"/>
              </w:rPr>
              <w:t>.</w:t>
            </w:r>
          </w:p>
        </w:tc>
      </w:tr>
      <w:tr w:rsidR="000F66A3" w:rsidRPr="003E5558" w14:paraId="0CB93BB3" w14:textId="77777777" w:rsidTr="00C50814">
        <w:tc>
          <w:tcPr>
            <w:cnfStyle w:val="001000000000" w:firstRow="0" w:lastRow="0" w:firstColumn="1" w:lastColumn="0" w:oddVBand="0" w:evenVBand="0" w:oddHBand="0" w:evenHBand="0" w:firstRowFirstColumn="0" w:firstRowLastColumn="0" w:lastRowFirstColumn="0" w:lastRowLastColumn="0"/>
            <w:tcW w:w="9628" w:type="dxa"/>
          </w:tcPr>
          <w:p w14:paraId="37993CAB" w14:textId="29449EFA" w:rsidR="000F66A3" w:rsidRPr="002B285C" w:rsidRDefault="000F66A3" w:rsidP="004570AB">
            <w:pPr>
              <w:pStyle w:val="ListNumber"/>
              <w:numPr>
                <w:ilvl w:val="0"/>
                <w:numId w:val="0"/>
              </w:numPr>
              <w:ind w:left="360" w:hanging="360"/>
              <w:rPr>
                <w:sz w:val="18"/>
                <w:szCs w:val="18"/>
              </w:rPr>
            </w:pPr>
            <w:r w:rsidRPr="002B285C">
              <w:rPr>
                <w:bCs/>
                <w:sz w:val="18"/>
                <w:szCs w:val="18"/>
              </w:rPr>
              <w:t>Recommendation #</w:t>
            </w:r>
            <w:r w:rsidR="00B90B97">
              <w:rPr>
                <w:bCs/>
                <w:sz w:val="18"/>
                <w:szCs w:val="18"/>
              </w:rPr>
              <w:t>8</w:t>
            </w:r>
          </w:p>
        </w:tc>
      </w:tr>
      <w:tr w:rsidR="000F66A3" w:rsidRPr="003E5558" w14:paraId="425EDDA0" w14:textId="77777777" w:rsidTr="00C5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080B3D4" w14:textId="77777777" w:rsidR="00082331" w:rsidRDefault="008B5986" w:rsidP="00082331">
            <w:pPr>
              <w:rPr>
                <w:sz w:val="18"/>
                <w:szCs w:val="18"/>
              </w:rPr>
            </w:pPr>
            <w:r w:rsidRPr="008B5986">
              <w:rPr>
                <w:b w:val="0"/>
                <w:sz w:val="18"/>
                <w:szCs w:val="18"/>
              </w:rPr>
              <w:t>Undertake an immediate price review of benchmark products, with a view to implement regular price reviews (every three years) into the Scheme pricing model.</w:t>
            </w:r>
          </w:p>
          <w:p w14:paraId="18CE6E01" w14:textId="2F893438" w:rsidR="000F66A3" w:rsidRPr="001F420C" w:rsidRDefault="000F66A3" w:rsidP="000F66A3">
            <w:pPr>
              <w:rPr>
                <w:b w:val="0"/>
                <w:sz w:val="18"/>
                <w:szCs w:val="18"/>
              </w:rPr>
            </w:pPr>
            <w:r w:rsidRPr="00016129">
              <w:rPr>
                <w:b w:val="0"/>
                <w:sz w:val="18"/>
                <w:szCs w:val="18"/>
              </w:rPr>
              <w:t>A systematic and periodic review of benchmark and premium pricing within the Scheme would involve regular assessments to ensure that the pricing structure remains aligned with market changes, addressing concerns about outdated pricing</w:t>
            </w:r>
            <w:r w:rsidR="00F66F47" w:rsidRPr="00016129">
              <w:rPr>
                <w:b w:val="0"/>
                <w:sz w:val="18"/>
                <w:szCs w:val="18"/>
              </w:rPr>
              <w:t>.</w:t>
            </w:r>
          </w:p>
        </w:tc>
      </w:tr>
      <w:tr w:rsidR="003E5558" w:rsidRPr="003E5558" w14:paraId="350B99E8" w14:textId="77777777" w:rsidTr="00992942">
        <w:tc>
          <w:tcPr>
            <w:cnfStyle w:val="001000000000" w:firstRow="0" w:lastRow="0" w:firstColumn="1" w:lastColumn="0" w:oddVBand="0" w:evenVBand="0" w:oddHBand="0" w:evenHBand="0" w:firstRowFirstColumn="0" w:firstRowLastColumn="0" w:lastRowFirstColumn="0" w:lastRowLastColumn="0"/>
            <w:tcW w:w="9628" w:type="dxa"/>
          </w:tcPr>
          <w:p w14:paraId="67C61474" w14:textId="7FA43F3A" w:rsidR="003E5558" w:rsidRPr="003E5558" w:rsidRDefault="003E5558" w:rsidP="003E5558">
            <w:pPr>
              <w:rPr>
                <w:sz w:val="18"/>
                <w:szCs w:val="18"/>
              </w:rPr>
            </w:pPr>
            <w:r w:rsidRPr="003E5558">
              <w:rPr>
                <w:sz w:val="18"/>
                <w:szCs w:val="18"/>
              </w:rPr>
              <w:t>Recommendation #</w:t>
            </w:r>
            <w:r w:rsidR="00CA37A6">
              <w:rPr>
                <w:sz w:val="18"/>
                <w:szCs w:val="18"/>
              </w:rPr>
              <w:t>9</w:t>
            </w:r>
          </w:p>
        </w:tc>
      </w:tr>
      <w:tr w:rsidR="00F66F47" w:rsidRPr="003E5558" w14:paraId="23A4AE44" w14:textId="77777777" w:rsidTr="00C5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61F8DF8A" w14:textId="730E1B10" w:rsidR="00F66F47" w:rsidRPr="005C1576" w:rsidRDefault="000D1325" w:rsidP="004C27F8">
            <w:pPr>
              <w:rPr>
                <w:b w:val="0"/>
                <w:sz w:val="18"/>
                <w:szCs w:val="18"/>
              </w:rPr>
            </w:pPr>
            <w:r>
              <w:rPr>
                <w:b w:val="0"/>
                <w:sz w:val="18"/>
                <w:szCs w:val="18"/>
              </w:rPr>
              <w:t>Review the process for</w:t>
            </w:r>
            <w:r w:rsidRPr="005C1576">
              <w:rPr>
                <w:b w:val="0"/>
                <w:sz w:val="18"/>
                <w:szCs w:val="18"/>
              </w:rPr>
              <w:t xml:space="preserve"> </w:t>
            </w:r>
            <w:r w:rsidR="00F66F47" w:rsidRPr="005C1576">
              <w:rPr>
                <w:b w:val="0"/>
                <w:sz w:val="18"/>
                <w:szCs w:val="18"/>
              </w:rPr>
              <w:t>assess</w:t>
            </w:r>
            <w:r>
              <w:rPr>
                <w:b w:val="0"/>
                <w:sz w:val="18"/>
                <w:szCs w:val="18"/>
              </w:rPr>
              <w:t>ing</w:t>
            </w:r>
            <w:r w:rsidR="00F66F47" w:rsidRPr="005C1576">
              <w:rPr>
                <w:b w:val="0"/>
                <w:sz w:val="18"/>
                <w:szCs w:val="18"/>
              </w:rPr>
              <w:t xml:space="preserve"> premium pricing </w:t>
            </w:r>
            <w:r>
              <w:rPr>
                <w:b w:val="0"/>
                <w:sz w:val="18"/>
                <w:szCs w:val="18"/>
              </w:rPr>
              <w:t xml:space="preserve">applications </w:t>
            </w:r>
            <w:r w:rsidR="00F66F47" w:rsidRPr="005C1576">
              <w:rPr>
                <w:b w:val="0"/>
                <w:sz w:val="18"/>
                <w:szCs w:val="18"/>
              </w:rPr>
              <w:t>and enhance transparency in the process.</w:t>
            </w:r>
            <w:r>
              <w:rPr>
                <w:b w:val="0"/>
                <w:sz w:val="18"/>
                <w:szCs w:val="18"/>
              </w:rPr>
              <w:t xml:space="preserve"> </w:t>
            </w:r>
            <w:r w:rsidRPr="000D1325">
              <w:rPr>
                <w:b w:val="0"/>
                <w:sz w:val="18"/>
                <w:szCs w:val="18"/>
              </w:rPr>
              <w:t>This could involve clearer guidelines for application requirements and improved communication of decisions</w:t>
            </w:r>
            <w:proofErr w:type="gramStart"/>
            <w:r w:rsidRPr="000D1325">
              <w:rPr>
                <w:b w:val="0"/>
                <w:sz w:val="18"/>
                <w:szCs w:val="18"/>
              </w:rPr>
              <w:t>, ,</w:t>
            </w:r>
            <w:proofErr w:type="gramEnd"/>
            <w:r w:rsidRPr="000D1325">
              <w:rPr>
                <w:b w:val="0"/>
                <w:sz w:val="18"/>
                <w:szCs w:val="18"/>
              </w:rPr>
              <w:t xml:space="preserve"> along with providing an opportunity for suppliers to respond to evaluation questions before SPAP decision-making.</w:t>
            </w:r>
            <w:r w:rsidR="00A627B0">
              <w:rPr>
                <w:b w:val="0"/>
                <w:sz w:val="18"/>
                <w:szCs w:val="18"/>
              </w:rPr>
              <w:t xml:space="preserve"> </w:t>
            </w:r>
            <w:r w:rsidR="001227E1">
              <w:rPr>
                <w:b w:val="0"/>
                <w:sz w:val="18"/>
                <w:szCs w:val="18"/>
              </w:rPr>
              <w:t>R</w:t>
            </w:r>
            <w:r w:rsidR="00391E01">
              <w:rPr>
                <w:b w:val="0"/>
                <w:sz w:val="18"/>
                <w:szCs w:val="18"/>
              </w:rPr>
              <w:t>eviewing th</w:t>
            </w:r>
            <w:r w:rsidR="00E2562C">
              <w:rPr>
                <w:b w:val="0"/>
                <w:sz w:val="18"/>
                <w:szCs w:val="18"/>
              </w:rPr>
              <w:t>is</w:t>
            </w:r>
            <w:r w:rsidR="00391E01">
              <w:rPr>
                <w:b w:val="0"/>
                <w:sz w:val="18"/>
                <w:szCs w:val="18"/>
              </w:rPr>
              <w:t xml:space="preserve"> </w:t>
            </w:r>
            <w:r w:rsidR="00E2562C">
              <w:rPr>
                <w:b w:val="0"/>
                <w:sz w:val="18"/>
                <w:szCs w:val="18"/>
              </w:rPr>
              <w:t>process also p</w:t>
            </w:r>
            <w:r w:rsidR="001227E1">
              <w:rPr>
                <w:b w:val="0"/>
                <w:sz w:val="18"/>
                <w:szCs w:val="18"/>
              </w:rPr>
              <w:t xml:space="preserve">rovides an opportunity </w:t>
            </w:r>
            <w:r w:rsidR="00E2562C">
              <w:rPr>
                <w:b w:val="0"/>
                <w:sz w:val="18"/>
                <w:szCs w:val="18"/>
              </w:rPr>
              <w:t xml:space="preserve">to </w:t>
            </w:r>
            <w:r w:rsidR="00D723A2">
              <w:rPr>
                <w:b w:val="0"/>
                <w:sz w:val="18"/>
                <w:szCs w:val="18"/>
              </w:rPr>
              <w:t>develop a</w:t>
            </w:r>
            <w:r w:rsidR="00C41308">
              <w:rPr>
                <w:b w:val="0"/>
                <w:sz w:val="18"/>
                <w:szCs w:val="18"/>
              </w:rPr>
              <w:t xml:space="preserve"> </w:t>
            </w:r>
            <w:r w:rsidR="00D723A2" w:rsidRPr="00D723A2">
              <w:rPr>
                <w:b w:val="0"/>
                <w:sz w:val="18"/>
                <w:szCs w:val="18"/>
              </w:rPr>
              <w:t>framework or support</w:t>
            </w:r>
            <w:r w:rsidR="007A05BA">
              <w:rPr>
                <w:b w:val="0"/>
                <w:sz w:val="18"/>
                <w:szCs w:val="18"/>
              </w:rPr>
              <w:t>ing</w:t>
            </w:r>
            <w:r w:rsidR="00D723A2" w:rsidRPr="00D723A2">
              <w:rPr>
                <w:b w:val="0"/>
                <w:sz w:val="18"/>
                <w:szCs w:val="18"/>
              </w:rPr>
              <w:t xml:space="preserve"> mechanism to assist suppliers in generating </w:t>
            </w:r>
            <w:r w:rsidR="00E2562C">
              <w:rPr>
                <w:b w:val="0"/>
                <w:sz w:val="18"/>
                <w:szCs w:val="18"/>
              </w:rPr>
              <w:t xml:space="preserve">the </w:t>
            </w:r>
            <w:r w:rsidR="00D723A2" w:rsidRPr="00D723A2">
              <w:rPr>
                <w:b w:val="0"/>
                <w:sz w:val="18"/>
                <w:szCs w:val="18"/>
              </w:rPr>
              <w:t xml:space="preserve">relevant evidence </w:t>
            </w:r>
            <w:r w:rsidR="00E2562C">
              <w:rPr>
                <w:b w:val="0"/>
                <w:sz w:val="18"/>
                <w:szCs w:val="18"/>
              </w:rPr>
              <w:t>to</w:t>
            </w:r>
            <w:r w:rsidR="00D723A2" w:rsidRPr="00D723A2">
              <w:rPr>
                <w:b w:val="0"/>
                <w:sz w:val="18"/>
                <w:szCs w:val="18"/>
              </w:rPr>
              <w:t xml:space="preserve"> </w:t>
            </w:r>
            <w:r w:rsidR="00D723A2" w:rsidRPr="00D723A2">
              <w:rPr>
                <w:b w:val="0"/>
                <w:sz w:val="18"/>
                <w:szCs w:val="18"/>
              </w:rPr>
              <w:lastRenderedPageBreak/>
              <w:t>demonstrat</w:t>
            </w:r>
            <w:r w:rsidR="00E2562C">
              <w:rPr>
                <w:b w:val="0"/>
                <w:sz w:val="18"/>
                <w:szCs w:val="18"/>
              </w:rPr>
              <w:t>e</w:t>
            </w:r>
            <w:r w:rsidR="00D723A2" w:rsidRPr="00D723A2">
              <w:rPr>
                <w:b w:val="0"/>
                <w:sz w:val="18"/>
                <w:szCs w:val="18"/>
              </w:rPr>
              <w:t xml:space="preserve"> value for premium-priced products</w:t>
            </w:r>
            <w:r w:rsidR="00BE3CE7">
              <w:rPr>
                <w:b w:val="0"/>
                <w:sz w:val="18"/>
                <w:szCs w:val="18"/>
              </w:rPr>
              <w:t xml:space="preserve"> and will continue</w:t>
            </w:r>
            <w:r w:rsidR="00E2562C">
              <w:rPr>
                <w:b w:val="0"/>
                <w:sz w:val="18"/>
                <w:szCs w:val="18"/>
              </w:rPr>
              <w:t xml:space="preserve"> to ensure </w:t>
            </w:r>
            <w:r w:rsidR="00273127">
              <w:rPr>
                <w:b w:val="0"/>
                <w:sz w:val="18"/>
                <w:szCs w:val="18"/>
              </w:rPr>
              <w:t xml:space="preserve">innovative technologies </w:t>
            </w:r>
            <w:r w:rsidR="00BE3CE7">
              <w:rPr>
                <w:b w:val="0"/>
                <w:sz w:val="18"/>
                <w:szCs w:val="18"/>
              </w:rPr>
              <w:t>are</w:t>
            </w:r>
            <w:r w:rsidR="00273127">
              <w:rPr>
                <w:b w:val="0"/>
                <w:sz w:val="18"/>
                <w:szCs w:val="18"/>
              </w:rPr>
              <w:t xml:space="preserve"> assessed in a robust way. </w:t>
            </w:r>
          </w:p>
        </w:tc>
      </w:tr>
    </w:tbl>
    <w:p w14:paraId="22DA472E" w14:textId="05DA1BBB" w:rsidR="00BB3A15" w:rsidRPr="00BD4212" w:rsidRDefault="00BB3A15" w:rsidP="00BD4212">
      <w:pPr>
        <w:pStyle w:val="Heading2"/>
      </w:pPr>
      <w:r w:rsidRPr="00BD4212">
        <w:lastRenderedPageBreak/>
        <w:t>Budgetary implications</w:t>
      </w:r>
    </w:p>
    <w:p w14:paraId="2AE97EB0" w14:textId="0E84CC08" w:rsidR="00BB3A15" w:rsidRDefault="00BD4212" w:rsidP="00BB3A15">
      <w:r>
        <w:fldChar w:fldCharType="begin"/>
      </w:r>
      <w:r>
        <w:instrText xml:space="preserve"> REF _Ref157419624 \h </w:instrText>
      </w:r>
      <w:r>
        <w:fldChar w:fldCharType="separate"/>
      </w:r>
      <w:r w:rsidR="00FE1418">
        <w:t xml:space="preserve">Table </w:t>
      </w:r>
      <w:r w:rsidR="00FE1418">
        <w:rPr>
          <w:noProof/>
        </w:rPr>
        <w:t>15</w:t>
      </w:r>
      <w:r>
        <w:fldChar w:fldCharType="end"/>
      </w:r>
      <w:r>
        <w:t xml:space="preserve"> </w:t>
      </w:r>
      <w:r w:rsidR="00BB3A15">
        <w:t>summaries the budgetary implications of various scenarios tested through financial modelling, including access modifications and pricing changes.</w:t>
      </w:r>
    </w:p>
    <w:p w14:paraId="33AA4BBC" w14:textId="74B47DFC" w:rsidR="00BD4212" w:rsidRDefault="00BD4212" w:rsidP="00BD4212">
      <w:pPr>
        <w:pStyle w:val="Caption"/>
      </w:pPr>
      <w:bookmarkStart w:id="92" w:name="_Ref157419624"/>
      <w:bookmarkStart w:id="93" w:name="_Ref157434513"/>
      <w:bookmarkStart w:id="94" w:name="_Toc161743118"/>
      <w:r>
        <w:t xml:space="preserve">Table </w:t>
      </w:r>
      <w:r>
        <w:fldChar w:fldCharType="begin"/>
      </w:r>
      <w:r>
        <w:instrText xml:space="preserve"> SEQ Table \* ARABIC </w:instrText>
      </w:r>
      <w:r>
        <w:fldChar w:fldCharType="separate"/>
      </w:r>
      <w:r w:rsidR="00FE1418">
        <w:rPr>
          <w:noProof/>
        </w:rPr>
        <w:t>15</w:t>
      </w:r>
      <w:r>
        <w:rPr>
          <w:noProof/>
        </w:rPr>
        <w:fldChar w:fldCharType="end"/>
      </w:r>
      <w:bookmarkEnd w:id="92"/>
      <w:r>
        <w:t xml:space="preserve">: Budgetary implications of </w:t>
      </w:r>
      <w:r w:rsidR="007B1837">
        <w:t>1</w:t>
      </w:r>
      <w:r w:rsidR="001A6937">
        <w:t>9</w:t>
      </w:r>
      <w:r w:rsidR="007B1837">
        <w:t xml:space="preserve"> agreed </w:t>
      </w:r>
      <w:r>
        <w:t>scenarios</w:t>
      </w:r>
      <w:bookmarkEnd w:id="93"/>
      <w:bookmarkEnd w:id="94"/>
    </w:p>
    <w:tbl>
      <w:tblPr>
        <w:tblStyle w:val="TableHealthConsultPurple"/>
        <w:tblW w:w="5000" w:type="pct"/>
        <w:tblLook w:val="0420" w:firstRow="1" w:lastRow="0" w:firstColumn="0" w:lastColumn="0" w:noHBand="0" w:noVBand="1"/>
      </w:tblPr>
      <w:tblGrid>
        <w:gridCol w:w="1560"/>
        <w:gridCol w:w="1346"/>
        <w:gridCol w:w="1348"/>
        <w:gridCol w:w="1345"/>
        <w:gridCol w:w="1347"/>
        <w:gridCol w:w="1345"/>
        <w:gridCol w:w="1347"/>
      </w:tblGrid>
      <w:tr w:rsidR="00F73B06" w:rsidRPr="00BD4212" w14:paraId="0E5B594F" w14:textId="77777777" w:rsidTr="00EB7DB4">
        <w:trPr>
          <w:cnfStyle w:val="100000000000" w:firstRow="1" w:lastRow="0" w:firstColumn="0" w:lastColumn="0" w:oddVBand="0" w:evenVBand="0" w:oddHBand="0" w:evenHBand="0" w:firstRowFirstColumn="0" w:firstRowLastColumn="0" w:lastRowFirstColumn="0" w:lastRowLastColumn="0"/>
        </w:trPr>
        <w:tc>
          <w:tcPr>
            <w:tcW w:w="809" w:type="pct"/>
            <w:vMerge w:val="restart"/>
            <w:vAlign w:val="center"/>
          </w:tcPr>
          <w:p w14:paraId="5D0FAB6F" w14:textId="77777777" w:rsidR="00F73B06" w:rsidRPr="00F73B06" w:rsidRDefault="00F73B06" w:rsidP="00F73B06">
            <w:pPr>
              <w:spacing w:before="0" w:after="0"/>
              <w:rPr>
                <w:sz w:val="16"/>
                <w:szCs w:val="16"/>
              </w:rPr>
            </w:pPr>
            <w:r w:rsidRPr="00F73B06">
              <w:rPr>
                <w:sz w:val="16"/>
                <w:szCs w:val="16"/>
              </w:rPr>
              <w:t>Scenarios</w:t>
            </w:r>
          </w:p>
        </w:tc>
        <w:tc>
          <w:tcPr>
            <w:tcW w:w="4191" w:type="pct"/>
            <w:gridSpan w:val="6"/>
          </w:tcPr>
          <w:p w14:paraId="3D30A5F4" w14:textId="77777777" w:rsidR="00F73B06" w:rsidRPr="00093A57" w:rsidRDefault="00F73B06" w:rsidP="00BD4212">
            <w:pPr>
              <w:spacing w:before="0" w:after="0"/>
              <w:jc w:val="center"/>
              <w:rPr>
                <w:rFonts w:ascii="Poppins" w:hAnsi="Poppins" w:cs="Poppins"/>
                <w:sz w:val="16"/>
                <w:szCs w:val="16"/>
              </w:rPr>
            </w:pPr>
            <w:r w:rsidRPr="00093A57">
              <w:rPr>
                <w:rFonts w:ascii="Poppins" w:hAnsi="Poppins" w:cs="Poppins"/>
                <w:sz w:val="16"/>
                <w:szCs w:val="16"/>
              </w:rPr>
              <w:t>Change in expenditure</w:t>
            </w:r>
          </w:p>
        </w:tc>
      </w:tr>
      <w:tr w:rsidR="00EB7DB4" w:rsidRPr="00BD4212" w14:paraId="7AEC0CA4" w14:textId="77777777" w:rsidTr="00EB7DB4">
        <w:tc>
          <w:tcPr>
            <w:tcW w:w="809" w:type="pct"/>
            <w:vMerge/>
          </w:tcPr>
          <w:p w14:paraId="617DF31B" w14:textId="77777777" w:rsidR="00F73B06" w:rsidRPr="00F73B06" w:rsidRDefault="00F73B06" w:rsidP="00BD4212">
            <w:pPr>
              <w:spacing w:before="0" w:after="0"/>
              <w:rPr>
                <w:sz w:val="16"/>
                <w:szCs w:val="16"/>
              </w:rPr>
            </w:pPr>
          </w:p>
        </w:tc>
        <w:tc>
          <w:tcPr>
            <w:tcW w:w="698" w:type="pct"/>
            <w:shd w:val="clear" w:color="auto" w:fill="3B0083" w:themeFill="accent1"/>
            <w:vAlign w:val="center"/>
          </w:tcPr>
          <w:p w14:paraId="37E4309F" w14:textId="77777777" w:rsidR="00F73B06" w:rsidRPr="000E7601" w:rsidRDefault="00F73B06" w:rsidP="00FE0795">
            <w:pPr>
              <w:spacing w:before="0" w:after="0"/>
              <w:jc w:val="center"/>
              <w:rPr>
                <w:rFonts w:ascii="Poppins" w:hAnsi="Poppins" w:cs="Poppins"/>
                <w:b/>
                <w:bCs/>
                <w:sz w:val="16"/>
                <w:szCs w:val="16"/>
              </w:rPr>
            </w:pPr>
            <w:r w:rsidRPr="000E7601">
              <w:rPr>
                <w:rFonts w:ascii="Poppins" w:hAnsi="Poppins" w:cs="Poppins"/>
                <w:b/>
                <w:bCs/>
                <w:sz w:val="16"/>
                <w:szCs w:val="16"/>
              </w:rPr>
              <w:t>2020-21</w:t>
            </w:r>
          </w:p>
        </w:tc>
        <w:tc>
          <w:tcPr>
            <w:tcW w:w="699" w:type="pct"/>
            <w:shd w:val="clear" w:color="auto" w:fill="3B0083" w:themeFill="accent1"/>
            <w:vAlign w:val="center"/>
          </w:tcPr>
          <w:p w14:paraId="482A071F" w14:textId="77777777" w:rsidR="00F73B06" w:rsidRPr="000E7601" w:rsidRDefault="00F73B06" w:rsidP="00FE0795">
            <w:pPr>
              <w:spacing w:before="0" w:after="0"/>
              <w:jc w:val="center"/>
              <w:rPr>
                <w:rFonts w:ascii="Poppins" w:hAnsi="Poppins" w:cs="Poppins"/>
                <w:b/>
                <w:bCs/>
                <w:sz w:val="16"/>
                <w:szCs w:val="16"/>
              </w:rPr>
            </w:pPr>
            <w:r w:rsidRPr="000E7601">
              <w:rPr>
                <w:rFonts w:ascii="Poppins" w:hAnsi="Poppins" w:cs="Poppins"/>
                <w:b/>
                <w:bCs/>
                <w:sz w:val="16"/>
                <w:szCs w:val="16"/>
              </w:rPr>
              <w:t>2021-22</w:t>
            </w:r>
          </w:p>
        </w:tc>
        <w:tc>
          <w:tcPr>
            <w:tcW w:w="698" w:type="pct"/>
            <w:shd w:val="clear" w:color="auto" w:fill="3B0083" w:themeFill="accent1"/>
            <w:vAlign w:val="center"/>
          </w:tcPr>
          <w:p w14:paraId="0F60156B" w14:textId="77777777" w:rsidR="00F73B06" w:rsidRPr="000E7601" w:rsidRDefault="00F73B06" w:rsidP="00FE0795">
            <w:pPr>
              <w:spacing w:before="0" w:after="0"/>
              <w:jc w:val="center"/>
              <w:rPr>
                <w:rFonts w:ascii="Poppins" w:hAnsi="Poppins" w:cs="Poppins"/>
                <w:b/>
                <w:bCs/>
                <w:color w:val="000000"/>
                <w:sz w:val="16"/>
                <w:szCs w:val="16"/>
              </w:rPr>
            </w:pPr>
            <w:r w:rsidRPr="000E7601">
              <w:rPr>
                <w:rFonts w:ascii="Poppins" w:hAnsi="Poppins" w:cs="Poppins"/>
                <w:b/>
                <w:bCs/>
                <w:sz w:val="16"/>
                <w:szCs w:val="16"/>
              </w:rPr>
              <w:t>2022-23</w:t>
            </w:r>
          </w:p>
        </w:tc>
        <w:tc>
          <w:tcPr>
            <w:tcW w:w="699" w:type="pct"/>
            <w:shd w:val="clear" w:color="auto" w:fill="3B0083" w:themeFill="accent1"/>
            <w:vAlign w:val="center"/>
          </w:tcPr>
          <w:p w14:paraId="74226596" w14:textId="77777777" w:rsidR="00F73B06" w:rsidRPr="000E7601" w:rsidRDefault="00F73B06" w:rsidP="00FE0795">
            <w:pPr>
              <w:spacing w:before="0" w:after="0"/>
              <w:jc w:val="center"/>
              <w:rPr>
                <w:rFonts w:ascii="Poppins" w:hAnsi="Poppins" w:cs="Poppins"/>
                <w:b/>
                <w:bCs/>
                <w:color w:val="000000"/>
                <w:sz w:val="16"/>
                <w:szCs w:val="16"/>
              </w:rPr>
            </w:pPr>
            <w:r w:rsidRPr="000E7601">
              <w:rPr>
                <w:rFonts w:ascii="Poppins" w:hAnsi="Poppins" w:cs="Poppins"/>
                <w:b/>
                <w:bCs/>
                <w:sz w:val="16"/>
                <w:szCs w:val="16"/>
              </w:rPr>
              <w:t>2023-24</w:t>
            </w:r>
          </w:p>
        </w:tc>
        <w:tc>
          <w:tcPr>
            <w:tcW w:w="698" w:type="pct"/>
            <w:shd w:val="clear" w:color="auto" w:fill="3B0083" w:themeFill="accent1"/>
            <w:vAlign w:val="center"/>
          </w:tcPr>
          <w:p w14:paraId="66A022C7" w14:textId="77777777" w:rsidR="00F73B06" w:rsidRPr="000E7601" w:rsidRDefault="00F73B06" w:rsidP="00FE0795">
            <w:pPr>
              <w:spacing w:before="0" w:after="0"/>
              <w:jc w:val="center"/>
              <w:rPr>
                <w:rFonts w:ascii="Poppins" w:hAnsi="Poppins" w:cs="Poppins"/>
                <w:b/>
                <w:bCs/>
                <w:color w:val="000000"/>
                <w:sz w:val="16"/>
                <w:szCs w:val="16"/>
              </w:rPr>
            </w:pPr>
            <w:r w:rsidRPr="000E7601">
              <w:rPr>
                <w:rFonts w:ascii="Poppins" w:hAnsi="Poppins" w:cs="Poppins"/>
                <w:b/>
                <w:bCs/>
                <w:sz w:val="16"/>
                <w:szCs w:val="16"/>
              </w:rPr>
              <w:t>2024-25</w:t>
            </w:r>
          </w:p>
        </w:tc>
        <w:tc>
          <w:tcPr>
            <w:tcW w:w="699" w:type="pct"/>
            <w:shd w:val="clear" w:color="auto" w:fill="3B0083" w:themeFill="accent1"/>
            <w:vAlign w:val="center"/>
          </w:tcPr>
          <w:p w14:paraId="28630CBA" w14:textId="77777777" w:rsidR="00F73B06" w:rsidRPr="000E7601" w:rsidRDefault="00F73B06" w:rsidP="00FE0795">
            <w:pPr>
              <w:spacing w:before="0" w:after="0"/>
              <w:jc w:val="center"/>
              <w:rPr>
                <w:rFonts w:ascii="Poppins" w:hAnsi="Poppins" w:cs="Poppins"/>
                <w:b/>
                <w:bCs/>
                <w:color w:val="000000"/>
                <w:sz w:val="16"/>
                <w:szCs w:val="16"/>
              </w:rPr>
            </w:pPr>
            <w:r w:rsidRPr="000E7601">
              <w:rPr>
                <w:rFonts w:ascii="Poppins" w:hAnsi="Poppins" w:cs="Poppins"/>
                <w:b/>
                <w:bCs/>
                <w:sz w:val="16"/>
                <w:szCs w:val="16"/>
              </w:rPr>
              <w:t>2025-26</w:t>
            </w:r>
          </w:p>
        </w:tc>
      </w:tr>
      <w:tr w:rsidR="00C61641" w:rsidRPr="00BD4212" w14:paraId="6FB58D44" w14:textId="77777777" w:rsidTr="00EB7DB4">
        <w:trPr>
          <w:cnfStyle w:val="000000010000" w:firstRow="0" w:lastRow="0" w:firstColumn="0" w:lastColumn="0" w:oddVBand="0" w:evenVBand="0" w:oddHBand="0" w:evenHBand="1" w:firstRowFirstColumn="0" w:firstRowLastColumn="0" w:lastRowFirstColumn="0" w:lastRowLastColumn="0"/>
        </w:trPr>
        <w:tc>
          <w:tcPr>
            <w:tcW w:w="809" w:type="pct"/>
          </w:tcPr>
          <w:p w14:paraId="4CADDDF2" w14:textId="77777777" w:rsidR="002561FA" w:rsidRPr="00BD4212" w:rsidRDefault="002561FA" w:rsidP="002561FA">
            <w:pPr>
              <w:spacing w:before="0" w:after="0"/>
              <w:rPr>
                <w:sz w:val="16"/>
                <w:szCs w:val="16"/>
              </w:rPr>
            </w:pPr>
            <w:r w:rsidRPr="00BD4212">
              <w:rPr>
                <w:sz w:val="16"/>
                <w:szCs w:val="16"/>
              </w:rPr>
              <w:t>1. Creams and ointments (09f) removed</w:t>
            </w:r>
          </w:p>
        </w:tc>
        <w:tc>
          <w:tcPr>
            <w:tcW w:w="698" w:type="pct"/>
            <w:vAlign w:val="center"/>
          </w:tcPr>
          <w:p w14:paraId="45287C2F" w14:textId="77777777" w:rsidR="002561FA" w:rsidRPr="00EB7DB4" w:rsidRDefault="002561FA" w:rsidP="00EB7DB4">
            <w:pPr>
              <w:jc w:val="center"/>
              <w:rPr>
                <w:rFonts w:ascii="Poppins" w:hAnsi="Poppins" w:cs="Poppins"/>
                <w:color w:val="00B050"/>
                <w:sz w:val="16"/>
                <w:szCs w:val="16"/>
              </w:rPr>
            </w:pPr>
            <w:r w:rsidRPr="00EB7DB4">
              <w:rPr>
                <w:rFonts w:ascii="Poppins" w:hAnsi="Poppins" w:cs="Poppins"/>
                <w:color w:val="00B050"/>
                <w:sz w:val="16"/>
                <w:szCs w:val="16"/>
              </w:rPr>
              <w:t>($87,606)</w:t>
            </w:r>
          </w:p>
        </w:tc>
        <w:tc>
          <w:tcPr>
            <w:tcW w:w="699" w:type="pct"/>
            <w:vAlign w:val="center"/>
          </w:tcPr>
          <w:p w14:paraId="3D30E6CC" w14:textId="77777777" w:rsidR="002561FA" w:rsidRPr="00EB7DB4" w:rsidRDefault="002561FA" w:rsidP="00EB7DB4">
            <w:pPr>
              <w:jc w:val="center"/>
              <w:rPr>
                <w:rFonts w:ascii="Poppins" w:hAnsi="Poppins" w:cs="Poppins"/>
                <w:color w:val="00B050"/>
                <w:sz w:val="16"/>
                <w:szCs w:val="16"/>
              </w:rPr>
            </w:pPr>
            <w:r w:rsidRPr="00EB7DB4">
              <w:rPr>
                <w:rFonts w:ascii="Poppins" w:hAnsi="Poppins" w:cs="Poppins"/>
                <w:color w:val="00B050"/>
                <w:sz w:val="16"/>
                <w:szCs w:val="16"/>
              </w:rPr>
              <w:t>($80,961)</w:t>
            </w:r>
          </w:p>
        </w:tc>
        <w:tc>
          <w:tcPr>
            <w:tcW w:w="698" w:type="pct"/>
            <w:vAlign w:val="center"/>
          </w:tcPr>
          <w:p w14:paraId="18130424" w14:textId="77777777" w:rsidR="002561FA" w:rsidRPr="00EB7DB4" w:rsidRDefault="002561FA" w:rsidP="00EB7DB4">
            <w:pPr>
              <w:jc w:val="center"/>
              <w:rPr>
                <w:rFonts w:ascii="Poppins" w:hAnsi="Poppins" w:cs="Poppins"/>
                <w:color w:val="00B050"/>
                <w:sz w:val="16"/>
                <w:szCs w:val="16"/>
              </w:rPr>
            </w:pPr>
            <w:r w:rsidRPr="00EB7DB4">
              <w:rPr>
                <w:rFonts w:ascii="Poppins" w:hAnsi="Poppins" w:cs="Poppins"/>
                <w:color w:val="00B050"/>
                <w:sz w:val="16"/>
                <w:szCs w:val="16"/>
              </w:rPr>
              <w:t>($75,876)</w:t>
            </w:r>
          </w:p>
        </w:tc>
        <w:tc>
          <w:tcPr>
            <w:tcW w:w="699" w:type="pct"/>
            <w:vAlign w:val="center"/>
          </w:tcPr>
          <w:p w14:paraId="2C929F5D" w14:textId="15D9D5DC" w:rsidR="002561FA" w:rsidRPr="00EB7DB4" w:rsidRDefault="002561FA" w:rsidP="00EB7DB4">
            <w:pPr>
              <w:jc w:val="center"/>
              <w:rPr>
                <w:rFonts w:ascii="Poppins" w:hAnsi="Poppins" w:cs="Poppins"/>
                <w:color w:val="00B050"/>
                <w:sz w:val="16"/>
                <w:szCs w:val="16"/>
              </w:rPr>
            </w:pPr>
            <w:r w:rsidRPr="00EB7DB4">
              <w:rPr>
                <w:rFonts w:ascii="Poppins" w:hAnsi="Poppins" w:cs="Poppins"/>
                <w:color w:val="00B050"/>
                <w:sz w:val="16"/>
                <w:szCs w:val="16"/>
              </w:rPr>
              <w:t>($80,070)</w:t>
            </w:r>
          </w:p>
        </w:tc>
        <w:tc>
          <w:tcPr>
            <w:tcW w:w="698" w:type="pct"/>
            <w:vAlign w:val="center"/>
          </w:tcPr>
          <w:p w14:paraId="0FF874CD" w14:textId="60EE281F" w:rsidR="002561FA" w:rsidRPr="00EB7DB4" w:rsidRDefault="002561FA" w:rsidP="00EB7DB4">
            <w:pPr>
              <w:jc w:val="center"/>
              <w:rPr>
                <w:rFonts w:ascii="Poppins" w:hAnsi="Poppins" w:cs="Poppins"/>
                <w:color w:val="00B050"/>
                <w:sz w:val="16"/>
                <w:szCs w:val="16"/>
              </w:rPr>
            </w:pPr>
            <w:r w:rsidRPr="00EB7DB4">
              <w:rPr>
                <w:rFonts w:ascii="Poppins" w:hAnsi="Poppins" w:cs="Poppins"/>
                <w:color w:val="00B050"/>
                <w:sz w:val="16"/>
                <w:szCs w:val="16"/>
              </w:rPr>
              <w:t>($81,453)</w:t>
            </w:r>
          </w:p>
        </w:tc>
        <w:tc>
          <w:tcPr>
            <w:tcW w:w="699" w:type="pct"/>
            <w:vAlign w:val="center"/>
          </w:tcPr>
          <w:p w14:paraId="49A590EC" w14:textId="2B8606E1" w:rsidR="002561FA" w:rsidRPr="00EB7DB4" w:rsidRDefault="002561FA" w:rsidP="00EB7DB4">
            <w:pPr>
              <w:jc w:val="center"/>
              <w:rPr>
                <w:rFonts w:ascii="Poppins" w:hAnsi="Poppins" w:cs="Poppins"/>
                <w:color w:val="00B050"/>
                <w:sz w:val="16"/>
                <w:szCs w:val="16"/>
              </w:rPr>
            </w:pPr>
            <w:r w:rsidRPr="00EB7DB4">
              <w:rPr>
                <w:rFonts w:ascii="Poppins" w:hAnsi="Poppins" w:cs="Poppins"/>
                <w:color w:val="00B050"/>
                <w:sz w:val="16"/>
                <w:szCs w:val="16"/>
              </w:rPr>
              <w:t>($83,307)</w:t>
            </w:r>
          </w:p>
        </w:tc>
      </w:tr>
      <w:tr w:rsidR="00624CCB" w:rsidRPr="00BD4212" w14:paraId="7DBE1904" w14:textId="77777777" w:rsidTr="00EB7DB4">
        <w:tc>
          <w:tcPr>
            <w:tcW w:w="809" w:type="pct"/>
          </w:tcPr>
          <w:p w14:paraId="22F95A3F" w14:textId="77777777" w:rsidR="00732858" w:rsidRPr="00BD4212" w:rsidRDefault="00732858" w:rsidP="00732858">
            <w:pPr>
              <w:spacing w:before="0" w:after="0"/>
              <w:rPr>
                <w:sz w:val="16"/>
                <w:szCs w:val="16"/>
              </w:rPr>
            </w:pPr>
            <w:r w:rsidRPr="00BD4212">
              <w:rPr>
                <w:sz w:val="16"/>
                <w:szCs w:val="16"/>
              </w:rPr>
              <w:t>2. Creams and ointments (09f) quantity limited</w:t>
            </w:r>
          </w:p>
        </w:tc>
        <w:tc>
          <w:tcPr>
            <w:tcW w:w="698" w:type="pct"/>
            <w:vAlign w:val="center"/>
          </w:tcPr>
          <w:p w14:paraId="5307F622" w14:textId="77777777" w:rsidR="00732858" w:rsidRPr="00EB7DB4" w:rsidRDefault="00732858" w:rsidP="00EB7DB4">
            <w:pPr>
              <w:jc w:val="center"/>
              <w:rPr>
                <w:rFonts w:ascii="Poppins" w:hAnsi="Poppins" w:cs="Poppins"/>
                <w:color w:val="00B050"/>
                <w:sz w:val="16"/>
                <w:szCs w:val="16"/>
              </w:rPr>
            </w:pPr>
            <w:r w:rsidRPr="00EB7DB4">
              <w:rPr>
                <w:rFonts w:ascii="Poppins" w:hAnsi="Poppins" w:cs="Poppins"/>
                <w:color w:val="00B050"/>
                <w:sz w:val="16"/>
                <w:szCs w:val="16"/>
              </w:rPr>
              <w:t>($6,998)</w:t>
            </w:r>
          </w:p>
        </w:tc>
        <w:tc>
          <w:tcPr>
            <w:tcW w:w="699" w:type="pct"/>
            <w:vAlign w:val="center"/>
          </w:tcPr>
          <w:p w14:paraId="737A489F" w14:textId="77777777" w:rsidR="00732858" w:rsidRPr="00EB7DB4" w:rsidRDefault="00732858" w:rsidP="00EB7DB4">
            <w:pPr>
              <w:jc w:val="center"/>
              <w:rPr>
                <w:rFonts w:ascii="Poppins" w:hAnsi="Poppins" w:cs="Poppins"/>
                <w:color w:val="00B050"/>
                <w:sz w:val="16"/>
                <w:szCs w:val="16"/>
              </w:rPr>
            </w:pPr>
            <w:r w:rsidRPr="00EB7DB4">
              <w:rPr>
                <w:rFonts w:ascii="Poppins" w:hAnsi="Poppins" w:cs="Poppins"/>
                <w:color w:val="00B050"/>
                <w:sz w:val="16"/>
                <w:szCs w:val="16"/>
              </w:rPr>
              <w:t>($11,950)</w:t>
            </w:r>
          </w:p>
        </w:tc>
        <w:tc>
          <w:tcPr>
            <w:tcW w:w="698" w:type="pct"/>
            <w:vAlign w:val="center"/>
          </w:tcPr>
          <w:p w14:paraId="3540E689" w14:textId="77777777" w:rsidR="00732858" w:rsidRPr="00EB7DB4" w:rsidRDefault="00732858" w:rsidP="00EB7DB4">
            <w:pPr>
              <w:jc w:val="center"/>
              <w:rPr>
                <w:rFonts w:ascii="Poppins" w:hAnsi="Poppins" w:cs="Poppins"/>
                <w:color w:val="00B050"/>
                <w:sz w:val="16"/>
                <w:szCs w:val="16"/>
              </w:rPr>
            </w:pPr>
            <w:r w:rsidRPr="00EB7DB4">
              <w:rPr>
                <w:rFonts w:ascii="Poppins" w:hAnsi="Poppins" w:cs="Poppins"/>
                <w:color w:val="00B050"/>
                <w:sz w:val="16"/>
                <w:szCs w:val="16"/>
              </w:rPr>
              <w:t>($12,917)</w:t>
            </w:r>
          </w:p>
        </w:tc>
        <w:tc>
          <w:tcPr>
            <w:tcW w:w="699" w:type="pct"/>
            <w:vAlign w:val="center"/>
          </w:tcPr>
          <w:p w14:paraId="15D8E978" w14:textId="4FC2A281" w:rsidR="00732858" w:rsidRPr="00EB7DB4" w:rsidRDefault="00732858" w:rsidP="00EB7DB4">
            <w:pPr>
              <w:jc w:val="center"/>
              <w:rPr>
                <w:rFonts w:ascii="Poppins" w:hAnsi="Poppins" w:cs="Poppins"/>
                <w:color w:val="00B050"/>
                <w:sz w:val="16"/>
                <w:szCs w:val="16"/>
              </w:rPr>
            </w:pPr>
            <w:r w:rsidRPr="00EB7DB4">
              <w:rPr>
                <w:rFonts w:ascii="Poppins" w:hAnsi="Poppins" w:cs="Poppins"/>
                <w:color w:val="00B050"/>
                <w:sz w:val="16"/>
                <w:szCs w:val="16"/>
              </w:rPr>
              <w:t>($19,865)</w:t>
            </w:r>
          </w:p>
        </w:tc>
        <w:tc>
          <w:tcPr>
            <w:tcW w:w="698" w:type="pct"/>
            <w:vAlign w:val="center"/>
          </w:tcPr>
          <w:p w14:paraId="3D814FF3" w14:textId="78E1149D" w:rsidR="00732858" w:rsidRPr="00EB7DB4" w:rsidRDefault="00732858" w:rsidP="00EB7DB4">
            <w:pPr>
              <w:jc w:val="center"/>
              <w:rPr>
                <w:rFonts w:ascii="Poppins" w:hAnsi="Poppins" w:cs="Poppins"/>
                <w:color w:val="00B050"/>
                <w:sz w:val="16"/>
                <w:szCs w:val="16"/>
              </w:rPr>
            </w:pPr>
            <w:r w:rsidRPr="00EB7DB4">
              <w:rPr>
                <w:rFonts w:ascii="Poppins" w:hAnsi="Poppins" w:cs="Poppins"/>
                <w:color w:val="00B050"/>
                <w:sz w:val="16"/>
                <w:szCs w:val="16"/>
              </w:rPr>
              <w:t>($23,141)</w:t>
            </w:r>
          </w:p>
        </w:tc>
        <w:tc>
          <w:tcPr>
            <w:tcW w:w="699" w:type="pct"/>
            <w:vAlign w:val="center"/>
          </w:tcPr>
          <w:p w14:paraId="24E4EF53" w14:textId="6DE0BE7F" w:rsidR="00732858" w:rsidRPr="00EB7DB4" w:rsidRDefault="00732858" w:rsidP="00EB7DB4">
            <w:pPr>
              <w:jc w:val="center"/>
              <w:rPr>
                <w:rFonts w:ascii="Poppins" w:hAnsi="Poppins" w:cs="Poppins"/>
                <w:color w:val="00B050"/>
                <w:sz w:val="16"/>
                <w:szCs w:val="16"/>
              </w:rPr>
            </w:pPr>
            <w:r w:rsidRPr="00EB7DB4">
              <w:rPr>
                <w:rFonts w:ascii="Poppins" w:hAnsi="Poppins" w:cs="Poppins"/>
                <w:color w:val="00B050"/>
                <w:sz w:val="16"/>
                <w:szCs w:val="16"/>
              </w:rPr>
              <w:t>($26,852)</w:t>
            </w:r>
          </w:p>
        </w:tc>
      </w:tr>
      <w:tr w:rsidR="00BE49E1" w:rsidRPr="00BD4212" w14:paraId="6F9C187A" w14:textId="77777777" w:rsidTr="00EB7DB4">
        <w:trPr>
          <w:cnfStyle w:val="000000010000" w:firstRow="0" w:lastRow="0" w:firstColumn="0" w:lastColumn="0" w:oddVBand="0" w:evenVBand="0" w:oddHBand="0" w:evenHBand="1" w:firstRowFirstColumn="0" w:firstRowLastColumn="0" w:lastRowFirstColumn="0" w:lastRowLastColumn="0"/>
        </w:trPr>
        <w:tc>
          <w:tcPr>
            <w:tcW w:w="809" w:type="pct"/>
          </w:tcPr>
          <w:p w14:paraId="00D2B4CE" w14:textId="77777777" w:rsidR="00F170BE" w:rsidRPr="00BD4212" w:rsidRDefault="00F170BE" w:rsidP="00F170BE">
            <w:pPr>
              <w:spacing w:before="0" w:after="0"/>
              <w:rPr>
                <w:sz w:val="16"/>
                <w:szCs w:val="16"/>
              </w:rPr>
            </w:pPr>
            <w:r w:rsidRPr="00BD4212">
              <w:rPr>
                <w:sz w:val="16"/>
                <w:szCs w:val="16"/>
              </w:rPr>
              <w:t>3. Catheters (08c) removed</w:t>
            </w:r>
          </w:p>
        </w:tc>
        <w:tc>
          <w:tcPr>
            <w:tcW w:w="698" w:type="pct"/>
            <w:vAlign w:val="center"/>
          </w:tcPr>
          <w:p w14:paraId="2E6EEA2D" w14:textId="77777777" w:rsidR="00F170BE" w:rsidRPr="00EB7DB4" w:rsidRDefault="00F170BE" w:rsidP="00EB7DB4">
            <w:pPr>
              <w:jc w:val="center"/>
              <w:rPr>
                <w:rFonts w:ascii="Poppins" w:hAnsi="Poppins" w:cs="Poppins"/>
                <w:color w:val="00B050"/>
                <w:sz w:val="16"/>
                <w:szCs w:val="16"/>
              </w:rPr>
            </w:pPr>
            <w:r w:rsidRPr="00EB7DB4">
              <w:rPr>
                <w:rFonts w:ascii="Poppins" w:hAnsi="Poppins" w:cs="Poppins"/>
                <w:color w:val="00B050"/>
                <w:sz w:val="16"/>
                <w:szCs w:val="16"/>
              </w:rPr>
              <w:t>($640,753)</w:t>
            </w:r>
          </w:p>
        </w:tc>
        <w:tc>
          <w:tcPr>
            <w:tcW w:w="699" w:type="pct"/>
            <w:vAlign w:val="center"/>
          </w:tcPr>
          <w:p w14:paraId="701A81AF" w14:textId="77777777" w:rsidR="00F170BE" w:rsidRPr="00EB7DB4" w:rsidRDefault="00F170BE" w:rsidP="00EB7DB4">
            <w:pPr>
              <w:jc w:val="center"/>
              <w:rPr>
                <w:rFonts w:ascii="Poppins" w:hAnsi="Poppins" w:cs="Poppins"/>
                <w:color w:val="00B050"/>
                <w:sz w:val="16"/>
                <w:szCs w:val="16"/>
              </w:rPr>
            </w:pPr>
            <w:r w:rsidRPr="00EB7DB4">
              <w:rPr>
                <w:rFonts w:ascii="Poppins" w:hAnsi="Poppins" w:cs="Poppins"/>
                <w:color w:val="00B050"/>
                <w:sz w:val="16"/>
                <w:szCs w:val="16"/>
              </w:rPr>
              <w:t>($653,364)</w:t>
            </w:r>
          </w:p>
        </w:tc>
        <w:tc>
          <w:tcPr>
            <w:tcW w:w="698" w:type="pct"/>
            <w:vAlign w:val="center"/>
          </w:tcPr>
          <w:p w14:paraId="43EE0AE7" w14:textId="77777777" w:rsidR="00F170BE" w:rsidRPr="00EB7DB4" w:rsidRDefault="00F170BE" w:rsidP="00EB7DB4">
            <w:pPr>
              <w:jc w:val="center"/>
              <w:rPr>
                <w:rFonts w:ascii="Poppins" w:hAnsi="Poppins" w:cs="Poppins"/>
                <w:color w:val="00B050"/>
                <w:sz w:val="16"/>
                <w:szCs w:val="16"/>
              </w:rPr>
            </w:pPr>
            <w:r w:rsidRPr="00EB7DB4">
              <w:rPr>
                <w:rFonts w:ascii="Poppins" w:hAnsi="Poppins" w:cs="Poppins"/>
                <w:color w:val="00B050"/>
                <w:sz w:val="16"/>
                <w:szCs w:val="16"/>
              </w:rPr>
              <w:t>($647,740)</w:t>
            </w:r>
          </w:p>
        </w:tc>
        <w:tc>
          <w:tcPr>
            <w:tcW w:w="699" w:type="pct"/>
            <w:vAlign w:val="center"/>
          </w:tcPr>
          <w:p w14:paraId="1E250694" w14:textId="61F90AE4" w:rsidR="00F170BE" w:rsidRPr="00EB7DB4" w:rsidRDefault="00F170BE" w:rsidP="00EB7DB4">
            <w:pPr>
              <w:jc w:val="center"/>
              <w:rPr>
                <w:rFonts w:ascii="Poppins" w:hAnsi="Poppins" w:cs="Poppins"/>
                <w:color w:val="00B050"/>
                <w:sz w:val="16"/>
                <w:szCs w:val="16"/>
              </w:rPr>
            </w:pPr>
            <w:r w:rsidRPr="00EB7DB4">
              <w:rPr>
                <w:rFonts w:ascii="Poppins" w:hAnsi="Poppins" w:cs="Poppins"/>
                <w:color w:val="00B050"/>
                <w:sz w:val="16"/>
                <w:szCs w:val="16"/>
              </w:rPr>
              <w:t>($654,521)</w:t>
            </w:r>
          </w:p>
        </w:tc>
        <w:tc>
          <w:tcPr>
            <w:tcW w:w="698" w:type="pct"/>
            <w:vAlign w:val="center"/>
          </w:tcPr>
          <w:p w14:paraId="0D7A1A42" w14:textId="2A23B74E" w:rsidR="00F170BE" w:rsidRPr="00EB7DB4" w:rsidRDefault="00F170BE" w:rsidP="00EB7DB4">
            <w:pPr>
              <w:jc w:val="center"/>
              <w:rPr>
                <w:rFonts w:ascii="Poppins" w:hAnsi="Poppins" w:cs="Poppins"/>
                <w:color w:val="00B050"/>
                <w:sz w:val="16"/>
                <w:szCs w:val="16"/>
              </w:rPr>
            </w:pPr>
            <w:r w:rsidRPr="00EB7DB4">
              <w:rPr>
                <w:rFonts w:ascii="Poppins" w:hAnsi="Poppins" w:cs="Poppins"/>
                <w:color w:val="00B050"/>
                <w:sz w:val="16"/>
                <w:szCs w:val="16"/>
              </w:rPr>
              <w:t>($674,221)</w:t>
            </w:r>
          </w:p>
        </w:tc>
        <w:tc>
          <w:tcPr>
            <w:tcW w:w="699" w:type="pct"/>
            <w:vAlign w:val="center"/>
          </w:tcPr>
          <w:p w14:paraId="204E1C30" w14:textId="373BE315" w:rsidR="00F170BE" w:rsidRPr="00EB7DB4" w:rsidRDefault="00F170BE" w:rsidP="00EB7DB4">
            <w:pPr>
              <w:jc w:val="center"/>
              <w:rPr>
                <w:rFonts w:ascii="Poppins" w:hAnsi="Poppins" w:cs="Poppins"/>
                <w:color w:val="00B050"/>
                <w:sz w:val="16"/>
                <w:szCs w:val="16"/>
              </w:rPr>
            </w:pPr>
            <w:r w:rsidRPr="00EB7DB4">
              <w:rPr>
                <w:rFonts w:ascii="Poppins" w:hAnsi="Poppins" w:cs="Poppins"/>
                <w:color w:val="00B050"/>
                <w:sz w:val="16"/>
                <w:szCs w:val="16"/>
              </w:rPr>
              <w:t>($729,182)</w:t>
            </w:r>
          </w:p>
        </w:tc>
      </w:tr>
      <w:tr w:rsidR="00BF28B1" w:rsidRPr="00BD4212" w14:paraId="1C8C4153" w14:textId="77777777" w:rsidTr="00EB7DB4">
        <w:tc>
          <w:tcPr>
            <w:tcW w:w="809" w:type="pct"/>
          </w:tcPr>
          <w:p w14:paraId="5264059E" w14:textId="77777777" w:rsidR="00DD5E81" w:rsidRPr="00BD4212" w:rsidRDefault="00DD5E81" w:rsidP="00DD5E81">
            <w:pPr>
              <w:spacing w:before="0" w:after="0"/>
              <w:rPr>
                <w:sz w:val="16"/>
                <w:szCs w:val="16"/>
              </w:rPr>
            </w:pPr>
            <w:r w:rsidRPr="00BD4212">
              <w:rPr>
                <w:sz w:val="16"/>
                <w:szCs w:val="16"/>
              </w:rPr>
              <w:t>4. Deodorants (09g) removed</w:t>
            </w:r>
          </w:p>
        </w:tc>
        <w:tc>
          <w:tcPr>
            <w:tcW w:w="698" w:type="pct"/>
            <w:vAlign w:val="center"/>
          </w:tcPr>
          <w:p w14:paraId="62385DA1" w14:textId="77777777" w:rsidR="00DD5E81" w:rsidRPr="00EB7DB4" w:rsidRDefault="00DD5E81" w:rsidP="00EB7DB4">
            <w:pPr>
              <w:jc w:val="center"/>
              <w:rPr>
                <w:rFonts w:ascii="Poppins" w:hAnsi="Poppins" w:cs="Poppins"/>
                <w:color w:val="00B050"/>
                <w:sz w:val="16"/>
                <w:szCs w:val="16"/>
              </w:rPr>
            </w:pPr>
            <w:r w:rsidRPr="00EB7DB4">
              <w:rPr>
                <w:rFonts w:ascii="Poppins" w:hAnsi="Poppins" w:cs="Poppins"/>
                <w:color w:val="00B050"/>
                <w:sz w:val="16"/>
                <w:szCs w:val="16"/>
              </w:rPr>
              <w:t>($448,417)</w:t>
            </w:r>
          </w:p>
        </w:tc>
        <w:tc>
          <w:tcPr>
            <w:tcW w:w="699" w:type="pct"/>
            <w:vAlign w:val="center"/>
          </w:tcPr>
          <w:p w14:paraId="276CE486" w14:textId="77777777" w:rsidR="00DD5E81" w:rsidRPr="00EB7DB4" w:rsidRDefault="00DD5E81" w:rsidP="00EB7DB4">
            <w:pPr>
              <w:jc w:val="center"/>
              <w:rPr>
                <w:rFonts w:ascii="Poppins" w:hAnsi="Poppins" w:cs="Poppins"/>
                <w:color w:val="00B050"/>
                <w:sz w:val="16"/>
                <w:szCs w:val="16"/>
              </w:rPr>
            </w:pPr>
            <w:r w:rsidRPr="00EB7DB4">
              <w:rPr>
                <w:rFonts w:ascii="Poppins" w:hAnsi="Poppins" w:cs="Poppins"/>
                <w:color w:val="00B050"/>
                <w:sz w:val="16"/>
                <w:szCs w:val="16"/>
              </w:rPr>
              <w:t>($457,067)</w:t>
            </w:r>
          </w:p>
        </w:tc>
        <w:tc>
          <w:tcPr>
            <w:tcW w:w="698" w:type="pct"/>
            <w:vAlign w:val="center"/>
          </w:tcPr>
          <w:p w14:paraId="1787A5E6" w14:textId="77777777" w:rsidR="00DD5E81" w:rsidRPr="00EB7DB4" w:rsidRDefault="00DD5E81" w:rsidP="00EB7DB4">
            <w:pPr>
              <w:jc w:val="center"/>
              <w:rPr>
                <w:rFonts w:ascii="Poppins" w:hAnsi="Poppins" w:cs="Poppins"/>
                <w:color w:val="00B050"/>
                <w:sz w:val="16"/>
                <w:szCs w:val="16"/>
              </w:rPr>
            </w:pPr>
            <w:r w:rsidRPr="00EB7DB4">
              <w:rPr>
                <w:rFonts w:ascii="Poppins" w:hAnsi="Poppins" w:cs="Poppins"/>
                <w:color w:val="00B050"/>
                <w:sz w:val="16"/>
                <w:szCs w:val="16"/>
              </w:rPr>
              <w:t>($480,380)</w:t>
            </w:r>
          </w:p>
        </w:tc>
        <w:tc>
          <w:tcPr>
            <w:tcW w:w="699" w:type="pct"/>
            <w:vAlign w:val="center"/>
          </w:tcPr>
          <w:p w14:paraId="49F42B64" w14:textId="0F837BDE" w:rsidR="00DD5E81" w:rsidRPr="00EB7DB4" w:rsidRDefault="00DD5E81" w:rsidP="00EB7DB4">
            <w:pPr>
              <w:jc w:val="center"/>
              <w:rPr>
                <w:rFonts w:ascii="Poppins" w:hAnsi="Poppins" w:cs="Poppins"/>
                <w:color w:val="00B050"/>
                <w:sz w:val="16"/>
                <w:szCs w:val="16"/>
              </w:rPr>
            </w:pPr>
            <w:r w:rsidRPr="00EB7DB4">
              <w:rPr>
                <w:rFonts w:ascii="Poppins" w:hAnsi="Poppins" w:cs="Poppins"/>
                <w:color w:val="00B050"/>
                <w:sz w:val="16"/>
                <w:szCs w:val="16"/>
              </w:rPr>
              <w:t>($495,894)</w:t>
            </w:r>
          </w:p>
        </w:tc>
        <w:tc>
          <w:tcPr>
            <w:tcW w:w="698" w:type="pct"/>
            <w:vAlign w:val="center"/>
          </w:tcPr>
          <w:p w14:paraId="37317611" w14:textId="4233A1F4" w:rsidR="00DD5E81" w:rsidRPr="00EB7DB4" w:rsidRDefault="00DD5E81" w:rsidP="00EB7DB4">
            <w:pPr>
              <w:jc w:val="center"/>
              <w:rPr>
                <w:rFonts w:ascii="Poppins" w:hAnsi="Poppins" w:cs="Poppins"/>
                <w:color w:val="00B050"/>
                <w:sz w:val="16"/>
                <w:szCs w:val="16"/>
              </w:rPr>
            </w:pPr>
            <w:r w:rsidRPr="00EB7DB4">
              <w:rPr>
                <w:rFonts w:ascii="Poppins" w:hAnsi="Poppins" w:cs="Poppins"/>
                <w:color w:val="00B050"/>
                <w:sz w:val="16"/>
                <w:szCs w:val="16"/>
              </w:rPr>
              <w:t>($512,630)</w:t>
            </w:r>
          </w:p>
        </w:tc>
        <w:tc>
          <w:tcPr>
            <w:tcW w:w="699" w:type="pct"/>
            <w:vAlign w:val="center"/>
          </w:tcPr>
          <w:p w14:paraId="7F8B42BD" w14:textId="51D8F138" w:rsidR="00DD5E81" w:rsidRPr="00EB7DB4" w:rsidRDefault="00DD5E81" w:rsidP="00EB7DB4">
            <w:pPr>
              <w:jc w:val="center"/>
              <w:rPr>
                <w:rFonts w:ascii="Poppins" w:hAnsi="Poppins" w:cs="Poppins"/>
                <w:color w:val="00B050"/>
                <w:sz w:val="16"/>
                <w:szCs w:val="16"/>
              </w:rPr>
            </w:pPr>
            <w:r w:rsidRPr="00EB7DB4">
              <w:rPr>
                <w:rFonts w:ascii="Poppins" w:hAnsi="Poppins" w:cs="Poppins"/>
                <w:color w:val="00B050"/>
                <w:sz w:val="16"/>
                <w:szCs w:val="16"/>
              </w:rPr>
              <w:t>($536,265)</w:t>
            </w:r>
          </w:p>
        </w:tc>
      </w:tr>
      <w:tr w:rsidR="00BE49E1" w:rsidRPr="00BD4212" w14:paraId="62240378" w14:textId="77777777" w:rsidTr="00EB7DB4">
        <w:trPr>
          <w:cnfStyle w:val="000000010000" w:firstRow="0" w:lastRow="0" w:firstColumn="0" w:lastColumn="0" w:oddVBand="0" w:evenVBand="0" w:oddHBand="0" w:evenHBand="1" w:firstRowFirstColumn="0" w:firstRowLastColumn="0" w:lastRowFirstColumn="0" w:lastRowLastColumn="0"/>
        </w:trPr>
        <w:tc>
          <w:tcPr>
            <w:tcW w:w="809" w:type="pct"/>
          </w:tcPr>
          <w:p w14:paraId="4BB2DFF3" w14:textId="77777777" w:rsidR="0005781C" w:rsidRPr="00BD4212" w:rsidRDefault="0005781C" w:rsidP="0005781C">
            <w:pPr>
              <w:spacing w:before="0" w:after="0"/>
              <w:rPr>
                <w:sz w:val="16"/>
                <w:szCs w:val="16"/>
              </w:rPr>
            </w:pPr>
            <w:r w:rsidRPr="00BD4212">
              <w:rPr>
                <w:sz w:val="16"/>
                <w:szCs w:val="16"/>
              </w:rPr>
              <w:t>5. Cleanser wipes removed (03568T, 09981H, 03520G, 80125D)</w:t>
            </w:r>
          </w:p>
        </w:tc>
        <w:tc>
          <w:tcPr>
            <w:tcW w:w="698" w:type="pct"/>
            <w:vAlign w:val="center"/>
          </w:tcPr>
          <w:p w14:paraId="28463C1B" w14:textId="77777777" w:rsidR="0005781C" w:rsidRPr="00EB7DB4" w:rsidRDefault="0005781C" w:rsidP="00EB7DB4">
            <w:pPr>
              <w:jc w:val="center"/>
              <w:rPr>
                <w:rFonts w:ascii="Poppins" w:hAnsi="Poppins" w:cs="Poppins"/>
                <w:color w:val="00B050"/>
                <w:sz w:val="16"/>
                <w:szCs w:val="16"/>
              </w:rPr>
            </w:pPr>
            <w:r w:rsidRPr="00EB7DB4">
              <w:rPr>
                <w:rFonts w:ascii="Poppins" w:hAnsi="Poppins" w:cs="Poppins"/>
                <w:color w:val="00B050"/>
                <w:sz w:val="16"/>
                <w:szCs w:val="16"/>
              </w:rPr>
              <w:t>($3,107,124)</w:t>
            </w:r>
          </w:p>
        </w:tc>
        <w:tc>
          <w:tcPr>
            <w:tcW w:w="699" w:type="pct"/>
            <w:vAlign w:val="center"/>
          </w:tcPr>
          <w:p w14:paraId="297C8E95" w14:textId="77777777" w:rsidR="0005781C" w:rsidRPr="00EB7DB4" w:rsidRDefault="0005781C" w:rsidP="00EB7DB4">
            <w:pPr>
              <w:jc w:val="center"/>
              <w:rPr>
                <w:rFonts w:ascii="Poppins" w:hAnsi="Poppins" w:cs="Poppins"/>
                <w:color w:val="00B050"/>
                <w:sz w:val="16"/>
                <w:szCs w:val="16"/>
              </w:rPr>
            </w:pPr>
            <w:r w:rsidRPr="00EB7DB4">
              <w:rPr>
                <w:rFonts w:ascii="Poppins" w:hAnsi="Poppins" w:cs="Poppins"/>
                <w:color w:val="00B050"/>
                <w:sz w:val="16"/>
                <w:szCs w:val="16"/>
              </w:rPr>
              <w:t>($3,411,070)</w:t>
            </w:r>
          </w:p>
        </w:tc>
        <w:tc>
          <w:tcPr>
            <w:tcW w:w="698" w:type="pct"/>
            <w:vAlign w:val="center"/>
          </w:tcPr>
          <w:p w14:paraId="2A76BB81" w14:textId="77777777" w:rsidR="0005781C" w:rsidRPr="00EB7DB4" w:rsidRDefault="0005781C" w:rsidP="00EB7DB4">
            <w:pPr>
              <w:jc w:val="center"/>
              <w:rPr>
                <w:rFonts w:ascii="Poppins" w:hAnsi="Poppins" w:cs="Poppins"/>
                <w:color w:val="00B050"/>
                <w:sz w:val="16"/>
                <w:szCs w:val="16"/>
              </w:rPr>
            </w:pPr>
            <w:r w:rsidRPr="00EB7DB4">
              <w:rPr>
                <w:rFonts w:ascii="Poppins" w:hAnsi="Poppins" w:cs="Poppins"/>
                <w:color w:val="00B050"/>
                <w:sz w:val="16"/>
                <w:szCs w:val="16"/>
              </w:rPr>
              <w:t>($3,786,367)</w:t>
            </w:r>
          </w:p>
        </w:tc>
        <w:tc>
          <w:tcPr>
            <w:tcW w:w="699" w:type="pct"/>
            <w:vAlign w:val="center"/>
          </w:tcPr>
          <w:p w14:paraId="28040162" w14:textId="0AAADA8C" w:rsidR="0005781C" w:rsidRPr="00EB7DB4" w:rsidRDefault="0005781C" w:rsidP="00EB7DB4">
            <w:pPr>
              <w:jc w:val="center"/>
              <w:rPr>
                <w:rFonts w:ascii="Poppins" w:hAnsi="Poppins" w:cs="Poppins"/>
                <w:color w:val="00B050"/>
                <w:sz w:val="16"/>
                <w:szCs w:val="16"/>
              </w:rPr>
            </w:pPr>
            <w:r w:rsidRPr="00EB7DB4">
              <w:rPr>
                <w:rFonts w:ascii="Poppins" w:hAnsi="Poppins" w:cs="Poppins"/>
                <w:color w:val="00B050"/>
                <w:sz w:val="16"/>
                <w:szCs w:val="16"/>
              </w:rPr>
              <w:t>($4,116,770)</w:t>
            </w:r>
          </w:p>
        </w:tc>
        <w:tc>
          <w:tcPr>
            <w:tcW w:w="698" w:type="pct"/>
            <w:vAlign w:val="center"/>
          </w:tcPr>
          <w:p w14:paraId="3CB5C4F3" w14:textId="578EE13C" w:rsidR="0005781C" w:rsidRPr="00EB7DB4" w:rsidRDefault="0005781C" w:rsidP="00EB7DB4">
            <w:pPr>
              <w:jc w:val="center"/>
              <w:rPr>
                <w:rFonts w:ascii="Poppins" w:hAnsi="Poppins" w:cs="Poppins"/>
                <w:color w:val="00B050"/>
                <w:sz w:val="16"/>
                <w:szCs w:val="16"/>
              </w:rPr>
            </w:pPr>
            <w:r w:rsidRPr="00EB7DB4">
              <w:rPr>
                <w:rFonts w:ascii="Poppins" w:hAnsi="Poppins" w:cs="Poppins"/>
                <w:color w:val="00B050"/>
                <w:sz w:val="16"/>
                <w:szCs w:val="16"/>
              </w:rPr>
              <w:t>($4,453,562)</w:t>
            </w:r>
          </w:p>
        </w:tc>
        <w:tc>
          <w:tcPr>
            <w:tcW w:w="699" w:type="pct"/>
            <w:vAlign w:val="center"/>
          </w:tcPr>
          <w:p w14:paraId="24516889" w14:textId="1F63935D" w:rsidR="0005781C" w:rsidRPr="00EB7DB4" w:rsidRDefault="0005781C" w:rsidP="00EB7DB4">
            <w:pPr>
              <w:jc w:val="center"/>
              <w:rPr>
                <w:rFonts w:ascii="Poppins" w:hAnsi="Poppins" w:cs="Poppins"/>
                <w:color w:val="00B050"/>
                <w:sz w:val="16"/>
                <w:szCs w:val="16"/>
              </w:rPr>
            </w:pPr>
            <w:r w:rsidRPr="00EB7DB4">
              <w:rPr>
                <w:rFonts w:ascii="Poppins" w:hAnsi="Poppins" w:cs="Poppins"/>
                <w:color w:val="00B050"/>
                <w:sz w:val="16"/>
                <w:szCs w:val="16"/>
              </w:rPr>
              <w:t>($4,790,354)</w:t>
            </w:r>
          </w:p>
        </w:tc>
      </w:tr>
      <w:tr w:rsidR="00BF28B1" w:rsidRPr="00BD4212" w14:paraId="1B0C7FCF" w14:textId="77777777" w:rsidTr="00EB7DB4">
        <w:tc>
          <w:tcPr>
            <w:tcW w:w="809" w:type="pct"/>
          </w:tcPr>
          <w:p w14:paraId="1AA5F92C" w14:textId="4854590A" w:rsidR="00A54200" w:rsidRPr="00BD4212" w:rsidRDefault="00A54200" w:rsidP="00A54200">
            <w:pPr>
              <w:spacing w:before="0" w:after="0"/>
              <w:rPr>
                <w:sz w:val="16"/>
                <w:szCs w:val="16"/>
              </w:rPr>
            </w:pPr>
            <w:r w:rsidRPr="00BD4212">
              <w:rPr>
                <w:sz w:val="16"/>
                <w:szCs w:val="16"/>
              </w:rPr>
              <w:t>6. Removal of low</w:t>
            </w:r>
            <w:r>
              <w:rPr>
                <w:sz w:val="16"/>
                <w:szCs w:val="16"/>
              </w:rPr>
              <w:t>-</w:t>
            </w:r>
            <w:r w:rsidRPr="00BD4212">
              <w:rPr>
                <w:sz w:val="16"/>
                <w:szCs w:val="16"/>
              </w:rPr>
              <w:t>utilisation products (&lt;10 orders per annum)</w:t>
            </w:r>
          </w:p>
        </w:tc>
        <w:tc>
          <w:tcPr>
            <w:tcW w:w="698" w:type="pct"/>
            <w:vAlign w:val="center"/>
          </w:tcPr>
          <w:p w14:paraId="6C54DA02" w14:textId="4A192516" w:rsidR="00A54200" w:rsidRPr="00EB7DB4" w:rsidRDefault="00A54200" w:rsidP="00EB7DB4">
            <w:pPr>
              <w:jc w:val="center"/>
              <w:rPr>
                <w:rFonts w:ascii="Poppins" w:hAnsi="Poppins" w:cs="Poppins"/>
                <w:color w:val="00B050"/>
                <w:sz w:val="16"/>
                <w:szCs w:val="16"/>
              </w:rPr>
            </w:pPr>
            <w:r w:rsidRPr="00EB7DB4">
              <w:rPr>
                <w:rFonts w:ascii="Poppins" w:hAnsi="Poppins" w:cs="Poppins"/>
                <w:color w:val="00B050"/>
                <w:sz w:val="16"/>
                <w:szCs w:val="16"/>
              </w:rPr>
              <w:t>($3,191)</w:t>
            </w:r>
          </w:p>
        </w:tc>
        <w:tc>
          <w:tcPr>
            <w:tcW w:w="699" w:type="pct"/>
            <w:vAlign w:val="center"/>
          </w:tcPr>
          <w:p w14:paraId="0E3C7471" w14:textId="41B08FB7" w:rsidR="00A54200" w:rsidRPr="00EB7DB4" w:rsidRDefault="00A54200" w:rsidP="00EB7DB4">
            <w:pPr>
              <w:jc w:val="center"/>
              <w:rPr>
                <w:rFonts w:ascii="Poppins" w:hAnsi="Poppins" w:cs="Poppins"/>
                <w:color w:val="00B050"/>
                <w:sz w:val="16"/>
                <w:szCs w:val="16"/>
              </w:rPr>
            </w:pPr>
            <w:r w:rsidRPr="00EB7DB4">
              <w:rPr>
                <w:rFonts w:ascii="Poppins" w:hAnsi="Poppins" w:cs="Poppins"/>
                <w:color w:val="00B050"/>
                <w:sz w:val="16"/>
                <w:szCs w:val="16"/>
              </w:rPr>
              <w:t>($1,290)</w:t>
            </w:r>
          </w:p>
        </w:tc>
        <w:tc>
          <w:tcPr>
            <w:tcW w:w="698" w:type="pct"/>
            <w:vAlign w:val="center"/>
          </w:tcPr>
          <w:p w14:paraId="404BD450" w14:textId="2D862757" w:rsidR="00A54200" w:rsidRPr="00EB7DB4" w:rsidRDefault="00A54200" w:rsidP="00EB7DB4">
            <w:pPr>
              <w:jc w:val="center"/>
              <w:rPr>
                <w:rFonts w:ascii="Poppins" w:hAnsi="Poppins" w:cs="Poppins"/>
                <w:color w:val="00B050"/>
                <w:sz w:val="16"/>
                <w:szCs w:val="16"/>
              </w:rPr>
            </w:pPr>
            <w:r w:rsidRPr="00EB7DB4">
              <w:rPr>
                <w:rFonts w:ascii="Poppins" w:hAnsi="Poppins" w:cs="Poppins"/>
                <w:color w:val="00B050"/>
                <w:sz w:val="16"/>
                <w:szCs w:val="16"/>
              </w:rPr>
              <w:t>($6,076)</w:t>
            </w:r>
          </w:p>
        </w:tc>
        <w:tc>
          <w:tcPr>
            <w:tcW w:w="699" w:type="pct"/>
            <w:vAlign w:val="center"/>
          </w:tcPr>
          <w:p w14:paraId="381CE2EB" w14:textId="0E9FEF81" w:rsidR="00A54200" w:rsidRPr="00EB7DB4" w:rsidRDefault="00A54200" w:rsidP="00EB7DB4">
            <w:pPr>
              <w:jc w:val="center"/>
              <w:rPr>
                <w:rFonts w:ascii="Poppins" w:hAnsi="Poppins" w:cs="Poppins"/>
                <w:color w:val="00B050"/>
                <w:sz w:val="16"/>
                <w:szCs w:val="16"/>
              </w:rPr>
            </w:pPr>
            <w:r w:rsidRPr="00EB7DB4">
              <w:rPr>
                <w:rFonts w:ascii="Poppins" w:hAnsi="Poppins" w:cs="Poppins"/>
                <w:color w:val="00B050"/>
                <w:sz w:val="16"/>
                <w:szCs w:val="16"/>
              </w:rPr>
              <w:t>($5,983)</w:t>
            </w:r>
          </w:p>
        </w:tc>
        <w:tc>
          <w:tcPr>
            <w:tcW w:w="698" w:type="pct"/>
            <w:vAlign w:val="center"/>
          </w:tcPr>
          <w:p w14:paraId="473A33C0" w14:textId="28B3D280" w:rsidR="00A54200" w:rsidRPr="00EB7DB4" w:rsidRDefault="00A54200" w:rsidP="00EB7DB4">
            <w:pPr>
              <w:jc w:val="center"/>
              <w:rPr>
                <w:rFonts w:ascii="Poppins" w:hAnsi="Poppins" w:cs="Poppins"/>
                <w:color w:val="00B050"/>
                <w:sz w:val="16"/>
                <w:szCs w:val="16"/>
              </w:rPr>
            </w:pPr>
            <w:r w:rsidRPr="00EB7DB4">
              <w:rPr>
                <w:rFonts w:ascii="Poppins" w:hAnsi="Poppins" w:cs="Poppins"/>
                <w:color w:val="00B050"/>
                <w:sz w:val="16"/>
                <w:szCs w:val="16"/>
              </w:rPr>
              <w:t>($8,258)</w:t>
            </w:r>
          </w:p>
        </w:tc>
        <w:tc>
          <w:tcPr>
            <w:tcW w:w="699" w:type="pct"/>
            <w:vAlign w:val="center"/>
          </w:tcPr>
          <w:p w14:paraId="1EE0398C" w14:textId="159F398A" w:rsidR="00A54200" w:rsidRPr="00EB7DB4" w:rsidRDefault="00A54200" w:rsidP="00EB7DB4">
            <w:pPr>
              <w:jc w:val="center"/>
              <w:rPr>
                <w:rFonts w:ascii="Poppins" w:hAnsi="Poppins" w:cs="Poppins"/>
                <w:color w:val="00B050"/>
                <w:sz w:val="16"/>
                <w:szCs w:val="16"/>
              </w:rPr>
            </w:pPr>
            <w:r w:rsidRPr="00EB7DB4">
              <w:rPr>
                <w:rFonts w:ascii="Poppins" w:hAnsi="Poppins" w:cs="Poppins"/>
                <w:color w:val="00B050"/>
                <w:sz w:val="16"/>
                <w:szCs w:val="16"/>
              </w:rPr>
              <w:t>($8,234)</w:t>
            </w:r>
          </w:p>
        </w:tc>
      </w:tr>
      <w:tr w:rsidR="006F4D9F" w:rsidRPr="00BD4212" w14:paraId="0170E8B0" w14:textId="77777777" w:rsidTr="00EB7DB4">
        <w:trPr>
          <w:cnfStyle w:val="000000010000" w:firstRow="0" w:lastRow="0" w:firstColumn="0" w:lastColumn="0" w:oddVBand="0" w:evenVBand="0" w:oddHBand="0" w:evenHBand="1" w:firstRowFirstColumn="0" w:firstRowLastColumn="0" w:lastRowFirstColumn="0" w:lastRowLastColumn="0"/>
        </w:trPr>
        <w:tc>
          <w:tcPr>
            <w:tcW w:w="809" w:type="pct"/>
          </w:tcPr>
          <w:p w14:paraId="498FFAC5" w14:textId="77777777" w:rsidR="00E12467" w:rsidRPr="00BD4212" w:rsidRDefault="00E12467" w:rsidP="00E12467">
            <w:pPr>
              <w:spacing w:before="0" w:after="0"/>
              <w:rPr>
                <w:sz w:val="16"/>
                <w:szCs w:val="16"/>
              </w:rPr>
            </w:pPr>
            <w:r w:rsidRPr="00BD4212">
              <w:rPr>
                <w:sz w:val="16"/>
                <w:szCs w:val="16"/>
              </w:rPr>
              <w:t>7. 50% decrease in annual quantity of closed bag systems</w:t>
            </w:r>
          </w:p>
        </w:tc>
        <w:tc>
          <w:tcPr>
            <w:tcW w:w="698" w:type="pct"/>
            <w:vAlign w:val="center"/>
          </w:tcPr>
          <w:p w14:paraId="339437DA" w14:textId="77777777" w:rsidR="00E12467" w:rsidRPr="00EB7DB4" w:rsidRDefault="00E12467" w:rsidP="00EB7DB4">
            <w:pPr>
              <w:jc w:val="center"/>
              <w:rPr>
                <w:rFonts w:ascii="Poppins" w:hAnsi="Poppins" w:cs="Poppins"/>
                <w:color w:val="00B050"/>
                <w:sz w:val="16"/>
                <w:szCs w:val="16"/>
              </w:rPr>
            </w:pPr>
            <w:r w:rsidRPr="00EB7DB4">
              <w:rPr>
                <w:rFonts w:ascii="Poppins" w:hAnsi="Poppins" w:cs="Poppins"/>
                <w:color w:val="00B050"/>
                <w:sz w:val="16"/>
                <w:szCs w:val="16"/>
              </w:rPr>
              <w:t>($3,117,106)</w:t>
            </w:r>
          </w:p>
        </w:tc>
        <w:tc>
          <w:tcPr>
            <w:tcW w:w="699" w:type="pct"/>
            <w:vAlign w:val="center"/>
          </w:tcPr>
          <w:p w14:paraId="582F6954" w14:textId="77777777" w:rsidR="00E12467" w:rsidRPr="00EB7DB4" w:rsidRDefault="00E12467" w:rsidP="00EB7DB4">
            <w:pPr>
              <w:jc w:val="center"/>
              <w:rPr>
                <w:rFonts w:ascii="Poppins" w:hAnsi="Poppins" w:cs="Poppins"/>
                <w:color w:val="00B050"/>
                <w:sz w:val="16"/>
                <w:szCs w:val="16"/>
              </w:rPr>
            </w:pPr>
            <w:r w:rsidRPr="00EB7DB4">
              <w:rPr>
                <w:rFonts w:ascii="Poppins" w:hAnsi="Poppins" w:cs="Poppins"/>
                <w:color w:val="00B050"/>
                <w:sz w:val="16"/>
                <w:szCs w:val="16"/>
              </w:rPr>
              <w:t>($6,249,906)</w:t>
            </w:r>
          </w:p>
        </w:tc>
        <w:tc>
          <w:tcPr>
            <w:tcW w:w="698" w:type="pct"/>
            <w:vAlign w:val="center"/>
          </w:tcPr>
          <w:p w14:paraId="2DE8B221" w14:textId="77777777" w:rsidR="00E12467" w:rsidRPr="00EB7DB4" w:rsidRDefault="00E12467" w:rsidP="00EB7DB4">
            <w:pPr>
              <w:jc w:val="center"/>
              <w:rPr>
                <w:rFonts w:ascii="Poppins" w:hAnsi="Poppins" w:cs="Poppins"/>
                <w:color w:val="00B050"/>
                <w:sz w:val="16"/>
                <w:szCs w:val="16"/>
              </w:rPr>
            </w:pPr>
            <w:r w:rsidRPr="00EB7DB4">
              <w:rPr>
                <w:rFonts w:ascii="Poppins" w:hAnsi="Poppins" w:cs="Poppins"/>
                <w:color w:val="00B050"/>
                <w:sz w:val="16"/>
                <w:szCs w:val="16"/>
              </w:rPr>
              <w:t>($6,744,893)</w:t>
            </w:r>
          </w:p>
        </w:tc>
        <w:tc>
          <w:tcPr>
            <w:tcW w:w="699" w:type="pct"/>
            <w:vAlign w:val="center"/>
          </w:tcPr>
          <w:p w14:paraId="53066412" w14:textId="186F3016" w:rsidR="00E12467" w:rsidRPr="00EB7DB4" w:rsidRDefault="00E12467" w:rsidP="00EB7DB4">
            <w:pPr>
              <w:jc w:val="center"/>
              <w:rPr>
                <w:rFonts w:ascii="Poppins" w:hAnsi="Poppins" w:cs="Poppins"/>
                <w:color w:val="00B050"/>
                <w:sz w:val="16"/>
                <w:szCs w:val="16"/>
              </w:rPr>
            </w:pPr>
            <w:r w:rsidRPr="00EB7DB4">
              <w:rPr>
                <w:rFonts w:ascii="Poppins" w:hAnsi="Poppins" w:cs="Poppins"/>
                <w:color w:val="00B050"/>
                <w:sz w:val="16"/>
                <w:szCs w:val="16"/>
              </w:rPr>
              <w:t>($9,060,627)</w:t>
            </w:r>
          </w:p>
        </w:tc>
        <w:tc>
          <w:tcPr>
            <w:tcW w:w="698" w:type="pct"/>
            <w:vAlign w:val="center"/>
          </w:tcPr>
          <w:p w14:paraId="3739D657" w14:textId="7C94845F" w:rsidR="00E12467" w:rsidRPr="00EB7DB4" w:rsidRDefault="00E12467" w:rsidP="00EB7DB4">
            <w:pPr>
              <w:jc w:val="center"/>
              <w:rPr>
                <w:rFonts w:ascii="Poppins" w:hAnsi="Poppins" w:cs="Poppins"/>
                <w:color w:val="00B050"/>
                <w:sz w:val="16"/>
                <w:szCs w:val="16"/>
              </w:rPr>
            </w:pPr>
            <w:r w:rsidRPr="00EB7DB4">
              <w:rPr>
                <w:rFonts w:ascii="Poppins" w:hAnsi="Poppins" w:cs="Poppins"/>
                <w:color w:val="00B050"/>
                <w:sz w:val="16"/>
                <w:szCs w:val="16"/>
              </w:rPr>
              <w:t>($11,109,633)</w:t>
            </w:r>
          </w:p>
        </w:tc>
        <w:tc>
          <w:tcPr>
            <w:tcW w:w="699" w:type="pct"/>
            <w:vAlign w:val="center"/>
          </w:tcPr>
          <w:p w14:paraId="40E08C3D" w14:textId="68A71C2E" w:rsidR="00E12467" w:rsidRPr="00EB7DB4" w:rsidRDefault="00E12467" w:rsidP="00EB7DB4">
            <w:pPr>
              <w:jc w:val="center"/>
              <w:rPr>
                <w:rFonts w:ascii="Poppins" w:hAnsi="Poppins" w:cs="Poppins"/>
                <w:color w:val="00B050"/>
                <w:sz w:val="16"/>
                <w:szCs w:val="16"/>
              </w:rPr>
            </w:pPr>
            <w:r w:rsidRPr="00EB7DB4">
              <w:rPr>
                <w:rFonts w:ascii="Poppins" w:hAnsi="Poppins" w:cs="Poppins"/>
                <w:color w:val="00B050"/>
                <w:sz w:val="16"/>
                <w:szCs w:val="16"/>
              </w:rPr>
              <w:t>($13,057,223)</w:t>
            </w:r>
          </w:p>
        </w:tc>
      </w:tr>
      <w:tr w:rsidR="006F4D9F" w:rsidRPr="00BD4212" w14:paraId="4431CB8F" w14:textId="77777777" w:rsidTr="00EB7DB4">
        <w:tc>
          <w:tcPr>
            <w:tcW w:w="809" w:type="pct"/>
          </w:tcPr>
          <w:p w14:paraId="639B6A52" w14:textId="77777777" w:rsidR="00D12D88" w:rsidRPr="00BD4212" w:rsidRDefault="00D12D88" w:rsidP="00D12D88">
            <w:pPr>
              <w:spacing w:before="0" w:after="0"/>
              <w:rPr>
                <w:sz w:val="16"/>
                <w:szCs w:val="16"/>
              </w:rPr>
            </w:pPr>
            <w:r w:rsidRPr="00BD4212">
              <w:rPr>
                <w:sz w:val="16"/>
                <w:szCs w:val="16"/>
              </w:rPr>
              <w:t>8. 100% increase in annual quantity of plug systems (08a)</w:t>
            </w:r>
          </w:p>
        </w:tc>
        <w:tc>
          <w:tcPr>
            <w:tcW w:w="698" w:type="pct"/>
            <w:vAlign w:val="center"/>
          </w:tcPr>
          <w:p w14:paraId="5C4AC972" w14:textId="6DF111A9" w:rsidR="00D12D88" w:rsidRPr="00EB7DB4" w:rsidRDefault="00AA5DD3" w:rsidP="00D12D88">
            <w:pPr>
              <w:spacing w:before="0" w:after="0"/>
              <w:jc w:val="center"/>
              <w:rPr>
                <w:rFonts w:ascii="Poppins" w:hAnsi="Poppins" w:cs="Poppins"/>
                <w:color w:val="C00000"/>
                <w:sz w:val="16"/>
                <w:szCs w:val="16"/>
              </w:rPr>
            </w:pPr>
            <w:r>
              <w:rPr>
                <w:rFonts w:ascii="Poppins" w:hAnsi="Poppins" w:cs="Poppins"/>
                <w:color w:val="C00000"/>
                <w:sz w:val="16"/>
                <w:szCs w:val="16"/>
              </w:rPr>
              <w:t>+</w:t>
            </w:r>
            <w:r w:rsidR="00D12D88" w:rsidRPr="00EB7DB4">
              <w:rPr>
                <w:rFonts w:ascii="Poppins" w:hAnsi="Poppins" w:cs="Poppins"/>
                <w:color w:val="C00000"/>
                <w:sz w:val="16"/>
                <w:szCs w:val="16"/>
              </w:rPr>
              <w:t xml:space="preserve">$3,860 </w:t>
            </w:r>
          </w:p>
        </w:tc>
        <w:tc>
          <w:tcPr>
            <w:tcW w:w="699" w:type="pct"/>
            <w:vAlign w:val="center"/>
          </w:tcPr>
          <w:p w14:paraId="3C1EF0CF" w14:textId="543F7163" w:rsidR="00D12D88" w:rsidRPr="00EB7DB4" w:rsidRDefault="00AA5DD3" w:rsidP="00D12D88">
            <w:pPr>
              <w:spacing w:before="0" w:after="0"/>
              <w:jc w:val="center"/>
              <w:rPr>
                <w:rFonts w:ascii="Poppins" w:hAnsi="Poppins" w:cs="Poppins"/>
                <w:color w:val="C00000"/>
                <w:sz w:val="16"/>
                <w:szCs w:val="16"/>
              </w:rPr>
            </w:pPr>
            <w:r>
              <w:rPr>
                <w:rFonts w:ascii="Poppins" w:hAnsi="Poppins" w:cs="Poppins"/>
                <w:color w:val="C00000"/>
                <w:sz w:val="16"/>
                <w:szCs w:val="16"/>
              </w:rPr>
              <w:t>+</w:t>
            </w:r>
            <w:r w:rsidR="00D12D88" w:rsidRPr="00EB7DB4">
              <w:rPr>
                <w:rFonts w:ascii="Poppins" w:hAnsi="Poppins" w:cs="Poppins"/>
                <w:color w:val="C00000"/>
                <w:sz w:val="16"/>
                <w:szCs w:val="16"/>
              </w:rPr>
              <w:t xml:space="preserve">$5,918 </w:t>
            </w:r>
          </w:p>
        </w:tc>
        <w:tc>
          <w:tcPr>
            <w:tcW w:w="698" w:type="pct"/>
            <w:vAlign w:val="center"/>
          </w:tcPr>
          <w:p w14:paraId="0A08F93D" w14:textId="20EDB982" w:rsidR="00D12D88" w:rsidRPr="00EB7DB4" w:rsidRDefault="00AA5DD3" w:rsidP="00D12D88">
            <w:pPr>
              <w:spacing w:before="0" w:after="0"/>
              <w:jc w:val="center"/>
              <w:rPr>
                <w:rFonts w:ascii="Poppins" w:hAnsi="Poppins" w:cs="Poppins"/>
                <w:color w:val="C00000"/>
                <w:sz w:val="16"/>
                <w:szCs w:val="16"/>
              </w:rPr>
            </w:pPr>
            <w:r>
              <w:rPr>
                <w:rFonts w:ascii="Poppins" w:hAnsi="Poppins" w:cs="Poppins"/>
                <w:color w:val="C00000"/>
                <w:sz w:val="16"/>
                <w:szCs w:val="16"/>
              </w:rPr>
              <w:t>+</w:t>
            </w:r>
            <w:r w:rsidR="00D12D88" w:rsidRPr="00EB7DB4">
              <w:rPr>
                <w:rFonts w:ascii="Poppins" w:hAnsi="Poppins" w:cs="Poppins"/>
                <w:color w:val="C00000"/>
                <w:sz w:val="16"/>
                <w:szCs w:val="16"/>
              </w:rPr>
              <w:t xml:space="preserve">$7,255 </w:t>
            </w:r>
          </w:p>
        </w:tc>
        <w:tc>
          <w:tcPr>
            <w:tcW w:w="699" w:type="pct"/>
            <w:vAlign w:val="center"/>
          </w:tcPr>
          <w:p w14:paraId="154E49F1" w14:textId="5AF28232" w:rsidR="00D12D88" w:rsidRPr="00FF2599" w:rsidRDefault="00AA5DD3" w:rsidP="00D12D88">
            <w:pPr>
              <w:spacing w:before="0" w:after="0"/>
              <w:jc w:val="center"/>
              <w:rPr>
                <w:rFonts w:ascii="Poppins" w:hAnsi="Poppins" w:cs="Poppins"/>
                <w:color w:val="C00000"/>
                <w:sz w:val="16"/>
                <w:szCs w:val="16"/>
              </w:rPr>
            </w:pPr>
            <w:r>
              <w:rPr>
                <w:rFonts w:ascii="Poppins" w:hAnsi="Poppins" w:cs="Poppins"/>
                <w:color w:val="C00000"/>
                <w:sz w:val="16"/>
                <w:szCs w:val="16"/>
              </w:rPr>
              <w:t>+</w:t>
            </w:r>
            <w:r w:rsidR="00D12D88" w:rsidRPr="00EB7DB4">
              <w:rPr>
                <w:rFonts w:ascii="Poppins" w:hAnsi="Poppins" w:cs="Poppins"/>
                <w:color w:val="C00000"/>
                <w:sz w:val="16"/>
                <w:szCs w:val="16"/>
              </w:rPr>
              <w:t xml:space="preserve">$17,931 </w:t>
            </w:r>
          </w:p>
        </w:tc>
        <w:tc>
          <w:tcPr>
            <w:tcW w:w="698" w:type="pct"/>
            <w:vAlign w:val="center"/>
          </w:tcPr>
          <w:p w14:paraId="77775F8A" w14:textId="2479AD6E" w:rsidR="00D12D88" w:rsidRPr="00FF2599" w:rsidRDefault="00AA5DD3" w:rsidP="00D12D88">
            <w:pPr>
              <w:spacing w:before="0" w:after="0"/>
              <w:jc w:val="center"/>
              <w:rPr>
                <w:rFonts w:ascii="Poppins" w:hAnsi="Poppins" w:cs="Poppins"/>
                <w:color w:val="C00000"/>
                <w:sz w:val="16"/>
                <w:szCs w:val="16"/>
              </w:rPr>
            </w:pPr>
            <w:r>
              <w:rPr>
                <w:rFonts w:ascii="Poppins" w:hAnsi="Poppins" w:cs="Poppins"/>
                <w:color w:val="C00000"/>
                <w:sz w:val="16"/>
                <w:szCs w:val="16"/>
              </w:rPr>
              <w:t>+</w:t>
            </w:r>
            <w:r w:rsidR="00D12D88" w:rsidRPr="00EB7DB4">
              <w:rPr>
                <w:rFonts w:ascii="Poppins" w:hAnsi="Poppins" w:cs="Poppins"/>
                <w:color w:val="C00000"/>
                <w:sz w:val="16"/>
                <w:szCs w:val="16"/>
              </w:rPr>
              <w:t xml:space="preserve">$21,333 </w:t>
            </w:r>
          </w:p>
        </w:tc>
        <w:tc>
          <w:tcPr>
            <w:tcW w:w="699" w:type="pct"/>
            <w:vAlign w:val="center"/>
          </w:tcPr>
          <w:p w14:paraId="39992BCB" w14:textId="6AFF12B3" w:rsidR="00D12D88" w:rsidRPr="00FF2599" w:rsidRDefault="00AA5DD3" w:rsidP="00D12D88">
            <w:pPr>
              <w:spacing w:before="0" w:after="0"/>
              <w:jc w:val="center"/>
              <w:rPr>
                <w:rFonts w:ascii="Poppins" w:hAnsi="Poppins" w:cs="Poppins"/>
                <w:color w:val="C00000"/>
                <w:sz w:val="16"/>
                <w:szCs w:val="16"/>
              </w:rPr>
            </w:pPr>
            <w:r>
              <w:rPr>
                <w:rFonts w:ascii="Poppins" w:hAnsi="Poppins" w:cs="Poppins"/>
                <w:color w:val="C00000"/>
                <w:sz w:val="16"/>
                <w:szCs w:val="16"/>
              </w:rPr>
              <w:t>+</w:t>
            </w:r>
            <w:r w:rsidR="00D12D88" w:rsidRPr="00EB7DB4">
              <w:rPr>
                <w:rFonts w:ascii="Poppins" w:hAnsi="Poppins" w:cs="Poppins"/>
                <w:color w:val="C00000"/>
                <w:sz w:val="16"/>
                <w:szCs w:val="16"/>
              </w:rPr>
              <w:t xml:space="preserve">$24,736 </w:t>
            </w:r>
          </w:p>
        </w:tc>
      </w:tr>
      <w:tr w:rsidR="00EB7DB4" w:rsidRPr="00BD4212" w14:paraId="4B5DCD8A" w14:textId="77777777" w:rsidTr="00EB7DB4">
        <w:trPr>
          <w:cnfStyle w:val="000000010000" w:firstRow="0" w:lastRow="0" w:firstColumn="0" w:lastColumn="0" w:oddVBand="0" w:evenVBand="0" w:oddHBand="0" w:evenHBand="1" w:firstRowFirstColumn="0" w:firstRowLastColumn="0" w:lastRowFirstColumn="0" w:lastRowLastColumn="0"/>
        </w:trPr>
        <w:tc>
          <w:tcPr>
            <w:tcW w:w="809" w:type="pct"/>
          </w:tcPr>
          <w:p w14:paraId="47BB2863" w14:textId="21D60A78" w:rsidR="00C61641" w:rsidRPr="00BD4212" w:rsidRDefault="00C61641" w:rsidP="00C61641">
            <w:pPr>
              <w:spacing w:before="0" w:after="0"/>
            </w:pPr>
            <w:r>
              <w:rPr>
                <w:sz w:val="16"/>
                <w:szCs w:val="16"/>
              </w:rPr>
              <w:t xml:space="preserve">9. </w:t>
            </w:r>
            <w:r w:rsidRPr="00EB7DB4">
              <w:rPr>
                <w:sz w:val="16"/>
                <w:szCs w:val="16"/>
              </w:rPr>
              <w:t>Increase maximum quantity of caps to 90 per month (01a)</w:t>
            </w:r>
          </w:p>
        </w:tc>
        <w:tc>
          <w:tcPr>
            <w:tcW w:w="698" w:type="pct"/>
            <w:vAlign w:val="center"/>
          </w:tcPr>
          <w:p w14:paraId="72092811" w14:textId="53598543" w:rsidR="00C61641" w:rsidRPr="00EB7DB4" w:rsidRDefault="00AA5DD3" w:rsidP="00C61641">
            <w:pPr>
              <w:spacing w:before="0" w:after="0"/>
              <w:jc w:val="center"/>
              <w:rPr>
                <w:rFonts w:ascii="Poppins" w:hAnsi="Poppins" w:cs="Poppins"/>
                <w:color w:val="C00000"/>
                <w:sz w:val="16"/>
                <w:szCs w:val="16"/>
              </w:rPr>
            </w:pPr>
            <w:r>
              <w:rPr>
                <w:rFonts w:ascii="Poppins" w:hAnsi="Poppins" w:cs="Poppins"/>
                <w:color w:val="C00000"/>
                <w:sz w:val="16"/>
                <w:szCs w:val="16"/>
              </w:rPr>
              <w:t>+</w:t>
            </w:r>
            <w:r w:rsidR="00C61641" w:rsidRPr="00EB7DB4">
              <w:rPr>
                <w:rFonts w:ascii="Poppins" w:hAnsi="Poppins" w:cs="Poppins"/>
                <w:color w:val="C00000"/>
                <w:sz w:val="16"/>
                <w:szCs w:val="16"/>
              </w:rPr>
              <w:t>$1,977</w:t>
            </w:r>
          </w:p>
        </w:tc>
        <w:tc>
          <w:tcPr>
            <w:tcW w:w="699" w:type="pct"/>
            <w:vAlign w:val="center"/>
          </w:tcPr>
          <w:p w14:paraId="645306AA" w14:textId="38229E6F" w:rsidR="00C61641" w:rsidRPr="00EB7DB4" w:rsidRDefault="00AA5DD3" w:rsidP="00C61641">
            <w:pPr>
              <w:spacing w:before="0" w:after="0"/>
              <w:jc w:val="center"/>
              <w:rPr>
                <w:rFonts w:ascii="Poppins" w:hAnsi="Poppins" w:cs="Poppins"/>
                <w:color w:val="C00000"/>
                <w:sz w:val="16"/>
                <w:szCs w:val="16"/>
              </w:rPr>
            </w:pPr>
            <w:r>
              <w:rPr>
                <w:rFonts w:ascii="Poppins" w:hAnsi="Poppins" w:cs="Poppins"/>
                <w:color w:val="C00000"/>
                <w:sz w:val="16"/>
                <w:szCs w:val="16"/>
              </w:rPr>
              <w:t>+</w:t>
            </w:r>
            <w:r w:rsidR="00C61641" w:rsidRPr="00EB7DB4">
              <w:rPr>
                <w:rFonts w:ascii="Poppins" w:hAnsi="Poppins" w:cs="Poppins"/>
                <w:color w:val="C00000"/>
                <w:sz w:val="16"/>
                <w:szCs w:val="16"/>
              </w:rPr>
              <w:t>$8,403</w:t>
            </w:r>
          </w:p>
        </w:tc>
        <w:tc>
          <w:tcPr>
            <w:tcW w:w="698" w:type="pct"/>
            <w:vAlign w:val="center"/>
          </w:tcPr>
          <w:p w14:paraId="60339693" w14:textId="786A36EA" w:rsidR="00C61641" w:rsidRPr="00EB7DB4" w:rsidRDefault="00AA5DD3" w:rsidP="00C61641">
            <w:pPr>
              <w:spacing w:before="0" w:after="0"/>
              <w:jc w:val="center"/>
              <w:rPr>
                <w:rFonts w:ascii="Poppins" w:hAnsi="Poppins" w:cs="Poppins"/>
                <w:color w:val="C00000"/>
                <w:sz w:val="16"/>
                <w:szCs w:val="16"/>
              </w:rPr>
            </w:pPr>
            <w:r>
              <w:rPr>
                <w:rFonts w:ascii="Poppins" w:hAnsi="Poppins" w:cs="Poppins"/>
                <w:color w:val="C00000"/>
                <w:sz w:val="16"/>
                <w:szCs w:val="16"/>
              </w:rPr>
              <w:t>+</w:t>
            </w:r>
            <w:r w:rsidR="00C61641" w:rsidRPr="00EB7DB4">
              <w:rPr>
                <w:rFonts w:ascii="Poppins" w:hAnsi="Poppins" w:cs="Poppins"/>
                <w:color w:val="C00000"/>
                <w:sz w:val="16"/>
                <w:szCs w:val="16"/>
              </w:rPr>
              <w:t>$6,426</w:t>
            </w:r>
          </w:p>
        </w:tc>
        <w:tc>
          <w:tcPr>
            <w:tcW w:w="699" w:type="pct"/>
            <w:vAlign w:val="center"/>
          </w:tcPr>
          <w:p w14:paraId="3624780B" w14:textId="3D1B8FAA" w:rsidR="00C61641" w:rsidRPr="00EB7DB4" w:rsidRDefault="00AA5DD3" w:rsidP="00C61641">
            <w:pPr>
              <w:spacing w:before="0" w:after="0"/>
              <w:jc w:val="center"/>
              <w:rPr>
                <w:rFonts w:ascii="Poppins" w:hAnsi="Poppins" w:cs="Poppins"/>
                <w:color w:val="C00000"/>
                <w:sz w:val="16"/>
                <w:szCs w:val="16"/>
              </w:rPr>
            </w:pPr>
            <w:r>
              <w:rPr>
                <w:rFonts w:ascii="Poppins" w:hAnsi="Poppins" w:cs="Poppins"/>
                <w:color w:val="C00000"/>
                <w:sz w:val="16"/>
                <w:szCs w:val="16"/>
              </w:rPr>
              <w:t>+</w:t>
            </w:r>
            <w:r w:rsidR="00C61641" w:rsidRPr="00EB7DB4">
              <w:rPr>
                <w:rFonts w:ascii="Poppins" w:hAnsi="Poppins" w:cs="Poppins"/>
                <w:color w:val="C00000"/>
                <w:sz w:val="16"/>
                <w:szCs w:val="16"/>
              </w:rPr>
              <w:t>$9,736</w:t>
            </w:r>
          </w:p>
        </w:tc>
        <w:tc>
          <w:tcPr>
            <w:tcW w:w="698" w:type="pct"/>
            <w:vAlign w:val="center"/>
          </w:tcPr>
          <w:p w14:paraId="301E1464" w14:textId="380FD30E" w:rsidR="00C61641" w:rsidRPr="00EB7DB4" w:rsidRDefault="00AA5DD3" w:rsidP="00C61641">
            <w:pPr>
              <w:spacing w:before="0" w:after="0"/>
              <w:jc w:val="center"/>
              <w:rPr>
                <w:rFonts w:ascii="Poppins" w:hAnsi="Poppins" w:cs="Poppins"/>
                <w:color w:val="C00000"/>
                <w:sz w:val="16"/>
                <w:szCs w:val="16"/>
              </w:rPr>
            </w:pPr>
            <w:r>
              <w:rPr>
                <w:rFonts w:ascii="Poppins" w:hAnsi="Poppins" w:cs="Poppins"/>
                <w:color w:val="C00000"/>
                <w:sz w:val="16"/>
                <w:szCs w:val="16"/>
              </w:rPr>
              <w:t>+</w:t>
            </w:r>
            <w:r w:rsidR="00C61641" w:rsidRPr="00EB7DB4">
              <w:rPr>
                <w:rFonts w:ascii="Poppins" w:hAnsi="Poppins" w:cs="Poppins"/>
                <w:color w:val="C00000"/>
                <w:sz w:val="16"/>
                <w:szCs w:val="16"/>
              </w:rPr>
              <w:t>$12,293</w:t>
            </w:r>
          </w:p>
        </w:tc>
        <w:tc>
          <w:tcPr>
            <w:tcW w:w="699" w:type="pct"/>
            <w:vAlign w:val="center"/>
          </w:tcPr>
          <w:p w14:paraId="0D01045E" w14:textId="2D3A8159" w:rsidR="00C61641" w:rsidRPr="00EB7DB4" w:rsidRDefault="00AA5DD3" w:rsidP="00C61641">
            <w:pPr>
              <w:spacing w:before="0" w:after="0"/>
              <w:jc w:val="center"/>
              <w:rPr>
                <w:rFonts w:ascii="Poppins" w:hAnsi="Poppins" w:cs="Poppins"/>
                <w:color w:val="C00000"/>
                <w:sz w:val="16"/>
                <w:szCs w:val="16"/>
              </w:rPr>
            </w:pPr>
            <w:r>
              <w:rPr>
                <w:rFonts w:ascii="Poppins" w:hAnsi="Poppins" w:cs="Poppins"/>
                <w:color w:val="C00000"/>
                <w:sz w:val="16"/>
                <w:szCs w:val="16"/>
              </w:rPr>
              <w:t>+</w:t>
            </w:r>
            <w:r w:rsidR="00C61641" w:rsidRPr="00EB7DB4">
              <w:rPr>
                <w:rFonts w:ascii="Poppins" w:hAnsi="Poppins" w:cs="Poppins"/>
                <w:color w:val="C00000"/>
                <w:sz w:val="16"/>
                <w:szCs w:val="16"/>
              </w:rPr>
              <w:t>$14,850</w:t>
            </w:r>
          </w:p>
        </w:tc>
      </w:tr>
      <w:tr w:rsidR="002A3326" w:rsidRPr="00BD4212" w14:paraId="45EF61C6" w14:textId="77777777" w:rsidTr="00EB7DB4">
        <w:tc>
          <w:tcPr>
            <w:tcW w:w="809" w:type="pct"/>
            <w:vAlign w:val="center"/>
          </w:tcPr>
          <w:p w14:paraId="1CE7BFA8" w14:textId="0F832938" w:rsidR="00BE524C" w:rsidRPr="00BD4212" w:rsidRDefault="00BE524C" w:rsidP="00BE524C">
            <w:pPr>
              <w:spacing w:before="0" w:after="0"/>
              <w:rPr>
                <w:sz w:val="16"/>
                <w:szCs w:val="16"/>
              </w:rPr>
            </w:pPr>
            <w:r>
              <w:rPr>
                <w:sz w:val="16"/>
                <w:szCs w:val="16"/>
              </w:rPr>
              <w:t xml:space="preserve">10. </w:t>
            </w:r>
            <w:r w:rsidRPr="00EB7DB4">
              <w:rPr>
                <w:sz w:val="16"/>
                <w:szCs w:val="16"/>
              </w:rPr>
              <w:t>Increase maximum quantity of seals to 90 per month (09l)</w:t>
            </w:r>
          </w:p>
        </w:tc>
        <w:tc>
          <w:tcPr>
            <w:tcW w:w="698" w:type="pct"/>
            <w:vAlign w:val="center"/>
          </w:tcPr>
          <w:p w14:paraId="01B05C76" w14:textId="62C4F9AF" w:rsidR="00BE524C" w:rsidRPr="00EB7DB4" w:rsidRDefault="00AA5DD3" w:rsidP="00BE524C">
            <w:pPr>
              <w:spacing w:before="0" w:after="0"/>
              <w:jc w:val="center"/>
              <w:rPr>
                <w:rFonts w:ascii="Poppins" w:hAnsi="Poppins" w:cs="Poppins"/>
                <w:color w:val="C00000"/>
                <w:sz w:val="16"/>
                <w:szCs w:val="16"/>
              </w:rPr>
            </w:pPr>
            <w:r>
              <w:rPr>
                <w:rFonts w:ascii="Poppins" w:hAnsi="Poppins" w:cs="Poppins"/>
                <w:color w:val="C00000"/>
                <w:sz w:val="16"/>
                <w:szCs w:val="16"/>
              </w:rPr>
              <w:t>+</w:t>
            </w:r>
            <w:r w:rsidR="00BE524C" w:rsidRPr="00EB7DB4">
              <w:rPr>
                <w:rFonts w:ascii="Poppins" w:hAnsi="Poppins" w:cs="Poppins"/>
                <w:color w:val="C00000"/>
                <w:sz w:val="16"/>
                <w:szCs w:val="16"/>
              </w:rPr>
              <w:t>$194,955</w:t>
            </w:r>
          </w:p>
        </w:tc>
        <w:tc>
          <w:tcPr>
            <w:tcW w:w="699" w:type="pct"/>
            <w:vAlign w:val="center"/>
          </w:tcPr>
          <w:p w14:paraId="65D7D8D5" w14:textId="6228EF16" w:rsidR="00BE524C" w:rsidRPr="00EB7DB4" w:rsidRDefault="00AA5DD3" w:rsidP="00BE524C">
            <w:pPr>
              <w:spacing w:before="0" w:after="0"/>
              <w:jc w:val="center"/>
              <w:rPr>
                <w:rFonts w:ascii="Poppins" w:hAnsi="Poppins" w:cs="Poppins"/>
                <w:color w:val="C00000"/>
                <w:sz w:val="16"/>
                <w:szCs w:val="16"/>
              </w:rPr>
            </w:pPr>
            <w:r>
              <w:rPr>
                <w:rFonts w:ascii="Poppins" w:hAnsi="Poppins" w:cs="Poppins"/>
                <w:color w:val="C00000"/>
                <w:sz w:val="16"/>
                <w:szCs w:val="16"/>
              </w:rPr>
              <w:t>+</w:t>
            </w:r>
            <w:r w:rsidR="00BE524C" w:rsidRPr="00EB7DB4">
              <w:rPr>
                <w:rFonts w:ascii="Poppins" w:hAnsi="Poppins" w:cs="Poppins"/>
                <w:color w:val="C00000"/>
                <w:sz w:val="16"/>
                <w:szCs w:val="16"/>
              </w:rPr>
              <w:t>$474,741</w:t>
            </w:r>
          </w:p>
        </w:tc>
        <w:tc>
          <w:tcPr>
            <w:tcW w:w="698" w:type="pct"/>
            <w:vAlign w:val="center"/>
          </w:tcPr>
          <w:p w14:paraId="24A6458A" w14:textId="1603FE44" w:rsidR="00BE524C" w:rsidRPr="00EB7DB4" w:rsidRDefault="00AA5DD3" w:rsidP="00BE524C">
            <w:pPr>
              <w:spacing w:before="0" w:after="0"/>
              <w:jc w:val="center"/>
              <w:rPr>
                <w:rFonts w:ascii="Poppins" w:hAnsi="Poppins" w:cs="Poppins"/>
                <w:color w:val="C00000"/>
                <w:sz w:val="16"/>
                <w:szCs w:val="16"/>
              </w:rPr>
            </w:pPr>
            <w:r>
              <w:rPr>
                <w:rFonts w:ascii="Poppins" w:hAnsi="Poppins" w:cs="Poppins"/>
                <w:color w:val="C00000"/>
                <w:sz w:val="16"/>
                <w:szCs w:val="16"/>
              </w:rPr>
              <w:t>+</w:t>
            </w:r>
            <w:r w:rsidR="00BE524C" w:rsidRPr="00EB7DB4">
              <w:rPr>
                <w:rFonts w:ascii="Poppins" w:hAnsi="Poppins" w:cs="Poppins"/>
                <w:color w:val="C00000"/>
                <w:sz w:val="16"/>
                <w:szCs w:val="16"/>
              </w:rPr>
              <w:t>$639,515</w:t>
            </w:r>
          </w:p>
        </w:tc>
        <w:tc>
          <w:tcPr>
            <w:tcW w:w="699" w:type="pct"/>
            <w:vAlign w:val="center"/>
          </w:tcPr>
          <w:p w14:paraId="19C687AB" w14:textId="0FE89321" w:rsidR="00BE524C" w:rsidRPr="00EB7DB4" w:rsidRDefault="00AA5DD3" w:rsidP="00BE524C">
            <w:pPr>
              <w:spacing w:before="0" w:after="0"/>
              <w:jc w:val="center"/>
              <w:rPr>
                <w:rFonts w:ascii="Poppins" w:hAnsi="Poppins" w:cs="Poppins"/>
                <w:color w:val="C00000"/>
                <w:sz w:val="16"/>
                <w:szCs w:val="16"/>
              </w:rPr>
            </w:pPr>
            <w:r>
              <w:rPr>
                <w:rFonts w:ascii="Poppins" w:hAnsi="Poppins" w:cs="Poppins"/>
                <w:color w:val="C00000"/>
                <w:sz w:val="16"/>
                <w:szCs w:val="16"/>
              </w:rPr>
              <w:t>+</w:t>
            </w:r>
            <w:r w:rsidR="00BE524C" w:rsidRPr="00EB7DB4">
              <w:rPr>
                <w:rFonts w:ascii="Poppins" w:hAnsi="Poppins" w:cs="Poppins"/>
                <w:color w:val="C00000"/>
                <w:sz w:val="16"/>
                <w:szCs w:val="16"/>
              </w:rPr>
              <w:t>$3,514,826</w:t>
            </w:r>
          </w:p>
        </w:tc>
        <w:tc>
          <w:tcPr>
            <w:tcW w:w="698" w:type="pct"/>
            <w:vAlign w:val="center"/>
          </w:tcPr>
          <w:p w14:paraId="704F5800" w14:textId="3E284A34" w:rsidR="00BE524C" w:rsidRPr="00EB7DB4" w:rsidRDefault="00AA5DD3" w:rsidP="00BE524C">
            <w:pPr>
              <w:spacing w:before="0" w:after="0"/>
              <w:jc w:val="center"/>
              <w:rPr>
                <w:rFonts w:ascii="Poppins" w:hAnsi="Poppins" w:cs="Poppins"/>
                <w:color w:val="C00000"/>
                <w:sz w:val="16"/>
                <w:szCs w:val="16"/>
              </w:rPr>
            </w:pPr>
            <w:r>
              <w:rPr>
                <w:rFonts w:ascii="Poppins" w:hAnsi="Poppins" w:cs="Poppins"/>
                <w:color w:val="C00000"/>
                <w:sz w:val="16"/>
                <w:szCs w:val="16"/>
              </w:rPr>
              <w:t>+</w:t>
            </w:r>
            <w:r w:rsidR="00BE524C" w:rsidRPr="00EB7DB4">
              <w:rPr>
                <w:rFonts w:ascii="Poppins" w:hAnsi="Poppins" w:cs="Poppins"/>
                <w:color w:val="C00000"/>
                <w:sz w:val="16"/>
                <w:szCs w:val="16"/>
              </w:rPr>
              <w:t xml:space="preserve">$4,429,227 </w:t>
            </w:r>
          </w:p>
        </w:tc>
        <w:tc>
          <w:tcPr>
            <w:tcW w:w="699" w:type="pct"/>
            <w:vAlign w:val="center"/>
          </w:tcPr>
          <w:p w14:paraId="2EEFF0A3" w14:textId="325F3794" w:rsidR="00BE524C" w:rsidRPr="00EB7DB4" w:rsidRDefault="00AA5DD3" w:rsidP="00BE524C">
            <w:pPr>
              <w:spacing w:before="0" w:after="0"/>
              <w:jc w:val="center"/>
              <w:rPr>
                <w:rFonts w:ascii="Poppins" w:hAnsi="Poppins" w:cs="Poppins"/>
                <w:color w:val="C00000"/>
                <w:sz w:val="16"/>
                <w:szCs w:val="16"/>
              </w:rPr>
            </w:pPr>
            <w:r>
              <w:rPr>
                <w:rFonts w:ascii="Poppins" w:hAnsi="Poppins" w:cs="Poppins"/>
                <w:color w:val="C00000"/>
                <w:sz w:val="16"/>
                <w:szCs w:val="16"/>
              </w:rPr>
              <w:t>+</w:t>
            </w:r>
            <w:r w:rsidR="00BE524C" w:rsidRPr="00EB7DB4">
              <w:rPr>
                <w:rFonts w:ascii="Poppins" w:hAnsi="Poppins" w:cs="Poppins"/>
                <w:color w:val="C00000"/>
                <w:sz w:val="16"/>
                <w:szCs w:val="16"/>
              </w:rPr>
              <w:t>$5,343,629</w:t>
            </w:r>
          </w:p>
        </w:tc>
      </w:tr>
      <w:tr w:rsidR="00EB7DB4" w:rsidRPr="00BD4212" w14:paraId="3CC372AF" w14:textId="77777777" w:rsidTr="00EB7DB4">
        <w:trPr>
          <w:cnfStyle w:val="000000010000" w:firstRow="0" w:lastRow="0" w:firstColumn="0" w:lastColumn="0" w:oddVBand="0" w:evenVBand="0" w:oddHBand="0" w:evenHBand="1" w:firstRowFirstColumn="0" w:firstRowLastColumn="0" w:lastRowFirstColumn="0" w:lastRowLastColumn="0"/>
        </w:trPr>
        <w:tc>
          <w:tcPr>
            <w:tcW w:w="809" w:type="pct"/>
            <w:vAlign w:val="center"/>
          </w:tcPr>
          <w:p w14:paraId="6C9F2BFC" w14:textId="627802EE" w:rsidR="00BE524C" w:rsidRPr="00BD4212" w:rsidRDefault="00BE524C" w:rsidP="00BE524C">
            <w:pPr>
              <w:spacing w:before="0" w:after="0"/>
              <w:rPr>
                <w:sz w:val="16"/>
                <w:szCs w:val="16"/>
              </w:rPr>
            </w:pPr>
            <w:r>
              <w:rPr>
                <w:sz w:val="16"/>
                <w:szCs w:val="16"/>
              </w:rPr>
              <w:t xml:space="preserve">11. </w:t>
            </w:r>
            <w:r w:rsidRPr="00EB7DB4">
              <w:rPr>
                <w:sz w:val="16"/>
                <w:szCs w:val="16"/>
              </w:rPr>
              <w:t xml:space="preserve">Increase maximum quantity of </w:t>
            </w:r>
            <w:r w:rsidRPr="00EB7DB4">
              <w:rPr>
                <w:sz w:val="16"/>
                <w:szCs w:val="16"/>
              </w:rPr>
              <w:lastRenderedPageBreak/>
              <w:t>convex bag systems to 90 per month (01c and 03b)</w:t>
            </w:r>
          </w:p>
        </w:tc>
        <w:tc>
          <w:tcPr>
            <w:tcW w:w="698" w:type="pct"/>
            <w:vAlign w:val="center"/>
          </w:tcPr>
          <w:p w14:paraId="31676419" w14:textId="406BEFED" w:rsidR="00BE524C" w:rsidRPr="00EB7DB4" w:rsidRDefault="00AA5DD3" w:rsidP="00BE524C">
            <w:pPr>
              <w:spacing w:before="0" w:after="0"/>
              <w:jc w:val="center"/>
              <w:rPr>
                <w:rFonts w:ascii="Poppins" w:hAnsi="Poppins" w:cs="Poppins"/>
                <w:color w:val="C00000"/>
                <w:sz w:val="16"/>
                <w:szCs w:val="16"/>
              </w:rPr>
            </w:pPr>
            <w:r>
              <w:rPr>
                <w:rFonts w:ascii="Poppins" w:hAnsi="Poppins" w:cs="Poppins"/>
                <w:color w:val="C00000"/>
                <w:sz w:val="16"/>
                <w:szCs w:val="16"/>
              </w:rPr>
              <w:lastRenderedPageBreak/>
              <w:t>+</w:t>
            </w:r>
            <w:r w:rsidR="00BE524C" w:rsidRPr="00EB7DB4">
              <w:rPr>
                <w:rFonts w:ascii="Poppins" w:hAnsi="Poppins" w:cs="Poppins"/>
                <w:color w:val="C00000"/>
                <w:sz w:val="16"/>
                <w:szCs w:val="16"/>
              </w:rPr>
              <w:t xml:space="preserve">$220,996 </w:t>
            </w:r>
          </w:p>
        </w:tc>
        <w:tc>
          <w:tcPr>
            <w:tcW w:w="699" w:type="pct"/>
            <w:vAlign w:val="center"/>
          </w:tcPr>
          <w:p w14:paraId="6677EF2B" w14:textId="21337C1A" w:rsidR="00BE524C" w:rsidRPr="00EB7DB4" w:rsidRDefault="00AA5DD3" w:rsidP="00BE524C">
            <w:pPr>
              <w:spacing w:before="0" w:after="0"/>
              <w:jc w:val="center"/>
              <w:rPr>
                <w:rFonts w:ascii="Poppins" w:hAnsi="Poppins" w:cs="Poppins"/>
                <w:color w:val="C00000"/>
                <w:sz w:val="16"/>
                <w:szCs w:val="16"/>
              </w:rPr>
            </w:pPr>
            <w:r>
              <w:rPr>
                <w:rFonts w:ascii="Poppins" w:hAnsi="Poppins" w:cs="Poppins"/>
                <w:color w:val="C00000"/>
                <w:sz w:val="16"/>
                <w:szCs w:val="16"/>
              </w:rPr>
              <w:t>+</w:t>
            </w:r>
            <w:r w:rsidR="00BE524C" w:rsidRPr="00EB7DB4">
              <w:rPr>
                <w:rFonts w:ascii="Poppins" w:hAnsi="Poppins" w:cs="Poppins"/>
                <w:color w:val="C00000"/>
                <w:sz w:val="16"/>
                <w:szCs w:val="16"/>
              </w:rPr>
              <w:t xml:space="preserve">$687,083 </w:t>
            </w:r>
          </w:p>
        </w:tc>
        <w:tc>
          <w:tcPr>
            <w:tcW w:w="698" w:type="pct"/>
            <w:vAlign w:val="center"/>
          </w:tcPr>
          <w:p w14:paraId="221F2787" w14:textId="18BDA00A" w:rsidR="00BE524C" w:rsidRPr="00EB7DB4" w:rsidRDefault="00AA5DD3" w:rsidP="00BE524C">
            <w:pPr>
              <w:spacing w:before="0" w:after="0"/>
              <w:jc w:val="center"/>
              <w:rPr>
                <w:rFonts w:ascii="Poppins" w:hAnsi="Poppins" w:cs="Poppins"/>
                <w:color w:val="C00000"/>
                <w:sz w:val="16"/>
                <w:szCs w:val="16"/>
              </w:rPr>
            </w:pPr>
            <w:r>
              <w:rPr>
                <w:rFonts w:ascii="Poppins" w:hAnsi="Poppins" w:cs="Poppins"/>
                <w:color w:val="C00000"/>
                <w:sz w:val="16"/>
                <w:szCs w:val="16"/>
              </w:rPr>
              <w:t>+</w:t>
            </w:r>
            <w:r w:rsidR="00BE524C" w:rsidRPr="00EB7DB4">
              <w:rPr>
                <w:rFonts w:ascii="Poppins" w:hAnsi="Poppins" w:cs="Poppins"/>
                <w:color w:val="C00000"/>
                <w:sz w:val="16"/>
                <w:szCs w:val="16"/>
              </w:rPr>
              <w:t xml:space="preserve">$902,978 </w:t>
            </w:r>
          </w:p>
        </w:tc>
        <w:tc>
          <w:tcPr>
            <w:tcW w:w="699" w:type="pct"/>
            <w:vAlign w:val="center"/>
          </w:tcPr>
          <w:p w14:paraId="203C36E5" w14:textId="209451EB" w:rsidR="00BE524C" w:rsidRPr="00EB7DB4" w:rsidRDefault="00AA5DD3" w:rsidP="00BE524C">
            <w:pPr>
              <w:spacing w:before="0" w:after="0"/>
              <w:jc w:val="center"/>
              <w:rPr>
                <w:rFonts w:ascii="Poppins" w:hAnsi="Poppins" w:cs="Poppins"/>
                <w:color w:val="C00000"/>
                <w:sz w:val="16"/>
                <w:szCs w:val="16"/>
              </w:rPr>
            </w:pPr>
            <w:r>
              <w:rPr>
                <w:rFonts w:ascii="Poppins" w:hAnsi="Poppins" w:cs="Poppins"/>
                <w:color w:val="C00000"/>
                <w:sz w:val="16"/>
                <w:szCs w:val="16"/>
              </w:rPr>
              <w:t>+</w:t>
            </w:r>
            <w:r w:rsidR="00BE524C" w:rsidRPr="00EB7DB4">
              <w:rPr>
                <w:rFonts w:ascii="Poppins" w:hAnsi="Poppins" w:cs="Poppins"/>
                <w:color w:val="C00000"/>
                <w:sz w:val="16"/>
                <w:szCs w:val="16"/>
              </w:rPr>
              <w:t xml:space="preserve">$2,953,684 </w:t>
            </w:r>
          </w:p>
        </w:tc>
        <w:tc>
          <w:tcPr>
            <w:tcW w:w="698" w:type="pct"/>
            <w:vAlign w:val="center"/>
          </w:tcPr>
          <w:p w14:paraId="4112A24B" w14:textId="1ACAA055" w:rsidR="00BE524C" w:rsidRPr="00EB7DB4" w:rsidRDefault="00AA5DD3" w:rsidP="00BE524C">
            <w:pPr>
              <w:spacing w:before="0" w:after="0"/>
              <w:jc w:val="center"/>
              <w:rPr>
                <w:rFonts w:ascii="Poppins" w:hAnsi="Poppins" w:cs="Poppins"/>
                <w:color w:val="C00000"/>
                <w:sz w:val="16"/>
                <w:szCs w:val="16"/>
              </w:rPr>
            </w:pPr>
            <w:r>
              <w:rPr>
                <w:rFonts w:ascii="Poppins" w:hAnsi="Poppins" w:cs="Poppins"/>
                <w:color w:val="C00000"/>
                <w:sz w:val="16"/>
                <w:szCs w:val="16"/>
              </w:rPr>
              <w:t>+</w:t>
            </w:r>
            <w:r w:rsidR="00BE524C" w:rsidRPr="00EB7DB4">
              <w:rPr>
                <w:rFonts w:ascii="Poppins" w:hAnsi="Poppins" w:cs="Poppins"/>
                <w:color w:val="C00000"/>
                <w:sz w:val="16"/>
                <w:szCs w:val="16"/>
              </w:rPr>
              <w:t xml:space="preserve">$3,802,376 </w:t>
            </w:r>
          </w:p>
        </w:tc>
        <w:tc>
          <w:tcPr>
            <w:tcW w:w="699" w:type="pct"/>
            <w:vAlign w:val="center"/>
          </w:tcPr>
          <w:p w14:paraId="02E8EC72" w14:textId="7B20E6AD" w:rsidR="00BE524C" w:rsidRPr="00EB7DB4" w:rsidRDefault="00AA5DD3" w:rsidP="00BE524C">
            <w:pPr>
              <w:spacing w:before="0" w:after="0"/>
              <w:jc w:val="center"/>
              <w:rPr>
                <w:rFonts w:ascii="Poppins" w:hAnsi="Poppins" w:cs="Poppins"/>
                <w:color w:val="C00000"/>
                <w:sz w:val="16"/>
                <w:szCs w:val="16"/>
              </w:rPr>
            </w:pPr>
            <w:r>
              <w:rPr>
                <w:rFonts w:ascii="Poppins" w:hAnsi="Poppins" w:cs="Poppins"/>
                <w:color w:val="C00000"/>
                <w:sz w:val="16"/>
                <w:szCs w:val="16"/>
              </w:rPr>
              <w:t>+</w:t>
            </w:r>
            <w:r w:rsidR="00BE524C" w:rsidRPr="00EB7DB4">
              <w:rPr>
                <w:rFonts w:ascii="Poppins" w:hAnsi="Poppins" w:cs="Poppins"/>
                <w:color w:val="C00000"/>
                <w:sz w:val="16"/>
                <w:szCs w:val="16"/>
              </w:rPr>
              <w:t>$4,651,906</w:t>
            </w:r>
          </w:p>
        </w:tc>
      </w:tr>
      <w:tr w:rsidR="00EB7DB4" w:rsidRPr="00BD4212" w14:paraId="682C0379" w14:textId="77777777" w:rsidTr="00EB7DB4">
        <w:tc>
          <w:tcPr>
            <w:tcW w:w="809" w:type="pct"/>
          </w:tcPr>
          <w:p w14:paraId="7A613B21" w14:textId="53BD3255" w:rsidR="008B0B76" w:rsidRPr="00BD4212" w:rsidRDefault="008B0B76" w:rsidP="008B0B76">
            <w:pPr>
              <w:spacing w:before="0" w:after="0"/>
              <w:rPr>
                <w:sz w:val="16"/>
                <w:szCs w:val="16"/>
              </w:rPr>
            </w:pPr>
            <w:r w:rsidRPr="00BD4212">
              <w:rPr>
                <w:sz w:val="16"/>
                <w:szCs w:val="16"/>
              </w:rPr>
              <w:t>1</w:t>
            </w:r>
            <w:r>
              <w:rPr>
                <w:sz w:val="16"/>
                <w:szCs w:val="16"/>
              </w:rPr>
              <w:t>2</w:t>
            </w:r>
            <w:r w:rsidRPr="00BD4212">
              <w:rPr>
                <w:sz w:val="16"/>
                <w:szCs w:val="16"/>
              </w:rPr>
              <w:t xml:space="preserve">. CPI indexation: </w:t>
            </w:r>
            <w:r>
              <w:rPr>
                <w:sz w:val="16"/>
                <w:szCs w:val="16"/>
              </w:rPr>
              <w:t>one-off increase</w:t>
            </w:r>
          </w:p>
        </w:tc>
        <w:tc>
          <w:tcPr>
            <w:tcW w:w="698" w:type="pct"/>
            <w:vAlign w:val="center"/>
          </w:tcPr>
          <w:p w14:paraId="7F264E4E" w14:textId="1C40D733" w:rsidR="008B0B76" w:rsidRPr="00BD4212" w:rsidRDefault="008B0B76" w:rsidP="009A3909">
            <w:pPr>
              <w:spacing w:before="0" w:after="0"/>
              <w:jc w:val="center"/>
              <w:rPr>
                <w:rFonts w:ascii="Poppins" w:hAnsi="Poppins" w:cs="Poppins"/>
                <w:color w:val="000000"/>
                <w:sz w:val="16"/>
                <w:szCs w:val="16"/>
              </w:rPr>
            </w:pPr>
            <w:r w:rsidRPr="000E00F2">
              <w:rPr>
                <w:rFonts w:ascii="Poppins" w:hAnsi="Poppins" w:cs="Poppins"/>
                <w:color w:val="000000"/>
                <w:sz w:val="16"/>
                <w:szCs w:val="16"/>
              </w:rPr>
              <w:t>-</w:t>
            </w:r>
          </w:p>
        </w:tc>
        <w:tc>
          <w:tcPr>
            <w:tcW w:w="699" w:type="pct"/>
            <w:vAlign w:val="center"/>
          </w:tcPr>
          <w:p w14:paraId="7B970722" w14:textId="7E8C7DB7" w:rsidR="008B0B76" w:rsidRPr="00BD4212" w:rsidRDefault="008B0B76" w:rsidP="009A3909">
            <w:pPr>
              <w:spacing w:before="0" w:after="0"/>
              <w:jc w:val="center"/>
              <w:rPr>
                <w:rFonts w:ascii="Poppins" w:hAnsi="Poppins" w:cs="Poppins"/>
                <w:color w:val="000000"/>
                <w:sz w:val="16"/>
                <w:szCs w:val="16"/>
              </w:rPr>
            </w:pPr>
            <w:r w:rsidRPr="000E00F2">
              <w:rPr>
                <w:rFonts w:ascii="Poppins" w:hAnsi="Poppins" w:cs="Poppins"/>
                <w:color w:val="000000"/>
                <w:sz w:val="16"/>
                <w:szCs w:val="16"/>
              </w:rPr>
              <w:t>-</w:t>
            </w:r>
          </w:p>
        </w:tc>
        <w:tc>
          <w:tcPr>
            <w:tcW w:w="698" w:type="pct"/>
            <w:vAlign w:val="center"/>
          </w:tcPr>
          <w:p w14:paraId="6BF9ACD8" w14:textId="6EBFCC8A" w:rsidR="008B0B76" w:rsidRPr="00EB7DB4" w:rsidRDefault="008B0B76" w:rsidP="009A3909">
            <w:pPr>
              <w:spacing w:before="0" w:after="0"/>
              <w:jc w:val="center"/>
              <w:rPr>
                <w:rFonts w:ascii="Poppins" w:hAnsi="Poppins" w:cs="Poppins"/>
                <w:color w:val="000000"/>
                <w:sz w:val="16"/>
                <w:szCs w:val="16"/>
              </w:rPr>
            </w:pPr>
            <w:r w:rsidRPr="000E00F2">
              <w:rPr>
                <w:rFonts w:ascii="Poppins" w:hAnsi="Poppins" w:cs="Poppins"/>
                <w:color w:val="000000"/>
                <w:sz w:val="16"/>
                <w:szCs w:val="16"/>
              </w:rPr>
              <w:t>-</w:t>
            </w:r>
          </w:p>
        </w:tc>
        <w:tc>
          <w:tcPr>
            <w:tcW w:w="699" w:type="pct"/>
            <w:vAlign w:val="center"/>
          </w:tcPr>
          <w:p w14:paraId="6468C04B" w14:textId="4F16BC19" w:rsidR="008B0B76" w:rsidRPr="00EB7DB4" w:rsidRDefault="00FF2599" w:rsidP="008B0B76">
            <w:pPr>
              <w:spacing w:before="0" w:after="0"/>
              <w:jc w:val="center"/>
              <w:rPr>
                <w:rFonts w:ascii="Poppins" w:hAnsi="Poppins" w:cs="Poppins"/>
                <w:color w:val="C00000"/>
                <w:sz w:val="16"/>
                <w:szCs w:val="16"/>
              </w:rPr>
            </w:pPr>
            <w:r>
              <w:rPr>
                <w:rFonts w:ascii="Poppins" w:hAnsi="Poppins" w:cs="Poppins"/>
                <w:color w:val="C00000"/>
                <w:sz w:val="16"/>
                <w:szCs w:val="16"/>
              </w:rPr>
              <w:t>+</w:t>
            </w:r>
            <w:r w:rsidR="008B0B76" w:rsidRPr="00EB7DB4">
              <w:rPr>
                <w:rFonts w:ascii="Poppins" w:hAnsi="Poppins" w:cs="Poppins"/>
                <w:color w:val="C00000"/>
                <w:sz w:val="16"/>
                <w:szCs w:val="16"/>
              </w:rPr>
              <w:t xml:space="preserve">$3,971,406 </w:t>
            </w:r>
          </w:p>
        </w:tc>
        <w:tc>
          <w:tcPr>
            <w:tcW w:w="698" w:type="pct"/>
            <w:vAlign w:val="center"/>
          </w:tcPr>
          <w:p w14:paraId="21A5F7C2" w14:textId="363AEF90" w:rsidR="008B0B76" w:rsidRPr="00EB7DB4" w:rsidRDefault="00FF2599" w:rsidP="008B0B76">
            <w:pPr>
              <w:spacing w:before="0" w:after="0"/>
              <w:jc w:val="center"/>
              <w:rPr>
                <w:rFonts w:ascii="Poppins" w:hAnsi="Poppins" w:cs="Poppins"/>
                <w:color w:val="C00000"/>
                <w:sz w:val="16"/>
                <w:szCs w:val="16"/>
              </w:rPr>
            </w:pPr>
            <w:r>
              <w:rPr>
                <w:rFonts w:ascii="Poppins" w:hAnsi="Poppins" w:cs="Poppins"/>
                <w:color w:val="C00000"/>
                <w:sz w:val="16"/>
                <w:szCs w:val="16"/>
              </w:rPr>
              <w:t>+</w:t>
            </w:r>
            <w:r w:rsidR="008B0B76" w:rsidRPr="00EB7DB4">
              <w:rPr>
                <w:rFonts w:ascii="Poppins" w:hAnsi="Poppins" w:cs="Poppins"/>
                <w:color w:val="C00000"/>
                <w:sz w:val="16"/>
                <w:szCs w:val="16"/>
              </w:rPr>
              <w:t xml:space="preserve">$4,161,878 </w:t>
            </w:r>
          </w:p>
        </w:tc>
        <w:tc>
          <w:tcPr>
            <w:tcW w:w="699" w:type="pct"/>
            <w:vAlign w:val="center"/>
          </w:tcPr>
          <w:p w14:paraId="771E8046" w14:textId="0E05310C" w:rsidR="008B0B76" w:rsidRPr="00EB7DB4" w:rsidRDefault="00FF2599" w:rsidP="008B0B76">
            <w:pPr>
              <w:spacing w:before="0" w:after="0"/>
              <w:jc w:val="center"/>
              <w:rPr>
                <w:rFonts w:ascii="Poppins" w:hAnsi="Poppins" w:cs="Poppins"/>
                <w:color w:val="C00000"/>
                <w:sz w:val="16"/>
                <w:szCs w:val="16"/>
              </w:rPr>
            </w:pPr>
            <w:r>
              <w:rPr>
                <w:rFonts w:ascii="Poppins" w:hAnsi="Poppins" w:cs="Poppins"/>
                <w:color w:val="C00000"/>
                <w:sz w:val="16"/>
                <w:szCs w:val="16"/>
              </w:rPr>
              <w:t>+</w:t>
            </w:r>
            <w:r w:rsidR="008B0B76" w:rsidRPr="00EB7DB4">
              <w:rPr>
                <w:rFonts w:ascii="Poppins" w:hAnsi="Poppins" w:cs="Poppins"/>
                <w:color w:val="C00000"/>
                <w:sz w:val="16"/>
                <w:szCs w:val="16"/>
              </w:rPr>
              <w:t xml:space="preserve">$4,361,663 </w:t>
            </w:r>
          </w:p>
        </w:tc>
      </w:tr>
      <w:tr w:rsidR="003015EB" w:rsidRPr="00BD4212" w14:paraId="1265A877" w14:textId="77777777" w:rsidTr="00EB7DB4">
        <w:trPr>
          <w:cnfStyle w:val="000000010000" w:firstRow="0" w:lastRow="0" w:firstColumn="0" w:lastColumn="0" w:oddVBand="0" w:evenVBand="0" w:oddHBand="0" w:evenHBand="1" w:firstRowFirstColumn="0" w:firstRowLastColumn="0" w:lastRowFirstColumn="0" w:lastRowLastColumn="0"/>
        </w:trPr>
        <w:tc>
          <w:tcPr>
            <w:tcW w:w="809" w:type="pct"/>
          </w:tcPr>
          <w:p w14:paraId="7B8E3782" w14:textId="783742A4" w:rsidR="00BB3A15" w:rsidRPr="00BD4212" w:rsidRDefault="00BB3A15" w:rsidP="00BD4212">
            <w:pPr>
              <w:spacing w:before="0" w:after="0"/>
              <w:rPr>
                <w:sz w:val="16"/>
                <w:szCs w:val="16"/>
              </w:rPr>
            </w:pPr>
            <w:r w:rsidRPr="00BD4212">
              <w:rPr>
                <w:sz w:val="16"/>
                <w:szCs w:val="16"/>
              </w:rPr>
              <w:t>1</w:t>
            </w:r>
            <w:r w:rsidR="00DA26A3">
              <w:rPr>
                <w:sz w:val="16"/>
                <w:szCs w:val="16"/>
              </w:rPr>
              <w:t>3</w:t>
            </w:r>
            <w:r w:rsidRPr="00BD4212">
              <w:rPr>
                <w:sz w:val="16"/>
                <w:szCs w:val="16"/>
              </w:rPr>
              <w:t>. CPI indexation: ongoing annual adjustment</w:t>
            </w:r>
          </w:p>
        </w:tc>
        <w:tc>
          <w:tcPr>
            <w:tcW w:w="698" w:type="pct"/>
            <w:vAlign w:val="center"/>
          </w:tcPr>
          <w:p w14:paraId="19F46E6A" w14:textId="77777777" w:rsidR="00BB3A15" w:rsidRPr="00BD4212" w:rsidRDefault="00BB3A15" w:rsidP="00F73B06">
            <w:pPr>
              <w:spacing w:before="0" w:after="0"/>
              <w:jc w:val="center"/>
              <w:rPr>
                <w:rFonts w:ascii="Poppins" w:hAnsi="Poppins" w:cs="Poppins"/>
                <w:color w:val="000000"/>
                <w:sz w:val="16"/>
                <w:szCs w:val="16"/>
              </w:rPr>
            </w:pPr>
            <w:r w:rsidRPr="00BD4212">
              <w:rPr>
                <w:rFonts w:ascii="Poppins" w:hAnsi="Poppins" w:cs="Poppins"/>
                <w:color w:val="000000"/>
                <w:sz w:val="16"/>
                <w:szCs w:val="16"/>
              </w:rPr>
              <w:t>-</w:t>
            </w:r>
          </w:p>
        </w:tc>
        <w:tc>
          <w:tcPr>
            <w:tcW w:w="699" w:type="pct"/>
            <w:vAlign w:val="center"/>
          </w:tcPr>
          <w:p w14:paraId="513C9978" w14:textId="77777777" w:rsidR="00BB3A15" w:rsidRPr="00BD4212" w:rsidRDefault="00BB3A15" w:rsidP="00F73B06">
            <w:pPr>
              <w:spacing w:before="0" w:after="0"/>
              <w:jc w:val="center"/>
              <w:rPr>
                <w:rFonts w:ascii="Poppins" w:hAnsi="Poppins" w:cs="Poppins"/>
                <w:color w:val="000000"/>
                <w:sz w:val="16"/>
                <w:szCs w:val="16"/>
              </w:rPr>
            </w:pPr>
            <w:r w:rsidRPr="00BD4212">
              <w:rPr>
                <w:rFonts w:ascii="Poppins" w:hAnsi="Poppins" w:cs="Poppins"/>
                <w:color w:val="000000"/>
                <w:sz w:val="16"/>
                <w:szCs w:val="16"/>
              </w:rPr>
              <w:t>-</w:t>
            </w:r>
          </w:p>
        </w:tc>
        <w:tc>
          <w:tcPr>
            <w:tcW w:w="698" w:type="pct"/>
            <w:vAlign w:val="center"/>
          </w:tcPr>
          <w:p w14:paraId="1CD87CF1" w14:textId="77777777" w:rsidR="00BB3A15" w:rsidRPr="00BD4212" w:rsidRDefault="00BB3A15" w:rsidP="00F73B06">
            <w:pPr>
              <w:spacing w:before="0" w:after="0"/>
              <w:jc w:val="center"/>
              <w:rPr>
                <w:rFonts w:ascii="Poppins" w:hAnsi="Poppins" w:cs="Poppins"/>
                <w:color w:val="000000"/>
                <w:sz w:val="16"/>
                <w:szCs w:val="16"/>
              </w:rPr>
            </w:pPr>
            <w:r w:rsidRPr="00BD4212">
              <w:rPr>
                <w:rFonts w:ascii="Poppins" w:hAnsi="Poppins" w:cs="Poppins"/>
                <w:color w:val="000000"/>
                <w:sz w:val="16"/>
                <w:szCs w:val="16"/>
              </w:rPr>
              <w:t>-</w:t>
            </w:r>
          </w:p>
        </w:tc>
        <w:tc>
          <w:tcPr>
            <w:tcW w:w="699" w:type="pct"/>
            <w:vAlign w:val="center"/>
          </w:tcPr>
          <w:p w14:paraId="383DF60E" w14:textId="77777777" w:rsidR="00BB3A15" w:rsidRPr="00BD4212" w:rsidRDefault="00BB3A15" w:rsidP="00FE0795">
            <w:pPr>
              <w:spacing w:before="0" w:after="0"/>
              <w:jc w:val="center"/>
              <w:rPr>
                <w:rFonts w:ascii="Poppins" w:hAnsi="Poppins" w:cs="Poppins"/>
                <w:color w:val="C00000"/>
                <w:sz w:val="16"/>
                <w:szCs w:val="16"/>
              </w:rPr>
            </w:pPr>
            <w:r w:rsidRPr="00BD4212">
              <w:rPr>
                <w:rFonts w:ascii="Poppins" w:hAnsi="Poppins" w:cs="Poppins"/>
                <w:color w:val="C00000"/>
                <w:sz w:val="16"/>
                <w:szCs w:val="16"/>
              </w:rPr>
              <w:t>+$3,971,406</w:t>
            </w:r>
          </w:p>
        </w:tc>
        <w:tc>
          <w:tcPr>
            <w:tcW w:w="698" w:type="pct"/>
            <w:vAlign w:val="center"/>
          </w:tcPr>
          <w:p w14:paraId="3C153C05" w14:textId="77777777" w:rsidR="00BB3A15" w:rsidRPr="00BD4212" w:rsidRDefault="00BB3A15" w:rsidP="00FE0795">
            <w:pPr>
              <w:spacing w:before="0" w:after="0"/>
              <w:jc w:val="center"/>
              <w:rPr>
                <w:rFonts w:ascii="Poppins" w:hAnsi="Poppins" w:cs="Poppins"/>
                <w:color w:val="C00000"/>
                <w:sz w:val="16"/>
                <w:szCs w:val="16"/>
              </w:rPr>
            </w:pPr>
            <w:r w:rsidRPr="00BD4212">
              <w:rPr>
                <w:rFonts w:ascii="Poppins" w:hAnsi="Poppins" w:cs="Poppins"/>
                <w:color w:val="C00000"/>
                <w:sz w:val="16"/>
                <w:szCs w:val="16"/>
              </w:rPr>
              <w:t>+$8,466,924</w:t>
            </w:r>
          </w:p>
        </w:tc>
        <w:tc>
          <w:tcPr>
            <w:tcW w:w="699" w:type="pct"/>
            <w:vAlign w:val="center"/>
          </w:tcPr>
          <w:p w14:paraId="15AC69DB" w14:textId="77777777" w:rsidR="00BB3A15" w:rsidRPr="00BD4212" w:rsidRDefault="00BB3A15" w:rsidP="00FE0795">
            <w:pPr>
              <w:spacing w:before="0" w:after="0"/>
              <w:jc w:val="center"/>
              <w:rPr>
                <w:rFonts w:ascii="Poppins" w:hAnsi="Poppins" w:cs="Poppins"/>
                <w:color w:val="C00000"/>
                <w:sz w:val="16"/>
                <w:szCs w:val="16"/>
              </w:rPr>
            </w:pPr>
            <w:r w:rsidRPr="00BD4212">
              <w:rPr>
                <w:rFonts w:ascii="Poppins" w:hAnsi="Poppins" w:cs="Poppins"/>
                <w:color w:val="C00000"/>
                <w:sz w:val="16"/>
                <w:szCs w:val="16"/>
              </w:rPr>
              <w:t>+$13,540,275</w:t>
            </w:r>
          </w:p>
        </w:tc>
      </w:tr>
      <w:tr w:rsidR="00EB7DB4" w:rsidRPr="00BD4212" w14:paraId="0292D28E" w14:textId="77777777" w:rsidTr="00EB7DB4">
        <w:tc>
          <w:tcPr>
            <w:tcW w:w="809" w:type="pct"/>
          </w:tcPr>
          <w:p w14:paraId="60FC8FA8" w14:textId="7B049100" w:rsidR="003015EB" w:rsidRPr="00BD4212" w:rsidRDefault="003015EB" w:rsidP="003015EB">
            <w:pPr>
              <w:spacing w:before="0" w:after="0"/>
              <w:rPr>
                <w:sz w:val="16"/>
                <w:szCs w:val="16"/>
              </w:rPr>
            </w:pPr>
            <w:r w:rsidRPr="00BD4212">
              <w:rPr>
                <w:sz w:val="16"/>
                <w:szCs w:val="16"/>
              </w:rPr>
              <w:t>1</w:t>
            </w:r>
            <w:r>
              <w:rPr>
                <w:sz w:val="16"/>
                <w:szCs w:val="16"/>
              </w:rPr>
              <w:t>4</w:t>
            </w:r>
            <w:r w:rsidRPr="00BD4212">
              <w:rPr>
                <w:sz w:val="16"/>
                <w:szCs w:val="16"/>
              </w:rPr>
              <w:t>. CPI indexation: backdated and ongoing annual adjustment</w:t>
            </w:r>
          </w:p>
        </w:tc>
        <w:tc>
          <w:tcPr>
            <w:tcW w:w="698" w:type="pct"/>
            <w:vAlign w:val="center"/>
          </w:tcPr>
          <w:p w14:paraId="5420033C" w14:textId="793B9DEA" w:rsidR="003015EB" w:rsidRPr="00BD4212" w:rsidRDefault="00BE49E1" w:rsidP="003015EB">
            <w:pPr>
              <w:spacing w:before="0" w:after="0"/>
              <w:jc w:val="center"/>
              <w:rPr>
                <w:rFonts w:ascii="Poppins" w:hAnsi="Poppins" w:cs="Poppins"/>
                <w:color w:val="000000"/>
                <w:sz w:val="16"/>
                <w:szCs w:val="16"/>
              </w:rPr>
            </w:pPr>
            <w:r>
              <w:rPr>
                <w:rFonts w:ascii="Poppins" w:hAnsi="Poppins" w:cs="Poppins"/>
                <w:color w:val="000000"/>
                <w:sz w:val="16"/>
                <w:szCs w:val="16"/>
              </w:rPr>
              <w:t>-</w:t>
            </w:r>
          </w:p>
        </w:tc>
        <w:tc>
          <w:tcPr>
            <w:tcW w:w="699" w:type="pct"/>
            <w:vAlign w:val="center"/>
          </w:tcPr>
          <w:p w14:paraId="6B290184" w14:textId="7F261004" w:rsidR="003015EB" w:rsidRPr="00BD4212" w:rsidRDefault="00BE49E1" w:rsidP="003015EB">
            <w:pPr>
              <w:spacing w:before="0" w:after="0"/>
              <w:jc w:val="center"/>
              <w:rPr>
                <w:rFonts w:ascii="Poppins" w:hAnsi="Poppins" w:cs="Poppins"/>
                <w:color w:val="000000"/>
                <w:sz w:val="16"/>
                <w:szCs w:val="16"/>
              </w:rPr>
            </w:pPr>
            <w:r>
              <w:rPr>
                <w:rFonts w:ascii="Poppins" w:hAnsi="Poppins" w:cs="Poppins"/>
                <w:sz w:val="16"/>
                <w:szCs w:val="16"/>
              </w:rPr>
              <w:t>-</w:t>
            </w:r>
          </w:p>
        </w:tc>
        <w:tc>
          <w:tcPr>
            <w:tcW w:w="698" w:type="pct"/>
            <w:vAlign w:val="center"/>
          </w:tcPr>
          <w:p w14:paraId="1F2C144D" w14:textId="72416CF3" w:rsidR="003015EB" w:rsidRPr="00BD4212" w:rsidRDefault="00BE49E1" w:rsidP="003015EB">
            <w:pPr>
              <w:spacing w:before="0" w:after="0"/>
              <w:jc w:val="center"/>
              <w:rPr>
                <w:sz w:val="16"/>
                <w:szCs w:val="16"/>
              </w:rPr>
            </w:pPr>
            <w:r>
              <w:rPr>
                <w:rFonts w:ascii="Poppins" w:hAnsi="Poppins" w:cs="Poppins"/>
                <w:color w:val="000000"/>
                <w:sz w:val="16"/>
                <w:szCs w:val="16"/>
              </w:rPr>
              <w:t>-</w:t>
            </w:r>
          </w:p>
        </w:tc>
        <w:tc>
          <w:tcPr>
            <w:tcW w:w="699" w:type="pct"/>
            <w:vAlign w:val="center"/>
          </w:tcPr>
          <w:p w14:paraId="79137E73" w14:textId="52FD9E16" w:rsidR="003015EB" w:rsidRPr="00EB7DB4" w:rsidRDefault="006F4D9F" w:rsidP="00BE49E1">
            <w:pPr>
              <w:spacing w:before="0" w:after="0"/>
              <w:jc w:val="center"/>
              <w:rPr>
                <w:rFonts w:ascii="Poppins" w:hAnsi="Poppins" w:cs="Poppins"/>
                <w:color w:val="C00000"/>
                <w:sz w:val="16"/>
                <w:szCs w:val="16"/>
              </w:rPr>
            </w:pPr>
            <w:r>
              <w:rPr>
                <w:rFonts w:ascii="Poppins" w:hAnsi="Poppins" w:cs="Poppins"/>
                <w:color w:val="C00000"/>
                <w:sz w:val="16"/>
                <w:szCs w:val="16"/>
              </w:rPr>
              <w:t>+</w:t>
            </w:r>
            <w:r w:rsidR="003015EB" w:rsidRPr="00EB7DB4">
              <w:rPr>
                <w:rFonts w:ascii="Poppins" w:hAnsi="Poppins" w:cs="Poppins"/>
                <w:color w:val="C00000"/>
                <w:sz w:val="16"/>
                <w:szCs w:val="16"/>
              </w:rPr>
              <w:t xml:space="preserve">$11,255,981 </w:t>
            </w:r>
          </w:p>
        </w:tc>
        <w:tc>
          <w:tcPr>
            <w:tcW w:w="698" w:type="pct"/>
            <w:vAlign w:val="center"/>
          </w:tcPr>
          <w:p w14:paraId="7BE6EF9E" w14:textId="66A69CEA" w:rsidR="003015EB" w:rsidRPr="00EB7DB4" w:rsidRDefault="006F4D9F" w:rsidP="00BE49E1">
            <w:pPr>
              <w:spacing w:before="0" w:after="0"/>
              <w:jc w:val="center"/>
              <w:rPr>
                <w:rFonts w:ascii="Poppins" w:hAnsi="Poppins" w:cs="Poppins"/>
                <w:color w:val="C00000"/>
                <w:sz w:val="16"/>
                <w:szCs w:val="16"/>
              </w:rPr>
            </w:pPr>
            <w:r>
              <w:rPr>
                <w:rFonts w:ascii="Poppins" w:hAnsi="Poppins" w:cs="Poppins"/>
                <w:color w:val="C00000"/>
                <w:sz w:val="16"/>
                <w:szCs w:val="16"/>
              </w:rPr>
              <w:t>+</w:t>
            </w:r>
            <w:r w:rsidR="003015EB" w:rsidRPr="00EB7DB4">
              <w:rPr>
                <w:rFonts w:ascii="Poppins" w:hAnsi="Poppins" w:cs="Poppins"/>
                <w:color w:val="C00000"/>
                <w:sz w:val="16"/>
                <w:szCs w:val="16"/>
              </w:rPr>
              <w:t xml:space="preserve">$16,363,480 </w:t>
            </w:r>
          </w:p>
        </w:tc>
        <w:tc>
          <w:tcPr>
            <w:tcW w:w="699" w:type="pct"/>
            <w:vAlign w:val="center"/>
          </w:tcPr>
          <w:p w14:paraId="65838BB0" w14:textId="20DE9E91" w:rsidR="003015EB" w:rsidRPr="00EB7DB4" w:rsidRDefault="006F4D9F" w:rsidP="00BE49E1">
            <w:pPr>
              <w:spacing w:before="0" w:after="0"/>
              <w:jc w:val="center"/>
              <w:rPr>
                <w:rFonts w:ascii="Poppins" w:hAnsi="Poppins" w:cs="Poppins"/>
                <w:color w:val="C00000"/>
                <w:sz w:val="16"/>
                <w:szCs w:val="16"/>
              </w:rPr>
            </w:pPr>
            <w:r>
              <w:rPr>
                <w:rFonts w:ascii="Poppins" w:hAnsi="Poppins" w:cs="Poppins"/>
                <w:color w:val="C00000"/>
                <w:sz w:val="16"/>
                <w:szCs w:val="16"/>
              </w:rPr>
              <w:t>+</w:t>
            </w:r>
            <w:r w:rsidR="003015EB" w:rsidRPr="00EB7DB4">
              <w:rPr>
                <w:rFonts w:ascii="Poppins" w:hAnsi="Poppins" w:cs="Poppins"/>
                <w:color w:val="C00000"/>
                <w:sz w:val="16"/>
                <w:szCs w:val="16"/>
              </w:rPr>
              <w:t xml:space="preserve">$22,100,577 </w:t>
            </w:r>
          </w:p>
        </w:tc>
      </w:tr>
      <w:tr w:rsidR="003015EB" w:rsidRPr="00BD4212" w14:paraId="3DDEE84F" w14:textId="77777777" w:rsidTr="00EB7DB4">
        <w:trPr>
          <w:cnfStyle w:val="000000010000" w:firstRow="0" w:lastRow="0" w:firstColumn="0" w:lastColumn="0" w:oddVBand="0" w:evenVBand="0" w:oddHBand="0" w:evenHBand="1" w:firstRowFirstColumn="0" w:firstRowLastColumn="0" w:lastRowFirstColumn="0" w:lastRowLastColumn="0"/>
        </w:trPr>
        <w:tc>
          <w:tcPr>
            <w:tcW w:w="809" w:type="pct"/>
          </w:tcPr>
          <w:p w14:paraId="55A44F7A" w14:textId="1775E730" w:rsidR="00BB3A15" w:rsidRPr="00BD4212" w:rsidRDefault="00BB3A15" w:rsidP="00BD4212">
            <w:pPr>
              <w:spacing w:before="0" w:after="0"/>
              <w:rPr>
                <w:sz w:val="16"/>
                <w:szCs w:val="16"/>
              </w:rPr>
            </w:pPr>
            <w:r w:rsidRPr="00BD4212">
              <w:rPr>
                <w:sz w:val="16"/>
                <w:szCs w:val="16"/>
              </w:rPr>
              <w:t>1</w:t>
            </w:r>
            <w:r w:rsidR="00963092">
              <w:rPr>
                <w:sz w:val="16"/>
                <w:szCs w:val="16"/>
              </w:rPr>
              <w:t>5</w:t>
            </w:r>
            <w:r w:rsidRPr="00BD4212">
              <w:rPr>
                <w:sz w:val="16"/>
                <w:szCs w:val="16"/>
              </w:rPr>
              <w:t>. One-off 10% increase in benchmark prices for core products</w:t>
            </w:r>
          </w:p>
        </w:tc>
        <w:tc>
          <w:tcPr>
            <w:tcW w:w="698" w:type="pct"/>
            <w:vAlign w:val="center"/>
          </w:tcPr>
          <w:p w14:paraId="1B89D683" w14:textId="6AC202FE" w:rsidR="00BB3A15" w:rsidRPr="00BD4212" w:rsidRDefault="00FA667E" w:rsidP="00FE0795">
            <w:pPr>
              <w:spacing w:before="0" w:after="0"/>
              <w:jc w:val="center"/>
              <w:rPr>
                <w:rFonts w:ascii="Poppins" w:hAnsi="Poppins" w:cs="Poppins"/>
                <w:color w:val="000000"/>
                <w:sz w:val="16"/>
                <w:szCs w:val="16"/>
              </w:rPr>
            </w:pPr>
            <w:r w:rsidRPr="00BD4212">
              <w:rPr>
                <w:rFonts w:ascii="Poppins" w:hAnsi="Poppins" w:cs="Poppins"/>
                <w:color w:val="000000"/>
                <w:sz w:val="16"/>
                <w:szCs w:val="16"/>
              </w:rPr>
              <w:t>-</w:t>
            </w:r>
          </w:p>
        </w:tc>
        <w:tc>
          <w:tcPr>
            <w:tcW w:w="699" w:type="pct"/>
            <w:vAlign w:val="center"/>
          </w:tcPr>
          <w:p w14:paraId="11F72C3F" w14:textId="2FF9B5A6" w:rsidR="00BB3A15" w:rsidRPr="00BD4212" w:rsidRDefault="00FA667E" w:rsidP="00FE0795">
            <w:pPr>
              <w:spacing w:before="0" w:after="0"/>
              <w:jc w:val="center"/>
              <w:rPr>
                <w:rFonts w:ascii="Poppins" w:hAnsi="Poppins" w:cs="Poppins"/>
                <w:color w:val="000000"/>
                <w:sz w:val="16"/>
                <w:szCs w:val="16"/>
              </w:rPr>
            </w:pPr>
            <w:r w:rsidRPr="00BD4212">
              <w:rPr>
                <w:rFonts w:ascii="Poppins" w:hAnsi="Poppins" w:cs="Poppins"/>
                <w:color w:val="000000"/>
                <w:sz w:val="16"/>
                <w:szCs w:val="16"/>
              </w:rPr>
              <w:t>-</w:t>
            </w:r>
          </w:p>
        </w:tc>
        <w:tc>
          <w:tcPr>
            <w:tcW w:w="698" w:type="pct"/>
            <w:vAlign w:val="center"/>
          </w:tcPr>
          <w:p w14:paraId="52691965" w14:textId="19BA5FF3" w:rsidR="00BB3A15" w:rsidRPr="00BD4212" w:rsidRDefault="00FA667E" w:rsidP="00FE0795">
            <w:pPr>
              <w:spacing w:before="0" w:after="0"/>
              <w:jc w:val="center"/>
              <w:rPr>
                <w:sz w:val="16"/>
                <w:szCs w:val="16"/>
              </w:rPr>
            </w:pPr>
            <w:r w:rsidRPr="00BD4212">
              <w:rPr>
                <w:rFonts w:ascii="Poppins" w:hAnsi="Poppins" w:cs="Poppins"/>
                <w:color w:val="000000"/>
                <w:sz w:val="16"/>
                <w:szCs w:val="16"/>
              </w:rPr>
              <w:t>-</w:t>
            </w:r>
          </w:p>
        </w:tc>
        <w:tc>
          <w:tcPr>
            <w:tcW w:w="699" w:type="pct"/>
            <w:vAlign w:val="center"/>
          </w:tcPr>
          <w:p w14:paraId="25000D7C" w14:textId="77777777" w:rsidR="00BB3A15" w:rsidRPr="00BD4212" w:rsidRDefault="00BB3A15" w:rsidP="00FE0795">
            <w:pPr>
              <w:spacing w:before="0" w:after="0"/>
              <w:jc w:val="center"/>
              <w:rPr>
                <w:sz w:val="16"/>
                <w:szCs w:val="16"/>
              </w:rPr>
            </w:pPr>
            <w:r w:rsidRPr="00BD4212">
              <w:rPr>
                <w:rFonts w:ascii="Poppins" w:hAnsi="Poppins" w:cs="Poppins"/>
                <w:color w:val="C00000"/>
                <w:sz w:val="16"/>
                <w:szCs w:val="16"/>
              </w:rPr>
              <w:t>+$7,213,057</w:t>
            </w:r>
          </w:p>
        </w:tc>
        <w:tc>
          <w:tcPr>
            <w:tcW w:w="698" w:type="pct"/>
            <w:vAlign w:val="center"/>
          </w:tcPr>
          <w:p w14:paraId="0E122711" w14:textId="77777777" w:rsidR="00BB3A15" w:rsidRPr="00BD4212" w:rsidRDefault="00BB3A15" w:rsidP="00FE0795">
            <w:pPr>
              <w:spacing w:before="0" w:after="0"/>
              <w:jc w:val="center"/>
              <w:rPr>
                <w:rFonts w:ascii="Poppins" w:hAnsi="Poppins" w:cs="Poppins"/>
                <w:color w:val="000000"/>
                <w:sz w:val="16"/>
                <w:szCs w:val="16"/>
              </w:rPr>
            </w:pPr>
            <w:r w:rsidRPr="00BD4212">
              <w:rPr>
                <w:rFonts w:ascii="Poppins" w:hAnsi="Poppins" w:cs="Poppins"/>
                <w:color w:val="C00000"/>
                <w:sz w:val="16"/>
                <w:szCs w:val="16"/>
              </w:rPr>
              <w:t>+$7,479,361</w:t>
            </w:r>
          </w:p>
        </w:tc>
        <w:tc>
          <w:tcPr>
            <w:tcW w:w="699" w:type="pct"/>
            <w:vAlign w:val="center"/>
          </w:tcPr>
          <w:p w14:paraId="6971628F" w14:textId="77777777" w:rsidR="00BB3A15" w:rsidRPr="00BD4212" w:rsidRDefault="00BB3A15" w:rsidP="00FE0795">
            <w:pPr>
              <w:spacing w:before="0" w:after="0"/>
              <w:jc w:val="center"/>
              <w:rPr>
                <w:rFonts w:ascii="Poppins" w:hAnsi="Poppins" w:cs="Poppins"/>
                <w:color w:val="000000"/>
                <w:sz w:val="16"/>
                <w:szCs w:val="16"/>
              </w:rPr>
            </w:pPr>
            <w:r w:rsidRPr="00BD4212">
              <w:rPr>
                <w:rFonts w:ascii="Poppins" w:hAnsi="Poppins" w:cs="Poppins"/>
                <w:color w:val="C00000"/>
                <w:sz w:val="16"/>
                <w:szCs w:val="16"/>
              </w:rPr>
              <w:t>+$7,764,193</w:t>
            </w:r>
          </w:p>
        </w:tc>
      </w:tr>
      <w:tr w:rsidR="00EB7DB4" w:rsidRPr="00BD4212" w14:paraId="22854CE0" w14:textId="77777777" w:rsidTr="00EB7DB4">
        <w:tc>
          <w:tcPr>
            <w:tcW w:w="809" w:type="pct"/>
          </w:tcPr>
          <w:p w14:paraId="2B82E8CE" w14:textId="2132CCFE" w:rsidR="00BB3A15" w:rsidRPr="00BD4212" w:rsidRDefault="00BB3A15" w:rsidP="00BD4212">
            <w:pPr>
              <w:spacing w:before="0" w:after="0"/>
              <w:rPr>
                <w:sz w:val="16"/>
                <w:szCs w:val="16"/>
              </w:rPr>
            </w:pPr>
            <w:r w:rsidRPr="00BD4212">
              <w:rPr>
                <w:sz w:val="16"/>
                <w:szCs w:val="16"/>
              </w:rPr>
              <w:t>1</w:t>
            </w:r>
            <w:r w:rsidR="00963092">
              <w:rPr>
                <w:sz w:val="16"/>
                <w:szCs w:val="16"/>
              </w:rPr>
              <w:t>6</w:t>
            </w:r>
            <w:r w:rsidRPr="00BD4212">
              <w:rPr>
                <w:sz w:val="16"/>
                <w:szCs w:val="16"/>
              </w:rPr>
              <w:t>. One-off 10% increase in premium prices for select products</w:t>
            </w:r>
          </w:p>
        </w:tc>
        <w:tc>
          <w:tcPr>
            <w:tcW w:w="698" w:type="pct"/>
            <w:vAlign w:val="center"/>
          </w:tcPr>
          <w:p w14:paraId="5829F2F6" w14:textId="1DFF9B10" w:rsidR="00BB3A15" w:rsidRPr="00BD4212" w:rsidRDefault="00FA667E" w:rsidP="00FE0795">
            <w:pPr>
              <w:spacing w:before="0" w:after="0"/>
              <w:jc w:val="center"/>
              <w:rPr>
                <w:rFonts w:ascii="Poppins" w:hAnsi="Poppins" w:cs="Poppins"/>
                <w:color w:val="000000"/>
                <w:sz w:val="16"/>
                <w:szCs w:val="16"/>
              </w:rPr>
            </w:pPr>
            <w:r w:rsidRPr="00BD4212">
              <w:rPr>
                <w:rFonts w:ascii="Poppins" w:hAnsi="Poppins" w:cs="Poppins"/>
                <w:color w:val="000000"/>
                <w:sz w:val="16"/>
                <w:szCs w:val="16"/>
              </w:rPr>
              <w:t>-</w:t>
            </w:r>
          </w:p>
        </w:tc>
        <w:tc>
          <w:tcPr>
            <w:tcW w:w="699" w:type="pct"/>
            <w:vAlign w:val="center"/>
          </w:tcPr>
          <w:p w14:paraId="5C5AB62F" w14:textId="71EC679C" w:rsidR="00BB3A15" w:rsidRPr="00BD4212" w:rsidRDefault="00FA667E" w:rsidP="00FE0795">
            <w:pPr>
              <w:spacing w:before="0" w:after="0"/>
              <w:jc w:val="center"/>
              <w:rPr>
                <w:rFonts w:ascii="Poppins" w:hAnsi="Poppins" w:cs="Poppins"/>
                <w:color w:val="000000"/>
                <w:sz w:val="16"/>
                <w:szCs w:val="16"/>
              </w:rPr>
            </w:pPr>
            <w:r w:rsidRPr="00BD4212">
              <w:rPr>
                <w:rFonts w:ascii="Poppins" w:hAnsi="Poppins" w:cs="Poppins"/>
                <w:color w:val="000000"/>
                <w:sz w:val="16"/>
                <w:szCs w:val="16"/>
              </w:rPr>
              <w:t>-</w:t>
            </w:r>
          </w:p>
        </w:tc>
        <w:tc>
          <w:tcPr>
            <w:tcW w:w="698" w:type="pct"/>
            <w:vAlign w:val="center"/>
          </w:tcPr>
          <w:p w14:paraId="1F0C1BB8" w14:textId="154FD1B9" w:rsidR="00BB3A15" w:rsidRPr="00BD4212" w:rsidRDefault="00FA667E" w:rsidP="00FE0795">
            <w:pPr>
              <w:spacing w:before="0" w:after="0"/>
              <w:jc w:val="center"/>
              <w:rPr>
                <w:sz w:val="16"/>
                <w:szCs w:val="16"/>
              </w:rPr>
            </w:pPr>
            <w:r w:rsidRPr="00BD4212">
              <w:rPr>
                <w:rFonts w:ascii="Poppins" w:hAnsi="Poppins" w:cs="Poppins"/>
                <w:color w:val="000000"/>
                <w:sz w:val="16"/>
                <w:szCs w:val="16"/>
              </w:rPr>
              <w:t>-</w:t>
            </w:r>
          </w:p>
        </w:tc>
        <w:tc>
          <w:tcPr>
            <w:tcW w:w="699" w:type="pct"/>
            <w:vAlign w:val="center"/>
          </w:tcPr>
          <w:p w14:paraId="2E9011E0" w14:textId="77777777" w:rsidR="00BB3A15" w:rsidRPr="00BD4212" w:rsidRDefault="00BB3A15" w:rsidP="00FE0795">
            <w:pPr>
              <w:spacing w:before="0" w:after="0"/>
              <w:jc w:val="center"/>
              <w:rPr>
                <w:sz w:val="16"/>
                <w:szCs w:val="16"/>
              </w:rPr>
            </w:pPr>
            <w:r w:rsidRPr="00BD4212">
              <w:rPr>
                <w:rFonts w:ascii="Poppins" w:hAnsi="Poppins" w:cs="Poppins"/>
                <w:color w:val="C00000"/>
                <w:sz w:val="16"/>
                <w:szCs w:val="16"/>
              </w:rPr>
              <w:t>+$179,570</w:t>
            </w:r>
          </w:p>
        </w:tc>
        <w:tc>
          <w:tcPr>
            <w:tcW w:w="698" w:type="pct"/>
            <w:vAlign w:val="center"/>
          </w:tcPr>
          <w:p w14:paraId="680A8268" w14:textId="77777777" w:rsidR="00BB3A15" w:rsidRPr="00BD4212" w:rsidRDefault="00BB3A15" w:rsidP="00FE0795">
            <w:pPr>
              <w:spacing w:before="0" w:after="0"/>
              <w:jc w:val="center"/>
              <w:rPr>
                <w:rFonts w:ascii="Poppins" w:hAnsi="Poppins" w:cs="Poppins"/>
                <w:color w:val="000000"/>
                <w:sz w:val="16"/>
                <w:szCs w:val="16"/>
              </w:rPr>
            </w:pPr>
            <w:r w:rsidRPr="00BD4212">
              <w:rPr>
                <w:rFonts w:ascii="Poppins" w:hAnsi="Poppins" w:cs="Poppins"/>
                <w:color w:val="C00000"/>
                <w:sz w:val="16"/>
                <w:szCs w:val="16"/>
              </w:rPr>
              <w:t>+$189,749</w:t>
            </w:r>
          </w:p>
        </w:tc>
        <w:tc>
          <w:tcPr>
            <w:tcW w:w="699" w:type="pct"/>
            <w:vAlign w:val="center"/>
          </w:tcPr>
          <w:p w14:paraId="7639CD48" w14:textId="77777777" w:rsidR="00BB3A15" w:rsidRPr="00BD4212" w:rsidRDefault="00BB3A15" w:rsidP="00FE0795">
            <w:pPr>
              <w:spacing w:before="0" w:after="0"/>
              <w:jc w:val="center"/>
              <w:rPr>
                <w:rFonts w:ascii="Poppins" w:hAnsi="Poppins" w:cs="Poppins"/>
                <w:color w:val="000000"/>
                <w:sz w:val="16"/>
                <w:szCs w:val="16"/>
              </w:rPr>
            </w:pPr>
            <w:r w:rsidRPr="00BD4212">
              <w:rPr>
                <w:rFonts w:ascii="Poppins" w:hAnsi="Poppins" w:cs="Poppins"/>
                <w:color w:val="C00000"/>
                <w:sz w:val="16"/>
                <w:szCs w:val="16"/>
              </w:rPr>
              <w:t>+$199,934</w:t>
            </w:r>
          </w:p>
        </w:tc>
      </w:tr>
      <w:tr w:rsidR="00EB7DB4" w:rsidRPr="00BD4212" w14:paraId="66CB9C53" w14:textId="77777777" w:rsidTr="00EB7DB4">
        <w:trPr>
          <w:cnfStyle w:val="000000010000" w:firstRow="0" w:lastRow="0" w:firstColumn="0" w:lastColumn="0" w:oddVBand="0" w:evenVBand="0" w:oddHBand="0" w:evenHBand="1" w:firstRowFirstColumn="0" w:firstRowLastColumn="0" w:lastRowFirstColumn="0" w:lastRowLastColumn="0"/>
        </w:trPr>
        <w:tc>
          <w:tcPr>
            <w:tcW w:w="809" w:type="pct"/>
          </w:tcPr>
          <w:p w14:paraId="710697CA" w14:textId="6B89172A" w:rsidR="002A3326" w:rsidRPr="0080091F" w:rsidRDefault="006F4D9F" w:rsidP="002A3326">
            <w:pPr>
              <w:spacing w:before="0" w:after="0"/>
              <w:rPr>
                <w:sz w:val="16"/>
                <w:szCs w:val="16"/>
              </w:rPr>
            </w:pPr>
            <w:r>
              <w:rPr>
                <w:sz w:val="16"/>
                <w:szCs w:val="16"/>
              </w:rPr>
              <w:t xml:space="preserve">17. </w:t>
            </w:r>
            <w:r w:rsidR="002A3326" w:rsidRPr="00C233A0">
              <w:rPr>
                <w:sz w:val="16"/>
                <w:szCs w:val="16"/>
              </w:rPr>
              <w:t>One-off increase in benchmark prices (percentage as above) AND premium prices (percentage as above)</w:t>
            </w:r>
          </w:p>
        </w:tc>
        <w:tc>
          <w:tcPr>
            <w:tcW w:w="698" w:type="pct"/>
            <w:vAlign w:val="center"/>
          </w:tcPr>
          <w:p w14:paraId="24FA02C4" w14:textId="77777777" w:rsidR="002A3326" w:rsidRPr="00BD4212" w:rsidRDefault="002A3326" w:rsidP="002A3326">
            <w:pPr>
              <w:spacing w:before="0" w:after="0"/>
              <w:jc w:val="center"/>
              <w:rPr>
                <w:rFonts w:ascii="Poppins" w:hAnsi="Poppins" w:cs="Poppins"/>
                <w:color w:val="000000"/>
                <w:sz w:val="16"/>
                <w:szCs w:val="16"/>
              </w:rPr>
            </w:pPr>
          </w:p>
        </w:tc>
        <w:tc>
          <w:tcPr>
            <w:tcW w:w="699" w:type="pct"/>
            <w:vAlign w:val="center"/>
          </w:tcPr>
          <w:p w14:paraId="2648DFB6" w14:textId="77777777" w:rsidR="002A3326" w:rsidRPr="00BD4212" w:rsidRDefault="002A3326" w:rsidP="002A3326">
            <w:pPr>
              <w:spacing w:before="0" w:after="0"/>
              <w:jc w:val="center"/>
              <w:rPr>
                <w:rFonts w:ascii="Poppins" w:hAnsi="Poppins" w:cs="Poppins"/>
                <w:color w:val="000000"/>
                <w:sz w:val="16"/>
                <w:szCs w:val="16"/>
              </w:rPr>
            </w:pPr>
          </w:p>
        </w:tc>
        <w:tc>
          <w:tcPr>
            <w:tcW w:w="698" w:type="pct"/>
            <w:vAlign w:val="center"/>
          </w:tcPr>
          <w:p w14:paraId="54BB2008" w14:textId="77777777" w:rsidR="002A3326" w:rsidRPr="00BD4212" w:rsidRDefault="002A3326" w:rsidP="002A3326">
            <w:pPr>
              <w:spacing w:before="0" w:after="0"/>
              <w:jc w:val="center"/>
              <w:rPr>
                <w:rFonts w:ascii="Poppins" w:hAnsi="Poppins" w:cs="Poppins"/>
                <w:color w:val="000000"/>
                <w:sz w:val="16"/>
                <w:szCs w:val="16"/>
              </w:rPr>
            </w:pPr>
          </w:p>
        </w:tc>
        <w:tc>
          <w:tcPr>
            <w:tcW w:w="699" w:type="pct"/>
            <w:vAlign w:val="center"/>
          </w:tcPr>
          <w:p w14:paraId="29C8C7B9" w14:textId="50F8A74A" w:rsidR="002A3326" w:rsidRPr="00BD4212" w:rsidRDefault="006F4D9F" w:rsidP="002A3326">
            <w:pPr>
              <w:spacing w:before="0" w:after="0"/>
              <w:jc w:val="center"/>
              <w:rPr>
                <w:rFonts w:ascii="Poppins" w:hAnsi="Poppins" w:cs="Poppins"/>
                <w:color w:val="C00000"/>
                <w:sz w:val="16"/>
                <w:szCs w:val="16"/>
              </w:rPr>
            </w:pPr>
            <w:r>
              <w:rPr>
                <w:rFonts w:ascii="Poppins" w:hAnsi="Poppins" w:cs="Poppins"/>
                <w:color w:val="C00000"/>
                <w:sz w:val="16"/>
                <w:szCs w:val="16"/>
              </w:rPr>
              <w:t>+</w:t>
            </w:r>
            <w:r w:rsidR="002A3326" w:rsidRPr="00EB7DB4">
              <w:rPr>
                <w:rFonts w:ascii="Poppins" w:hAnsi="Poppins" w:cs="Poppins"/>
                <w:color w:val="C00000"/>
                <w:sz w:val="16"/>
                <w:szCs w:val="16"/>
              </w:rPr>
              <w:t xml:space="preserve">$11,331,439 </w:t>
            </w:r>
          </w:p>
        </w:tc>
        <w:tc>
          <w:tcPr>
            <w:tcW w:w="698" w:type="pct"/>
            <w:vAlign w:val="center"/>
          </w:tcPr>
          <w:p w14:paraId="16A2BE81" w14:textId="2E8717E4" w:rsidR="002A3326" w:rsidRPr="00BD4212" w:rsidRDefault="006F4D9F" w:rsidP="002A3326">
            <w:pPr>
              <w:spacing w:before="0" w:after="0"/>
              <w:jc w:val="center"/>
              <w:rPr>
                <w:rFonts w:ascii="Poppins" w:hAnsi="Poppins" w:cs="Poppins"/>
                <w:color w:val="C00000"/>
                <w:sz w:val="16"/>
                <w:szCs w:val="16"/>
              </w:rPr>
            </w:pPr>
            <w:r>
              <w:rPr>
                <w:rFonts w:ascii="Poppins" w:hAnsi="Poppins" w:cs="Poppins"/>
                <w:color w:val="C00000"/>
                <w:sz w:val="16"/>
                <w:szCs w:val="16"/>
              </w:rPr>
              <w:t>+</w:t>
            </w:r>
            <w:r w:rsidR="002A3326" w:rsidRPr="00EB7DB4">
              <w:rPr>
                <w:rFonts w:ascii="Poppins" w:hAnsi="Poppins" w:cs="Poppins"/>
                <w:color w:val="C00000"/>
                <w:sz w:val="16"/>
                <w:szCs w:val="16"/>
              </w:rPr>
              <w:t xml:space="preserve">$11,922,395 </w:t>
            </w:r>
          </w:p>
        </w:tc>
        <w:tc>
          <w:tcPr>
            <w:tcW w:w="699" w:type="pct"/>
            <w:vAlign w:val="center"/>
          </w:tcPr>
          <w:p w14:paraId="7C731A79" w14:textId="74813B2C" w:rsidR="002A3326" w:rsidRPr="00BD4212" w:rsidRDefault="006F4D9F" w:rsidP="002A3326">
            <w:pPr>
              <w:spacing w:before="0" w:after="0"/>
              <w:jc w:val="center"/>
              <w:rPr>
                <w:rFonts w:ascii="Poppins" w:hAnsi="Poppins" w:cs="Poppins"/>
                <w:color w:val="C00000"/>
                <w:sz w:val="16"/>
                <w:szCs w:val="16"/>
              </w:rPr>
            </w:pPr>
            <w:r>
              <w:rPr>
                <w:rFonts w:ascii="Poppins" w:hAnsi="Poppins" w:cs="Poppins"/>
                <w:color w:val="C00000"/>
                <w:sz w:val="16"/>
                <w:szCs w:val="16"/>
              </w:rPr>
              <w:t>+</w:t>
            </w:r>
            <w:r w:rsidR="002A3326" w:rsidRPr="00EB7DB4">
              <w:rPr>
                <w:rFonts w:ascii="Poppins" w:hAnsi="Poppins" w:cs="Poppins"/>
                <w:color w:val="C00000"/>
                <w:sz w:val="16"/>
                <w:szCs w:val="16"/>
              </w:rPr>
              <w:t xml:space="preserve">$12,539,737 </w:t>
            </w:r>
          </w:p>
        </w:tc>
      </w:tr>
      <w:tr w:rsidR="00EB7DB4" w:rsidRPr="00BD4212" w14:paraId="71A5DD29" w14:textId="77777777" w:rsidTr="00EB7DB4">
        <w:tc>
          <w:tcPr>
            <w:tcW w:w="809" w:type="pct"/>
          </w:tcPr>
          <w:p w14:paraId="3F70EFD6" w14:textId="3E20ABF4" w:rsidR="006F4D9F" w:rsidRPr="00BD4212" w:rsidRDefault="006F4D9F" w:rsidP="006F4D9F">
            <w:pPr>
              <w:spacing w:before="0" w:after="0"/>
              <w:rPr>
                <w:sz w:val="16"/>
                <w:szCs w:val="16"/>
              </w:rPr>
            </w:pPr>
            <w:r>
              <w:rPr>
                <w:sz w:val="16"/>
                <w:szCs w:val="16"/>
              </w:rPr>
              <w:t xml:space="preserve">18. </w:t>
            </w:r>
            <w:r w:rsidRPr="0080091F">
              <w:rPr>
                <w:sz w:val="16"/>
                <w:szCs w:val="16"/>
              </w:rPr>
              <w:t>One-off increase in benchmark prices AND CPI ongoing adjustment</w:t>
            </w:r>
          </w:p>
        </w:tc>
        <w:tc>
          <w:tcPr>
            <w:tcW w:w="698" w:type="pct"/>
            <w:vAlign w:val="center"/>
          </w:tcPr>
          <w:p w14:paraId="6AADB31D" w14:textId="77777777" w:rsidR="006F4D9F" w:rsidRPr="00BD4212" w:rsidRDefault="006F4D9F" w:rsidP="006F4D9F">
            <w:pPr>
              <w:spacing w:before="0" w:after="0"/>
              <w:jc w:val="center"/>
              <w:rPr>
                <w:rFonts w:ascii="Poppins" w:hAnsi="Poppins" w:cs="Poppins"/>
                <w:color w:val="000000"/>
                <w:sz w:val="16"/>
                <w:szCs w:val="16"/>
              </w:rPr>
            </w:pPr>
          </w:p>
        </w:tc>
        <w:tc>
          <w:tcPr>
            <w:tcW w:w="699" w:type="pct"/>
            <w:vAlign w:val="center"/>
          </w:tcPr>
          <w:p w14:paraId="24BD5F97" w14:textId="77777777" w:rsidR="006F4D9F" w:rsidRPr="00BD4212" w:rsidRDefault="006F4D9F" w:rsidP="006F4D9F">
            <w:pPr>
              <w:spacing w:before="0" w:after="0"/>
              <w:jc w:val="center"/>
              <w:rPr>
                <w:rFonts w:ascii="Poppins" w:hAnsi="Poppins" w:cs="Poppins"/>
                <w:color w:val="000000"/>
                <w:sz w:val="16"/>
                <w:szCs w:val="16"/>
              </w:rPr>
            </w:pPr>
          </w:p>
        </w:tc>
        <w:tc>
          <w:tcPr>
            <w:tcW w:w="698" w:type="pct"/>
            <w:vAlign w:val="center"/>
          </w:tcPr>
          <w:p w14:paraId="1008E798" w14:textId="77777777" w:rsidR="006F4D9F" w:rsidRPr="00BD4212" w:rsidRDefault="006F4D9F" w:rsidP="006F4D9F">
            <w:pPr>
              <w:spacing w:before="0" w:after="0"/>
              <w:jc w:val="center"/>
              <w:rPr>
                <w:rFonts w:ascii="Poppins" w:hAnsi="Poppins" w:cs="Poppins"/>
                <w:color w:val="000000"/>
                <w:sz w:val="16"/>
                <w:szCs w:val="16"/>
              </w:rPr>
            </w:pPr>
          </w:p>
        </w:tc>
        <w:tc>
          <w:tcPr>
            <w:tcW w:w="699" w:type="pct"/>
            <w:vAlign w:val="center"/>
          </w:tcPr>
          <w:p w14:paraId="40A96D7D" w14:textId="7EEFBF15" w:rsidR="006F4D9F" w:rsidRPr="00BD4212" w:rsidRDefault="006F4D9F" w:rsidP="006F4D9F">
            <w:pPr>
              <w:spacing w:before="0" w:after="0"/>
              <w:jc w:val="center"/>
              <w:rPr>
                <w:rFonts w:ascii="Poppins" w:hAnsi="Poppins" w:cs="Poppins"/>
                <w:color w:val="C00000"/>
                <w:sz w:val="16"/>
                <w:szCs w:val="16"/>
              </w:rPr>
            </w:pPr>
            <w:r>
              <w:rPr>
                <w:rFonts w:ascii="Poppins" w:hAnsi="Poppins" w:cs="Poppins"/>
                <w:color w:val="C00000"/>
                <w:sz w:val="16"/>
                <w:szCs w:val="16"/>
              </w:rPr>
              <w:t>+</w:t>
            </w:r>
            <w:r w:rsidRPr="00EB7DB4">
              <w:rPr>
                <w:rFonts w:ascii="Poppins" w:hAnsi="Poppins" w:cs="Poppins"/>
                <w:color w:val="C00000"/>
                <w:sz w:val="16"/>
                <w:szCs w:val="16"/>
              </w:rPr>
              <w:t xml:space="preserve">$11,331,439 </w:t>
            </w:r>
          </w:p>
        </w:tc>
        <w:tc>
          <w:tcPr>
            <w:tcW w:w="698" w:type="pct"/>
            <w:vAlign w:val="center"/>
          </w:tcPr>
          <w:p w14:paraId="3EDA21E3" w14:textId="75A17B81" w:rsidR="006F4D9F" w:rsidRPr="00BD4212" w:rsidRDefault="006F4D9F" w:rsidP="006F4D9F">
            <w:pPr>
              <w:spacing w:before="0" w:after="0"/>
              <w:jc w:val="center"/>
              <w:rPr>
                <w:rFonts w:ascii="Poppins" w:hAnsi="Poppins" w:cs="Poppins"/>
                <w:color w:val="C00000"/>
                <w:sz w:val="16"/>
                <w:szCs w:val="16"/>
              </w:rPr>
            </w:pPr>
            <w:r>
              <w:rPr>
                <w:rFonts w:ascii="Poppins" w:hAnsi="Poppins" w:cs="Poppins"/>
                <w:color w:val="C00000"/>
                <w:sz w:val="16"/>
                <w:szCs w:val="16"/>
              </w:rPr>
              <w:t>+</w:t>
            </w:r>
            <w:r w:rsidRPr="00EB7DB4">
              <w:rPr>
                <w:rFonts w:ascii="Poppins" w:hAnsi="Poppins" w:cs="Poppins"/>
                <w:color w:val="C00000"/>
                <w:sz w:val="16"/>
                <w:szCs w:val="16"/>
              </w:rPr>
              <w:t xml:space="preserve">$16,494,403 </w:t>
            </w:r>
          </w:p>
        </w:tc>
        <w:tc>
          <w:tcPr>
            <w:tcW w:w="699" w:type="pct"/>
            <w:vAlign w:val="center"/>
          </w:tcPr>
          <w:p w14:paraId="5152D443" w14:textId="27CF2108" w:rsidR="006F4D9F" w:rsidRPr="00BD4212" w:rsidRDefault="006F4D9F" w:rsidP="006F4D9F">
            <w:pPr>
              <w:spacing w:before="0" w:after="0"/>
              <w:jc w:val="center"/>
              <w:rPr>
                <w:rFonts w:ascii="Poppins" w:hAnsi="Poppins" w:cs="Poppins"/>
                <w:color w:val="C00000"/>
                <w:sz w:val="16"/>
                <w:szCs w:val="16"/>
              </w:rPr>
            </w:pPr>
            <w:r>
              <w:rPr>
                <w:rFonts w:ascii="Poppins" w:hAnsi="Poppins" w:cs="Poppins"/>
                <w:color w:val="C00000"/>
                <w:sz w:val="16"/>
                <w:szCs w:val="16"/>
              </w:rPr>
              <w:t>+</w:t>
            </w:r>
            <w:r w:rsidRPr="00EB7DB4">
              <w:rPr>
                <w:rFonts w:ascii="Poppins" w:hAnsi="Poppins" w:cs="Poppins"/>
                <w:color w:val="C00000"/>
                <w:sz w:val="16"/>
                <w:szCs w:val="16"/>
              </w:rPr>
              <w:t xml:space="preserve">$22,290,678 </w:t>
            </w:r>
          </w:p>
        </w:tc>
      </w:tr>
      <w:tr w:rsidR="003015EB" w:rsidRPr="00BD4212" w14:paraId="558CAB90" w14:textId="77777777" w:rsidTr="00EB7DB4">
        <w:trPr>
          <w:cnfStyle w:val="000000010000" w:firstRow="0" w:lastRow="0" w:firstColumn="0" w:lastColumn="0" w:oddVBand="0" w:evenVBand="0" w:oddHBand="0" w:evenHBand="1" w:firstRowFirstColumn="0" w:firstRowLastColumn="0" w:lastRowFirstColumn="0" w:lastRowLastColumn="0"/>
        </w:trPr>
        <w:tc>
          <w:tcPr>
            <w:tcW w:w="809" w:type="pct"/>
          </w:tcPr>
          <w:p w14:paraId="6EE301D1" w14:textId="34EEFAB9" w:rsidR="00BB3A15" w:rsidRPr="00BD4212" w:rsidRDefault="00BB3A15" w:rsidP="00BD4212">
            <w:pPr>
              <w:spacing w:before="0" w:after="0"/>
              <w:rPr>
                <w:sz w:val="16"/>
                <w:szCs w:val="16"/>
              </w:rPr>
            </w:pPr>
            <w:r w:rsidRPr="00BD4212">
              <w:rPr>
                <w:sz w:val="16"/>
                <w:szCs w:val="16"/>
              </w:rPr>
              <w:t>1</w:t>
            </w:r>
            <w:r w:rsidR="006F4D9F">
              <w:rPr>
                <w:sz w:val="16"/>
                <w:szCs w:val="16"/>
              </w:rPr>
              <w:t>9</w:t>
            </w:r>
            <w:r w:rsidRPr="00BD4212">
              <w:rPr>
                <w:sz w:val="16"/>
                <w:szCs w:val="16"/>
              </w:rPr>
              <w:t>. Increase in ostomates in line with population growth</w:t>
            </w:r>
          </w:p>
        </w:tc>
        <w:tc>
          <w:tcPr>
            <w:tcW w:w="698" w:type="pct"/>
            <w:vAlign w:val="center"/>
          </w:tcPr>
          <w:p w14:paraId="15C9A3F7" w14:textId="77777777" w:rsidR="00BB3A15" w:rsidRPr="00BD4212" w:rsidRDefault="00BB3A15" w:rsidP="00FE0795">
            <w:pPr>
              <w:spacing w:before="0" w:after="0"/>
              <w:jc w:val="center"/>
              <w:rPr>
                <w:rFonts w:ascii="Poppins" w:hAnsi="Poppins" w:cs="Poppins"/>
                <w:color w:val="000000"/>
                <w:sz w:val="16"/>
                <w:szCs w:val="16"/>
              </w:rPr>
            </w:pPr>
            <w:r w:rsidRPr="00BD4212">
              <w:rPr>
                <w:rFonts w:ascii="Poppins" w:hAnsi="Poppins" w:cs="Poppins"/>
                <w:color w:val="000000"/>
                <w:sz w:val="16"/>
                <w:szCs w:val="16"/>
              </w:rPr>
              <w:t>-</w:t>
            </w:r>
          </w:p>
        </w:tc>
        <w:tc>
          <w:tcPr>
            <w:tcW w:w="699" w:type="pct"/>
            <w:vAlign w:val="center"/>
          </w:tcPr>
          <w:p w14:paraId="73A40A14" w14:textId="77777777" w:rsidR="00BB3A15" w:rsidRPr="00BD4212" w:rsidRDefault="00BB3A15" w:rsidP="00FE0795">
            <w:pPr>
              <w:spacing w:before="0" w:after="0"/>
              <w:jc w:val="center"/>
              <w:rPr>
                <w:rFonts w:ascii="Poppins" w:hAnsi="Poppins" w:cs="Poppins"/>
                <w:color w:val="000000"/>
                <w:sz w:val="16"/>
                <w:szCs w:val="16"/>
              </w:rPr>
            </w:pPr>
            <w:r w:rsidRPr="00BD4212">
              <w:rPr>
                <w:rFonts w:ascii="Poppins" w:hAnsi="Poppins" w:cs="Poppins"/>
                <w:color w:val="000000"/>
                <w:sz w:val="16"/>
                <w:szCs w:val="16"/>
              </w:rPr>
              <w:t>-</w:t>
            </w:r>
          </w:p>
        </w:tc>
        <w:tc>
          <w:tcPr>
            <w:tcW w:w="698" w:type="pct"/>
            <w:vAlign w:val="center"/>
          </w:tcPr>
          <w:p w14:paraId="772388D0" w14:textId="77777777" w:rsidR="00BB3A15" w:rsidRPr="00BD4212" w:rsidRDefault="00BB3A15" w:rsidP="00FE0795">
            <w:pPr>
              <w:spacing w:before="0" w:after="0"/>
              <w:jc w:val="center"/>
              <w:rPr>
                <w:rFonts w:ascii="Poppins" w:hAnsi="Poppins" w:cs="Poppins"/>
                <w:color w:val="000000"/>
                <w:sz w:val="16"/>
                <w:szCs w:val="16"/>
              </w:rPr>
            </w:pPr>
            <w:r w:rsidRPr="00BD4212">
              <w:rPr>
                <w:rFonts w:ascii="Poppins" w:hAnsi="Poppins" w:cs="Poppins"/>
                <w:color w:val="000000"/>
                <w:sz w:val="16"/>
                <w:szCs w:val="16"/>
              </w:rPr>
              <w:t>-</w:t>
            </w:r>
          </w:p>
        </w:tc>
        <w:tc>
          <w:tcPr>
            <w:tcW w:w="699" w:type="pct"/>
            <w:vAlign w:val="center"/>
          </w:tcPr>
          <w:p w14:paraId="294494F7" w14:textId="77777777" w:rsidR="00BB3A15" w:rsidRPr="00BD4212" w:rsidRDefault="00BB3A15" w:rsidP="00FE0795">
            <w:pPr>
              <w:spacing w:before="0" w:after="0"/>
              <w:jc w:val="center"/>
              <w:rPr>
                <w:rFonts w:ascii="Poppins" w:hAnsi="Poppins" w:cs="Poppins"/>
                <w:color w:val="C00000"/>
                <w:sz w:val="16"/>
                <w:szCs w:val="16"/>
              </w:rPr>
            </w:pPr>
            <w:r w:rsidRPr="00BD4212">
              <w:rPr>
                <w:rFonts w:ascii="Poppins" w:hAnsi="Poppins" w:cs="Poppins"/>
                <w:color w:val="C00000"/>
                <w:sz w:val="16"/>
                <w:szCs w:val="16"/>
              </w:rPr>
              <w:t>+$1,345,479</w:t>
            </w:r>
          </w:p>
        </w:tc>
        <w:tc>
          <w:tcPr>
            <w:tcW w:w="698" w:type="pct"/>
            <w:vAlign w:val="center"/>
          </w:tcPr>
          <w:p w14:paraId="471395E1" w14:textId="77777777" w:rsidR="00BB3A15" w:rsidRPr="00BD4212" w:rsidRDefault="00BB3A15" w:rsidP="00FE0795">
            <w:pPr>
              <w:spacing w:before="0" w:after="0"/>
              <w:jc w:val="center"/>
              <w:rPr>
                <w:rFonts w:ascii="Poppins" w:hAnsi="Poppins" w:cs="Poppins"/>
                <w:color w:val="C00000"/>
                <w:sz w:val="16"/>
                <w:szCs w:val="16"/>
              </w:rPr>
            </w:pPr>
            <w:r w:rsidRPr="00BD4212">
              <w:rPr>
                <w:rFonts w:ascii="Poppins" w:hAnsi="Poppins" w:cs="Poppins"/>
                <w:color w:val="C00000"/>
                <w:sz w:val="16"/>
                <w:szCs w:val="16"/>
              </w:rPr>
              <w:t>+$2,452,582</w:t>
            </w:r>
          </w:p>
        </w:tc>
        <w:tc>
          <w:tcPr>
            <w:tcW w:w="699" w:type="pct"/>
            <w:vAlign w:val="center"/>
          </w:tcPr>
          <w:p w14:paraId="5569C3E2" w14:textId="77777777" w:rsidR="00BB3A15" w:rsidRPr="00BD4212" w:rsidRDefault="00BB3A15" w:rsidP="00FE0795">
            <w:pPr>
              <w:spacing w:before="0" w:after="0"/>
              <w:jc w:val="center"/>
              <w:rPr>
                <w:rFonts w:ascii="Poppins" w:hAnsi="Poppins" w:cs="Poppins"/>
                <w:color w:val="C00000"/>
                <w:sz w:val="16"/>
                <w:szCs w:val="16"/>
              </w:rPr>
            </w:pPr>
            <w:r w:rsidRPr="00BD4212">
              <w:rPr>
                <w:rFonts w:ascii="Poppins" w:hAnsi="Poppins" w:cs="Poppins"/>
                <w:color w:val="C00000"/>
                <w:sz w:val="16"/>
                <w:szCs w:val="16"/>
              </w:rPr>
              <w:t>+$3,378,739</w:t>
            </w:r>
          </w:p>
        </w:tc>
      </w:tr>
    </w:tbl>
    <w:p w14:paraId="0CC3068B" w14:textId="06ACB683" w:rsidR="004765B9" w:rsidRDefault="004765B9" w:rsidP="002B285C">
      <w:pPr>
        <w:pStyle w:val="BodyText"/>
      </w:pPr>
      <w:r>
        <w:t>The costs associated with modifying access or pricing of the Scheme highlights both opportunities for cost savings but also changes that will result in additional expenditure.</w:t>
      </w:r>
    </w:p>
    <w:p w14:paraId="3C78B38A" w14:textId="070C867D" w:rsidR="00D42BD0" w:rsidRDefault="00D42BD0" w:rsidP="00D42BD0">
      <w:pPr>
        <w:pStyle w:val="BodyText"/>
      </w:pPr>
      <w:r w:rsidRPr="00D3024C">
        <w:t xml:space="preserve">Implementing </w:t>
      </w:r>
      <w:r>
        <w:t xml:space="preserve">changes </w:t>
      </w:r>
      <w:r w:rsidR="00E82DBD">
        <w:t>to the Scheme</w:t>
      </w:r>
      <w:r w:rsidRPr="00D3024C">
        <w:t xml:space="preserve"> comes with potential risks, such as budgetary impacts, additional administrative burden and complex negotiations between the Department and suppliers. Determining the appropriate criteria for adjustments, managing the expectations of product </w:t>
      </w:r>
      <w:proofErr w:type="gramStart"/>
      <w:r w:rsidRPr="00D3024C">
        <w:t>suppliers</w:t>
      </w:r>
      <w:proofErr w:type="gramEnd"/>
      <w:r w:rsidRPr="00D3024C">
        <w:t xml:space="preserve"> and ensuring fairness in negotiations could be challenging.</w:t>
      </w:r>
      <w:r>
        <w:t xml:space="preserve"> </w:t>
      </w:r>
      <w:r w:rsidR="004765B9">
        <w:t>To mitigate these risks, the Department will need to carefully plan and communicate the rationale behind any changes, actively engage with stakeholders, and conduct thorough assessments of the potential impacts before implementing changes to the pricing methodology.</w:t>
      </w:r>
      <w:r>
        <w:t xml:space="preserve"> </w:t>
      </w:r>
    </w:p>
    <w:p w14:paraId="109E93D3" w14:textId="4EEED5CF" w:rsidR="00BB3A15" w:rsidRPr="004765B9" w:rsidRDefault="00E82DBD" w:rsidP="002B285C">
      <w:pPr>
        <w:pStyle w:val="BodyText"/>
      </w:pPr>
      <w:r>
        <w:lastRenderedPageBreak/>
        <w:t>A</w:t>
      </w:r>
      <w:r w:rsidR="004765B9">
        <w:t xml:space="preserve"> cost recovery mechanism </w:t>
      </w:r>
      <w:r w:rsidR="00584BAA">
        <w:t>could be</w:t>
      </w:r>
      <w:r w:rsidR="004765B9">
        <w:t xml:space="preserve"> implemented </w:t>
      </w:r>
      <w:r>
        <w:t xml:space="preserve">to </w:t>
      </w:r>
      <w:r w:rsidR="002E603E">
        <w:t xml:space="preserve">offset the additional administrative costs associated with regular </w:t>
      </w:r>
      <w:r>
        <w:t>price review process</w:t>
      </w:r>
      <w:r w:rsidR="002E603E">
        <w:t>es</w:t>
      </w:r>
      <w:r>
        <w:t>.</w:t>
      </w:r>
      <w:r w:rsidR="004765B9">
        <w:t xml:space="preserve"> </w:t>
      </w:r>
      <w:r w:rsidR="00AF5CBD">
        <w:t xml:space="preserve">Regular pricing reviews will ensure </w:t>
      </w:r>
      <w:r>
        <w:t>the availability of necessary products for those in need, supporting the Scheme's ongoing operation and its commitment to assisting individuals with stomas</w:t>
      </w:r>
      <w:r w:rsidR="00F03AD9">
        <w:t xml:space="preserve"> with quality appliances and products</w:t>
      </w:r>
      <w:r>
        <w:t>.</w:t>
      </w:r>
    </w:p>
    <w:tbl>
      <w:tblPr>
        <w:tblStyle w:val="TableHealthConsult1"/>
        <w:tblW w:w="0" w:type="auto"/>
        <w:tblLook w:val="04A0" w:firstRow="1" w:lastRow="0" w:firstColumn="1" w:lastColumn="0" w:noHBand="0" w:noVBand="1"/>
      </w:tblPr>
      <w:tblGrid>
        <w:gridCol w:w="9628"/>
      </w:tblGrid>
      <w:tr w:rsidR="00CA37A6" w:rsidRPr="00CA37A6" w14:paraId="061D568A" w14:textId="77777777" w:rsidTr="005C7AC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8" w:type="dxa"/>
          </w:tcPr>
          <w:p w14:paraId="5AE7B526" w14:textId="53038F30" w:rsidR="00CA37A6" w:rsidRPr="00CA37A6" w:rsidRDefault="00CA37A6" w:rsidP="00CA37A6">
            <w:pPr>
              <w:rPr>
                <w:bCs/>
                <w:sz w:val="18"/>
                <w:szCs w:val="18"/>
              </w:rPr>
            </w:pPr>
            <w:r w:rsidRPr="00CA37A6">
              <w:rPr>
                <w:sz w:val="18"/>
                <w:szCs w:val="18"/>
              </w:rPr>
              <w:t>Recommendation #10</w:t>
            </w:r>
          </w:p>
        </w:tc>
      </w:tr>
      <w:tr w:rsidR="0029006E" w:rsidRPr="00CA37A6" w14:paraId="18321B85" w14:textId="77777777" w:rsidTr="005C7A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9284027" w14:textId="35EA2B12" w:rsidR="0029006E" w:rsidRPr="008239CE" w:rsidRDefault="002A63D7" w:rsidP="0029006E">
            <w:pPr>
              <w:rPr>
                <w:b w:val="0"/>
                <w:sz w:val="18"/>
                <w:szCs w:val="18"/>
              </w:rPr>
            </w:pPr>
            <w:r w:rsidRPr="002A63D7">
              <w:rPr>
                <w:b w:val="0"/>
                <w:sz w:val="18"/>
                <w:szCs w:val="18"/>
              </w:rPr>
              <w:t>Implement a cost recovery mechanism from suppliers to offset the increased administration costs of Government associated with the introduction of a regular price review process.</w:t>
            </w:r>
          </w:p>
        </w:tc>
      </w:tr>
    </w:tbl>
    <w:p w14:paraId="1D2A4E72" w14:textId="425614C0" w:rsidR="00BA3B09" w:rsidRDefault="007D196A" w:rsidP="0029006E">
      <w:pPr>
        <w:pStyle w:val="Heading7"/>
        <w:rPr>
          <w:color w:val="C60C30" w:themeColor="accent2"/>
        </w:rPr>
      </w:pPr>
      <w:bookmarkStart w:id="95" w:name="_Ref157612773"/>
      <w:bookmarkStart w:id="96" w:name="_Ref157612776"/>
      <w:bookmarkStart w:id="97" w:name="_Ref157612777"/>
      <w:bookmarkStart w:id="98" w:name="_Toc161743096"/>
      <w:r w:rsidRPr="007D196A">
        <w:rPr>
          <w:color w:val="C60C30" w:themeColor="accent2"/>
        </w:rPr>
        <w:lastRenderedPageBreak/>
        <w:t xml:space="preserve">List of </w:t>
      </w:r>
      <w:r w:rsidR="00F725F0">
        <w:rPr>
          <w:color w:val="C60C30" w:themeColor="accent2"/>
        </w:rPr>
        <w:t>S</w:t>
      </w:r>
      <w:r w:rsidRPr="007D196A">
        <w:rPr>
          <w:color w:val="C60C30" w:themeColor="accent2"/>
        </w:rPr>
        <w:t xml:space="preserve">takeholders </w:t>
      </w:r>
      <w:r w:rsidR="00F725F0">
        <w:rPr>
          <w:color w:val="C60C30" w:themeColor="accent2"/>
        </w:rPr>
        <w:t>C</w:t>
      </w:r>
      <w:r w:rsidRPr="007D196A">
        <w:rPr>
          <w:color w:val="C60C30" w:themeColor="accent2"/>
        </w:rPr>
        <w:t>onsulted</w:t>
      </w:r>
      <w:bookmarkEnd w:id="95"/>
      <w:bookmarkEnd w:id="96"/>
      <w:bookmarkEnd w:id="97"/>
      <w:bookmarkEnd w:id="98"/>
    </w:p>
    <w:p w14:paraId="6486C2C7" w14:textId="44774B67" w:rsidR="005B4625" w:rsidRPr="005B4625" w:rsidRDefault="00CC37D9" w:rsidP="00CC37D9">
      <w:pPr>
        <w:pStyle w:val="Caption"/>
      </w:pPr>
      <w:bookmarkStart w:id="99" w:name="_Toc161743119"/>
      <w:r>
        <w:t xml:space="preserve">Table </w:t>
      </w:r>
      <w:r>
        <w:fldChar w:fldCharType="begin"/>
      </w:r>
      <w:r>
        <w:instrText xml:space="preserve"> SEQ Table \* ARABIC </w:instrText>
      </w:r>
      <w:r>
        <w:fldChar w:fldCharType="separate"/>
      </w:r>
      <w:r w:rsidR="00FE1418">
        <w:rPr>
          <w:noProof/>
        </w:rPr>
        <w:t>16</w:t>
      </w:r>
      <w:r>
        <w:rPr>
          <w:noProof/>
        </w:rPr>
        <w:fldChar w:fldCharType="end"/>
      </w:r>
      <w:r w:rsidR="005B4625">
        <w:t xml:space="preserve">: Key stakeholders consulted throughout the </w:t>
      </w:r>
      <w:proofErr w:type="gramStart"/>
      <w:r w:rsidR="005B4625">
        <w:t>Review</w:t>
      </w:r>
      <w:bookmarkEnd w:id="99"/>
      <w:proofErr w:type="gramEnd"/>
    </w:p>
    <w:tbl>
      <w:tblPr>
        <w:tblStyle w:val="GridTable4-Accent1"/>
        <w:tblW w:w="0" w:type="auto"/>
        <w:tblLook w:val="04A0" w:firstRow="1" w:lastRow="0" w:firstColumn="1" w:lastColumn="0" w:noHBand="0" w:noVBand="1"/>
      </w:tblPr>
      <w:tblGrid>
        <w:gridCol w:w="2122"/>
        <w:gridCol w:w="3543"/>
        <w:gridCol w:w="2127"/>
        <w:gridCol w:w="1836"/>
      </w:tblGrid>
      <w:tr w:rsidR="00132B49" w:rsidRPr="00FB11EE" w14:paraId="683C004E" w14:textId="77777777" w:rsidTr="003222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31BA03B" w14:textId="77777777" w:rsidR="00132B49" w:rsidRPr="00FB11EE" w:rsidRDefault="00132B49" w:rsidP="0032225E">
            <w:pPr>
              <w:spacing w:before="0" w:after="0"/>
              <w:rPr>
                <w:rFonts w:cstheme="minorHAnsi"/>
                <w:sz w:val="18"/>
                <w:szCs w:val="18"/>
              </w:rPr>
            </w:pPr>
            <w:r w:rsidRPr="00FB11EE">
              <w:rPr>
                <w:rFonts w:cstheme="minorHAnsi"/>
                <w:sz w:val="18"/>
                <w:szCs w:val="18"/>
              </w:rPr>
              <w:t>Stakeholder Type</w:t>
            </w:r>
          </w:p>
        </w:tc>
        <w:tc>
          <w:tcPr>
            <w:tcW w:w="3543" w:type="dxa"/>
            <w:vAlign w:val="center"/>
          </w:tcPr>
          <w:p w14:paraId="45DEC4D6" w14:textId="77777777" w:rsidR="00132B49" w:rsidRPr="00FB11EE" w:rsidRDefault="00132B49" w:rsidP="0032225E">
            <w:pP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Stakeholder</w:t>
            </w:r>
          </w:p>
        </w:tc>
        <w:tc>
          <w:tcPr>
            <w:tcW w:w="2127" w:type="dxa"/>
            <w:vAlign w:val="center"/>
          </w:tcPr>
          <w:p w14:paraId="0E321193" w14:textId="77777777" w:rsidR="00132B49" w:rsidRPr="00FB11EE" w:rsidRDefault="00132B49" w:rsidP="0032225E">
            <w:pP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Date consulted</w:t>
            </w:r>
          </w:p>
        </w:tc>
        <w:tc>
          <w:tcPr>
            <w:tcW w:w="1836" w:type="dxa"/>
            <w:vAlign w:val="center"/>
          </w:tcPr>
          <w:p w14:paraId="31D8E0FC" w14:textId="77777777" w:rsidR="00132B49" w:rsidRPr="00FB11EE" w:rsidRDefault="00132B49" w:rsidP="0032225E">
            <w:pPr>
              <w:spacing w:before="0" w:after="0"/>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Number of consultation attendees</w:t>
            </w:r>
          </w:p>
        </w:tc>
      </w:tr>
      <w:tr w:rsidR="00132B49" w:rsidRPr="00FB11EE" w14:paraId="60277CF0" w14:textId="77777777" w:rsidTr="00C61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tcPr>
          <w:p w14:paraId="3F97B857" w14:textId="40CD1D04" w:rsidR="00132B49" w:rsidRPr="00FB11EE" w:rsidRDefault="00132B49" w:rsidP="0032225E">
            <w:pPr>
              <w:spacing w:before="0" w:after="0"/>
              <w:rPr>
                <w:rFonts w:cstheme="minorHAnsi"/>
                <w:sz w:val="18"/>
                <w:szCs w:val="18"/>
              </w:rPr>
            </w:pPr>
            <w:r w:rsidRPr="00FB11EE">
              <w:rPr>
                <w:rFonts w:cstheme="minorHAnsi"/>
                <w:sz w:val="18"/>
                <w:szCs w:val="18"/>
              </w:rPr>
              <w:t>Jurisdictional representatives</w:t>
            </w:r>
          </w:p>
        </w:tc>
        <w:tc>
          <w:tcPr>
            <w:tcW w:w="3543" w:type="dxa"/>
            <w:shd w:val="clear" w:color="auto" w:fill="FFFFFF" w:themeFill="background1"/>
          </w:tcPr>
          <w:p w14:paraId="3A87BE71" w14:textId="49595582" w:rsidR="00132B49" w:rsidRPr="00FB11EE" w:rsidRDefault="00132B49" w:rsidP="0032225E">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The Victorian Aids and Equipment Program - State</w:t>
            </w:r>
            <w:r w:rsidR="008A25D6">
              <w:rPr>
                <w:rFonts w:cstheme="minorHAnsi"/>
                <w:sz w:val="18"/>
                <w:szCs w:val="18"/>
              </w:rPr>
              <w:t>wide</w:t>
            </w:r>
            <w:r w:rsidRPr="00FB11EE">
              <w:rPr>
                <w:rFonts w:cstheme="minorHAnsi"/>
                <w:sz w:val="18"/>
                <w:szCs w:val="18"/>
              </w:rPr>
              <w:t xml:space="preserve"> Equipment Program (SWEP)</w:t>
            </w:r>
          </w:p>
        </w:tc>
        <w:tc>
          <w:tcPr>
            <w:tcW w:w="2127" w:type="dxa"/>
            <w:shd w:val="clear" w:color="auto" w:fill="FFFFFF" w:themeFill="background1"/>
          </w:tcPr>
          <w:p w14:paraId="04A1D0EB"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1/11/2023</w:t>
            </w:r>
          </w:p>
        </w:tc>
        <w:tc>
          <w:tcPr>
            <w:tcW w:w="1836" w:type="dxa"/>
            <w:shd w:val="clear" w:color="auto" w:fill="FFFFFF" w:themeFill="background1"/>
          </w:tcPr>
          <w:p w14:paraId="4ED86F02"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1</w:t>
            </w:r>
          </w:p>
        </w:tc>
      </w:tr>
      <w:tr w:rsidR="00132B49" w:rsidRPr="00FB11EE" w14:paraId="0AB5BF09" w14:textId="77777777" w:rsidTr="00C616E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65F0DB87" w14:textId="77777777" w:rsidR="00132B49" w:rsidRPr="00FB11EE" w:rsidRDefault="00132B49" w:rsidP="0032225E">
            <w:pPr>
              <w:spacing w:before="0" w:after="0"/>
              <w:rPr>
                <w:rFonts w:cstheme="minorHAnsi"/>
              </w:rPr>
            </w:pPr>
          </w:p>
        </w:tc>
        <w:tc>
          <w:tcPr>
            <w:tcW w:w="3543" w:type="dxa"/>
            <w:shd w:val="clear" w:color="auto" w:fill="FFFFFF" w:themeFill="background1"/>
          </w:tcPr>
          <w:p w14:paraId="6422A9CD" w14:textId="350BE2BC" w:rsidR="00132B49" w:rsidRPr="00FB11EE" w:rsidRDefault="00132B49" w:rsidP="0032225E">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FB11EE">
              <w:rPr>
                <w:rFonts w:cstheme="minorHAnsi"/>
                <w:color w:val="000000" w:themeColor="text1"/>
                <w:sz w:val="18"/>
                <w:szCs w:val="18"/>
              </w:rPr>
              <w:t>D</w:t>
            </w:r>
            <w:r w:rsidR="00BC5A5C">
              <w:rPr>
                <w:rFonts w:cstheme="minorHAnsi"/>
                <w:color w:val="000000" w:themeColor="text1"/>
                <w:sz w:val="18"/>
                <w:szCs w:val="18"/>
              </w:rPr>
              <w:t>epartment of Human Services (DHS)</w:t>
            </w:r>
            <w:r w:rsidRPr="00FB11EE">
              <w:rPr>
                <w:rFonts w:cstheme="minorHAnsi"/>
                <w:color w:val="000000" w:themeColor="text1"/>
                <w:sz w:val="18"/>
                <w:szCs w:val="18"/>
              </w:rPr>
              <w:t xml:space="preserve"> Equipment Program South Australia</w:t>
            </w:r>
          </w:p>
        </w:tc>
        <w:tc>
          <w:tcPr>
            <w:tcW w:w="2127" w:type="dxa"/>
            <w:shd w:val="clear" w:color="auto" w:fill="FFFFFF" w:themeFill="background1"/>
          </w:tcPr>
          <w:p w14:paraId="20D8FC8F"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15/11/2023</w:t>
            </w:r>
          </w:p>
        </w:tc>
        <w:tc>
          <w:tcPr>
            <w:tcW w:w="1836" w:type="dxa"/>
            <w:shd w:val="clear" w:color="auto" w:fill="FFFFFF" w:themeFill="background1"/>
          </w:tcPr>
          <w:p w14:paraId="3F5DC0AF"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2</w:t>
            </w:r>
          </w:p>
        </w:tc>
      </w:tr>
      <w:tr w:rsidR="00132B49" w:rsidRPr="00FB11EE" w14:paraId="6C9DD979" w14:textId="77777777" w:rsidTr="00C61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796E7E5A" w14:textId="77777777" w:rsidR="00132B49" w:rsidRPr="00FB11EE" w:rsidRDefault="00132B49" w:rsidP="0032225E">
            <w:pPr>
              <w:spacing w:before="0" w:after="0"/>
              <w:rPr>
                <w:rFonts w:cstheme="minorHAnsi"/>
              </w:rPr>
            </w:pPr>
          </w:p>
        </w:tc>
        <w:tc>
          <w:tcPr>
            <w:tcW w:w="3543" w:type="dxa"/>
            <w:shd w:val="clear" w:color="auto" w:fill="FFFFFF" w:themeFill="background1"/>
          </w:tcPr>
          <w:p w14:paraId="1EF24AD8" w14:textId="22067C99" w:rsidR="00132B49" w:rsidRPr="00FB11EE" w:rsidRDefault="00132B49" w:rsidP="0032225E">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 xml:space="preserve">Enable </w:t>
            </w:r>
            <w:r w:rsidR="000348E6">
              <w:rPr>
                <w:rFonts w:cstheme="minorHAnsi"/>
                <w:sz w:val="18"/>
                <w:szCs w:val="18"/>
              </w:rPr>
              <w:t>New South Wales (</w:t>
            </w:r>
            <w:r w:rsidRPr="00FB11EE">
              <w:rPr>
                <w:rFonts w:cstheme="minorHAnsi"/>
                <w:sz w:val="18"/>
                <w:szCs w:val="18"/>
              </w:rPr>
              <w:t>NSW</w:t>
            </w:r>
            <w:r w:rsidR="000348E6">
              <w:rPr>
                <w:rFonts w:cstheme="minorHAnsi"/>
                <w:sz w:val="18"/>
                <w:szCs w:val="18"/>
              </w:rPr>
              <w:t>)</w:t>
            </w:r>
          </w:p>
        </w:tc>
        <w:tc>
          <w:tcPr>
            <w:tcW w:w="2127" w:type="dxa"/>
            <w:shd w:val="clear" w:color="auto" w:fill="FFFFFF" w:themeFill="background1"/>
          </w:tcPr>
          <w:p w14:paraId="502DF598"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17/11/2023</w:t>
            </w:r>
          </w:p>
        </w:tc>
        <w:tc>
          <w:tcPr>
            <w:tcW w:w="1836" w:type="dxa"/>
            <w:shd w:val="clear" w:color="auto" w:fill="FFFFFF" w:themeFill="background1"/>
          </w:tcPr>
          <w:p w14:paraId="0E3399BE"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1</w:t>
            </w:r>
          </w:p>
        </w:tc>
      </w:tr>
      <w:tr w:rsidR="00132B49" w:rsidRPr="00FB11EE" w14:paraId="3F34C4DD" w14:textId="77777777" w:rsidTr="00C616E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7EACF3C9" w14:textId="77777777" w:rsidR="00132B49" w:rsidRPr="00FB11EE" w:rsidRDefault="00132B49" w:rsidP="0032225E">
            <w:pPr>
              <w:spacing w:before="0" w:after="0"/>
              <w:rPr>
                <w:rFonts w:cstheme="minorHAnsi"/>
              </w:rPr>
            </w:pPr>
          </w:p>
        </w:tc>
        <w:tc>
          <w:tcPr>
            <w:tcW w:w="3543" w:type="dxa"/>
            <w:shd w:val="clear" w:color="auto" w:fill="FFFFFF" w:themeFill="background1"/>
          </w:tcPr>
          <w:p w14:paraId="4C115789" w14:textId="77777777" w:rsidR="00132B49" w:rsidRPr="00FB11EE" w:rsidRDefault="00132B49" w:rsidP="0032225E">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Western Australian Community Aids and Equipment Program (CAEP)</w:t>
            </w:r>
          </w:p>
        </w:tc>
        <w:tc>
          <w:tcPr>
            <w:tcW w:w="2127" w:type="dxa"/>
            <w:shd w:val="clear" w:color="auto" w:fill="FFFFFF" w:themeFill="background1"/>
          </w:tcPr>
          <w:p w14:paraId="505803CD"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9/11/2023</w:t>
            </w:r>
          </w:p>
        </w:tc>
        <w:tc>
          <w:tcPr>
            <w:tcW w:w="1836" w:type="dxa"/>
            <w:shd w:val="clear" w:color="auto" w:fill="FFFFFF" w:themeFill="background1"/>
          </w:tcPr>
          <w:p w14:paraId="5B96B1ED"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2</w:t>
            </w:r>
          </w:p>
        </w:tc>
      </w:tr>
      <w:tr w:rsidR="00132B49" w:rsidRPr="00FB11EE" w14:paraId="07FCE2D3" w14:textId="77777777" w:rsidTr="00C61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66711E1C" w14:textId="77777777" w:rsidR="00132B49" w:rsidRPr="00FB11EE" w:rsidRDefault="00132B49" w:rsidP="0032225E">
            <w:pPr>
              <w:spacing w:before="0" w:after="0"/>
              <w:rPr>
                <w:rFonts w:cstheme="minorHAnsi"/>
              </w:rPr>
            </w:pPr>
          </w:p>
        </w:tc>
        <w:tc>
          <w:tcPr>
            <w:tcW w:w="3543" w:type="dxa"/>
            <w:shd w:val="clear" w:color="auto" w:fill="FFFFFF" w:themeFill="background1"/>
          </w:tcPr>
          <w:p w14:paraId="1C9D117C" w14:textId="77777777" w:rsidR="00132B49" w:rsidRPr="00FB11EE" w:rsidRDefault="00132B49" w:rsidP="0032225E">
            <w:pPr>
              <w:spacing w:before="0" w:after="0"/>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Territory Equipment Program (TEP) Northern Territory</w:t>
            </w:r>
          </w:p>
        </w:tc>
        <w:tc>
          <w:tcPr>
            <w:tcW w:w="2127" w:type="dxa"/>
            <w:shd w:val="clear" w:color="auto" w:fill="FFFFFF" w:themeFill="background1"/>
          </w:tcPr>
          <w:p w14:paraId="50B47872"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10/11/2023</w:t>
            </w:r>
          </w:p>
        </w:tc>
        <w:tc>
          <w:tcPr>
            <w:tcW w:w="1836" w:type="dxa"/>
            <w:shd w:val="clear" w:color="auto" w:fill="FFFFFF" w:themeFill="background1"/>
          </w:tcPr>
          <w:p w14:paraId="367D824F"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2</w:t>
            </w:r>
          </w:p>
        </w:tc>
      </w:tr>
      <w:tr w:rsidR="00132B49" w:rsidRPr="00FB11EE" w14:paraId="51658366" w14:textId="77777777" w:rsidTr="00C616E7">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EBE5F2" w:themeFill="accent5" w:themeFillTint="33"/>
          </w:tcPr>
          <w:p w14:paraId="0B966F21" w14:textId="77777777" w:rsidR="00132B49" w:rsidRPr="00FB11EE" w:rsidRDefault="00132B49" w:rsidP="0032225E">
            <w:pPr>
              <w:spacing w:before="0" w:after="0"/>
              <w:rPr>
                <w:rFonts w:cstheme="minorHAnsi"/>
                <w:sz w:val="18"/>
                <w:szCs w:val="18"/>
              </w:rPr>
            </w:pPr>
            <w:r w:rsidRPr="00FB11EE">
              <w:rPr>
                <w:rFonts w:cstheme="minorHAnsi"/>
                <w:sz w:val="18"/>
                <w:szCs w:val="18"/>
              </w:rPr>
              <w:t>SPAP Advisory Committee for the Department of Health and Aged Care</w:t>
            </w:r>
          </w:p>
        </w:tc>
        <w:tc>
          <w:tcPr>
            <w:tcW w:w="3543" w:type="dxa"/>
            <w:shd w:val="clear" w:color="auto" w:fill="EBE5F2" w:themeFill="accent5" w:themeFillTint="33"/>
          </w:tcPr>
          <w:p w14:paraId="2531FA7D" w14:textId="77777777" w:rsidR="00132B49" w:rsidRPr="00FB11EE" w:rsidRDefault="00132B49" w:rsidP="0032225E">
            <w:pPr>
              <w:spacing w:before="0"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SPAP Committee Meeting (All Members)</w:t>
            </w:r>
          </w:p>
        </w:tc>
        <w:tc>
          <w:tcPr>
            <w:tcW w:w="2127" w:type="dxa"/>
            <w:shd w:val="clear" w:color="auto" w:fill="EBE5F2" w:themeFill="accent5" w:themeFillTint="33"/>
          </w:tcPr>
          <w:p w14:paraId="09635B6A"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24/10/23</w:t>
            </w:r>
          </w:p>
        </w:tc>
        <w:tc>
          <w:tcPr>
            <w:tcW w:w="1836" w:type="dxa"/>
            <w:shd w:val="clear" w:color="auto" w:fill="EBE5F2" w:themeFill="accent5" w:themeFillTint="33"/>
          </w:tcPr>
          <w:p w14:paraId="43B6A85B"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9</w:t>
            </w:r>
          </w:p>
        </w:tc>
      </w:tr>
      <w:tr w:rsidR="00132B49" w:rsidRPr="00FB11EE" w14:paraId="5847ABCE" w14:textId="77777777" w:rsidTr="00C61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EBE5F2" w:themeFill="accent5" w:themeFillTint="33"/>
          </w:tcPr>
          <w:p w14:paraId="3E6EBFD0" w14:textId="77777777" w:rsidR="00132B49" w:rsidRPr="00FB11EE" w:rsidRDefault="00132B49" w:rsidP="0032225E">
            <w:pPr>
              <w:spacing w:before="0" w:after="0"/>
              <w:rPr>
                <w:rFonts w:cstheme="minorHAnsi"/>
              </w:rPr>
            </w:pPr>
          </w:p>
        </w:tc>
        <w:tc>
          <w:tcPr>
            <w:tcW w:w="3543" w:type="dxa"/>
            <w:shd w:val="clear" w:color="auto" w:fill="EBE5F2" w:themeFill="accent5" w:themeFillTint="33"/>
          </w:tcPr>
          <w:p w14:paraId="39C16DA6" w14:textId="77777777" w:rsidR="00132B49" w:rsidRPr="00FB11EE" w:rsidRDefault="00132B49" w:rsidP="0032225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FB11EE">
              <w:rPr>
                <w:rFonts w:eastAsia="Times New Roman" w:cstheme="minorHAnsi"/>
                <w:color w:val="000000" w:themeColor="text1"/>
                <w:sz w:val="18"/>
                <w:szCs w:val="18"/>
                <w:lang w:eastAsia="en-AU"/>
              </w:rPr>
              <w:t xml:space="preserve">ACSA representative </w:t>
            </w:r>
          </w:p>
        </w:tc>
        <w:tc>
          <w:tcPr>
            <w:tcW w:w="2127" w:type="dxa"/>
            <w:shd w:val="clear" w:color="auto" w:fill="EBE5F2" w:themeFill="accent5" w:themeFillTint="33"/>
          </w:tcPr>
          <w:p w14:paraId="4C984009"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19/10/2023</w:t>
            </w:r>
          </w:p>
        </w:tc>
        <w:tc>
          <w:tcPr>
            <w:tcW w:w="1836" w:type="dxa"/>
            <w:shd w:val="clear" w:color="auto" w:fill="EBE5F2" w:themeFill="accent5" w:themeFillTint="33"/>
          </w:tcPr>
          <w:p w14:paraId="07DD8518"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1</w:t>
            </w:r>
          </w:p>
        </w:tc>
      </w:tr>
      <w:tr w:rsidR="00132B49" w:rsidRPr="00FB11EE" w14:paraId="5EFA2B33" w14:textId="77777777" w:rsidTr="00C616E7">
        <w:tc>
          <w:tcPr>
            <w:cnfStyle w:val="001000000000" w:firstRow="0" w:lastRow="0" w:firstColumn="1" w:lastColumn="0" w:oddVBand="0" w:evenVBand="0" w:oddHBand="0" w:evenHBand="0" w:firstRowFirstColumn="0" w:firstRowLastColumn="0" w:lastRowFirstColumn="0" w:lastRowLastColumn="0"/>
            <w:tcW w:w="2122" w:type="dxa"/>
            <w:vMerge/>
            <w:shd w:val="clear" w:color="auto" w:fill="EBE5F2" w:themeFill="accent5" w:themeFillTint="33"/>
          </w:tcPr>
          <w:p w14:paraId="5096DF9E" w14:textId="77777777" w:rsidR="00132B49" w:rsidRPr="00FB11EE" w:rsidRDefault="00132B49" w:rsidP="0032225E">
            <w:pPr>
              <w:spacing w:before="0" w:after="0"/>
              <w:rPr>
                <w:rFonts w:cstheme="minorHAnsi"/>
              </w:rPr>
            </w:pPr>
          </w:p>
        </w:tc>
        <w:tc>
          <w:tcPr>
            <w:tcW w:w="3543" w:type="dxa"/>
            <w:shd w:val="clear" w:color="auto" w:fill="EBE5F2" w:themeFill="accent5" w:themeFillTint="33"/>
          </w:tcPr>
          <w:p w14:paraId="470D8BD0" w14:textId="77777777" w:rsidR="00132B49" w:rsidRPr="00FB11EE" w:rsidRDefault="00132B49" w:rsidP="0032225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B11EE">
              <w:rPr>
                <w:rFonts w:eastAsia="Times New Roman" w:cstheme="minorHAnsi"/>
                <w:color w:val="000000" w:themeColor="text1"/>
                <w:sz w:val="18"/>
                <w:szCs w:val="18"/>
                <w:lang w:eastAsia="en-AU"/>
              </w:rPr>
              <w:t xml:space="preserve">Colorectal Surgeon </w:t>
            </w:r>
          </w:p>
        </w:tc>
        <w:tc>
          <w:tcPr>
            <w:tcW w:w="2127" w:type="dxa"/>
            <w:shd w:val="clear" w:color="auto" w:fill="EBE5F2" w:themeFill="accent5" w:themeFillTint="33"/>
          </w:tcPr>
          <w:p w14:paraId="6DB9751D"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1/11/2023</w:t>
            </w:r>
          </w:p>
        </w:tc>
        <w:tc>
          <w:tcPr>
            <w:tcW w:w="1836" w:type="dxa"/>
            <w:shd w:val="clear" w:color="auto" w:fill="EBE5F2" w:themeFill="accent5" w:themeFillTint="33"/>
          </w:tcPr>
          <w:p w14:paraId="7ECECF78"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1</w:t>
            </w:r>
          </w:p>
        </w:tc>
      </w:tr>
      <w:tr w:rsidR="00132B49" w:rsidRPr="00FB11EE" w14:paraId="137363BA" w14:textId="77777777" w:rsidTr="00C61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EBE5F2" w:themeFill="accent5" w:themeFillTint="33"/>
          </w:tcPr>
          <w:p w14:paraId="3E582010" w14:textId="77777777" w:rsidR="00132B49" w:rsidRPr="00FB11EE" w:rsidRDefault="00132B49" w:rsidP="0032225E">
            <w:pPr>
              <w:spacing w:before="0" w:after="0"/>
              <w:rPr>
                <w:rFonts w:cstheme="minorHAnsi"/>
              </w:rPr>
            </w:pPr>
          </w:p>
        </w:tc>
        <w:tc>
          <w:tcPr>
            <w:tcW w:w="3543" w:type="dxa"/>
            <w:shd w:val="clear" w:color="auto" w:fill="EBE5F2" w:themeFill="accent5" w:themeFillTint="33"/>
          </w:tcPr>
          <w:p w14:paraId="55D2EC2A" w14:textId="77777777" w:rsidR="00132B49" w:rsidRPr="00FB11EE" w:rsidRDefault="00132B49" w:rsidP="0032225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FB11EE">
              <w:rPr>
                <w:rFonts w:eastAsia="Times New Roman" w:cstheme="minorHAnsi"/>
                <w:color w:val="000000" w:themeColor="text1"/>
                <w:sz w:val="18"/>
                <w:szCs w:val="18"/>
                <w:lang w:eastAsia="en-AU"/>
              </w:rPr>
              <w:t xml:space="preserve">Industry Representative </w:t>
            </w:r>
          </w:p>
        </w:tc>
        <w:tc>
          <w:tcPr>
            <w:tcW w:w="2127" w:type="dxa"/>
            <w:shd w:val="clear" w:color="auto" w:fill="EBE5F2" w:themeFill="accent5" w:themeFillTint="33"/>
          </w:tcPr>
          <w:p w14:paraId="17BAE5BF"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4/12/2023</w:t>
            </w:r>
          </w:p>
        </w:tc>
        <w:tc>
          <w:tcPr>
            <w:tcW w:w="1836" w:type="dxa"/>
            <w:shd w:val="clear" w:color="auto" w:fill="EBE5F2" w:themeFill="accent5" w:themeFillTint="33"/>
          </w:tcPr>
          <w:p w14:paraId="780C85BC"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1</w:t>
            </w:r>
          </w:p>
        </w:tc>
      </w:tr>
      <w:tr w:rsidR="00132B49" w:rsidRPr="00FB11EE" w14:paraId="39A8140F" w14:textId="77777777" w:rsidTr="00C616E7">
        <w:tc>
          <w:tcPr>
            <w:cnfStyle w:val="001000000000" w:firstRow="0" w:lastRow="0" w:firstColumn="1" w:lastColumn="0" w:oddVBand="0" w:evenVBand="0" w:oddHBand="0" w:evenHBand="0" w:firstRowFirstColumn="0" w:firstRowLastColumn="0" w:lastRowFirstColumn="0" w:lastRowLastColumn="0"/>
            <w:tcW w:w="2122" w:type="dxa"/>
            <w:vMerge/>
            <w:shd w:val="clear" w:color="auto" w:fill="EBE5F2" w:themeFill="accent5" w:themeFillTint="33"/>
          </w:tcPr>
          <w:p w14:paraId="4CC595BC" w14:textId="77777777" w:rsidR="00132B49" w:rsidRPr="00FB11EE" w:rsidRDefault="00132B49" w:rsidP="0032225E">
            <w:pPr>
              <w:spacing w:before="0" w:after="0"/>
              <w:rPr>
                <w:rFonts w:cstheme="minorHAnsi"/>
              </w:rPr>
            </w:pPr>
          </w:p>
        </w:tc>
        <w:tc>
          <w:tcPr>
            <w:tcW w:w="3543" w:type="dxa"/>
            <w:shd w:val="clear" w:color="auto" w:fill="EBE5F2" w:themeFill="accent5" w:themeFillTint="33"/>
          </w:tcPr>
          <w:p w14:paraId="530E2BDB" w14:textId="77777777" w:rsidR="00132B49" w:rsidRPr="00FB11EE" w:rsidRDefault="00132B49" w:rsidP="0032225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B11EE">
              <w:rPr>
                <w:rFonts w:eastAsia="Times New Roman" w:cstheme="minorHAnsi"/>
                <w:color w:val="000000" w:themeColor="text1"/>
                <w:sz w:val="18"/>
                <w:szCs w:val="18"/>
                <w:lang w:eastAsia="en-AU"/>
              </w:rPr>
              <w:t xml:space="preserve">Health Economist </w:t>
            </w:r>
          </w:p>
        </w:tc>
        <w:tc>
          <w:tcPr>
            <w:tcW w:w="2127" w:type="dxa"/>
            <w:shd w:val="clear" w:color="auto" w:fill="EBE5F2" w:themeFill="accent5" w:themeFillTint="33"/>
          </w:tcPr>
          <w:p w14:paraId="61B5533D"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8/11/2023</w:t>
            </w:r>
          </w:p>
        </w:tc>
        <w:tc>
          <w:tcPr>
            <w:tcW w:w="1836" w:type="dxa"/>
            <w:shd w:val="clear" w:color="auto" w:fill="EBE5F2" w:themeFill="accent5" w:themeFillTint="33"/>
          </w:tcPr>
          <w:p w14:paraId="04472D78"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1</w:t>
            </w:r>
          </w:p>
        </w:tc>
      </w:tr>
      <w:tr w:rsidR="00132B49" w:rsidRPr="00FB11EE" w14:paraId="740F5EE7" w14:textId="77777777" w:rsidTr="00C61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EBE5F2" w:themeFill="accent5" w:themeFillTint="33"/>
          </w:tcPr>
          <w:p w14:paraId="00165786" w14:textId="77777777" w:rsidR="00132B49" w:rsidRPr="00FB11EE" w:rsidRDefault="00132B49" w:rsidP="0032225E">
            <w:pPr>
              <w:spacing w:before="0" w:after="0"/>
              <w:rPr>
                <w:rFonts w:cstheme="minorHAnsi"/>
              </w:rPr>
            </w:pPr>
          </w:p>
        </w:tc>
        <w:tc>
          <w:tcPr>
            <w:tcW w:w="3543" w:type="dxa"/>
            <w:shd w:val="clear" w:color="auto" w:fill="EBE5F2" w:themeFill="accent5" w:themeFillTint="33"/>
          </w:tcPr>
          <w:p w14:paraId="74285B83" w14:textId="77777777" w:rsidR="00132B49" w:rsidRPr="00FB11EE" w:rsidRDefault="00132B49" w:rsidP="0032225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FB11EE">
              <w:rPr>
                <w:rFonts w:eastAsia="Times New Roman" w:cstheme="minorHAnsi"/>
                <w:color w:val="000000" w:themeColor="text1"/>
                <w:sz w:val="18"/>
                <w:szCs w:val="18"/>
                <w:lang w:eastAsia="en-AU"/>
              </w:rPr>
              <w:t xml:space="preserve">Stomal Therapy Nurse </w:t>
            </w:r>
          </w:p>
        </w:tc>
        <w:tc>
          <w:tcPr>
            <w:tcW w:w="2127" w:type="dxa"/>
            <w:shd w:val="clear" w:color="auto" w:fill="EBE5F2" w:themeFill="accent5" w:themeFillTint="33"/>
          </w:tcPr>
          <w:p w14:paraId="4B4B9465"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10/11/2023</w:t>
            </w:r>
          </w:p>
        </w:tc>
        <w:tc>
          <w:tcPr>
            <w:tcW w:w="1836" w:type="dxa"/>
            <w:shd w:val="clear" w:color="auto" w:fill="EBE5F2" w:themeFill="accent5" w:themeFillTint="33"/>
          </w:tcPr>
          <w:p w14:paraId="2D88CC38"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1</w:t>
            </w:r>
          </w:p>
        </w:tc>
      </w:tr>
      <w:tr w:rsidR="00132B49" w:rsidRPr="00FB11EE" w14:paraId="2535BDE7" w14:textId="77777777" w:rsidTr="00C616E7">
        <w:tc>
          <w:tcPr>
            <w:cnfStyle w:val="001000000000" w:firstRow="0" w:lastRow="0" w:firstColumn="1" w:lastColumn="0" w:oddVBand="0" w:evenVBand="0" w:oddHBand="0" w:evenHBand="0" w:firstRowFirstColumn="0" w:firstRowLastColumn="0" w:lastRowFirstColumn="0" w:lastRowLastColumn="0"/>
            <w:tcW w:w="2122" w:type="dxa"/>
            <w:vMerge/>
            <w:shd w:val="clear" w:color="auto" w:fill="EBE5F2" w:themeFill="accent5" w:themeFillTint="33"/>
          </w:tcPr>
          <w:p w14:paraId="0CB8A69A" w14:textId="77777777" w:rsidR="00132B49" w:rsidRPr="00FB11EE" w:rsidRDefault="00132B49" w:rsidP="0032225E">
            <w:pPr>
              <w:spacing w:before="0" w:after="0"/>
              <w:rPr>
                <w:rFonts w:cstheme="minorHAnsi"/>
              </w:rPr>
            </w:pPr>
          </w:p>
        </w:tc>
        <w:tc>
          <w:tcPr>
            <w:tcW w:w="3543" w:type="dxa"/>
            <w:shd w:val="clear" w:color="auto" w:fill="EBE5F2" w:themeFill="accent5" w:themeFillTint="33"/>
          </w:tcPr>
          <w:p w14:paraId="22DC1DF7" w14:textId="77777777" w:rsidR="00132B49" w:rsidRPr="00FB11EE" w:rsidRDefault="00132B49" w:rsidP="0032225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B11EE">
              <w:rPr>
                <w:rFonts w:eastAsia="Times New Roman" w:cstheme="minorHAnsi"/>
                <w:color w:val="000000" w:themeColor="text1"/>
                <w:sz w:val="18"/>
                <w:szCs w:val="18"/>
                <w:lang w:eastAsia="en-AU"/>
              </w:rPr>
              <w:t xml:space="preserve">Stomal Therapy Nurse </w:t>
            </w:r>
          </w:p>
        </w:tc>
        <w:tc>
          <w:tcPr>
            <w:tcW w:w="2127" w:type="dxa"/>
            <w:shd w:val="clear" w:color="auto" w:fill="EBE5F2" w:themeFill="accent5" w:themeFillTint="33"/>
          </w:tcPr>
          <w:p w14:paraId="71765329"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14/11/2023</w:t>
            </w:r>
          </w:p>
        </w:tc>
        <w:tc>
          <w:tcPr>
            <w:tcW w:w="1836" w:type="dxa"/>
            <w:shd w:val="clear" w:color="auto" w:fill="EBE5F2" w:themeFill="accent5" w:themeFillTint="33"/>
          </w:tcPr>
          <w:p w14:paraId="63614234"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1</w:t>
            </w:r>
          </w:p>
        </w:tc>
      </w:tr>
      <w:tr w:rsidR="00132B49" w:rsidRPr="00FB11EE" w14:paraId="34D7F535" w14:textId="77777777" w:rsidTr="00C61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EBE5F2" w:themeFill="accent5" w:themeFillTint="33"/>
          </w:tcPr>
          <w:p w14:paraId="19C307CF" w14:textId="77777777" w:rsidR="00132B49" w:rsidRPr="00FB11EE" w:rsidRDefault="00132B49" w:rsidP="0032225E">
            <w:pPr>
              <w:spacing w:before="0" w:after="0"/>
              <w:rPr>
                <w:rFonts w:cstheme="minorHAnsi"/>
              </w:rPr>
            </w:pPr>
          </w:p>
        </w:tc>
        <w:tc>
          <w:tcPr>
            <w:tcW w:w="3543" w:type="dxa"/>
            <w:shd w:val="clear" w:color="auto" w:fill="EBE5F2" w:themeFill="accent5" w:themeFillTint="33"/>
          </w:tcPr>
          <w:p w14:paraId="6A0F4F36" w14:textId="77777777" w:rsidR="00132B49" w:rsidRPr="00FB11EE" w:rsidRDefault="00132B49" w:rsidP="0032225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FB11EE">
              <w:rPr>
                <w:rFonts w:eastAsia="Times New Roman" w:cstheme="minorHAnsi"/>
                <w:color w:val="000000" w:themeColor="text1"/>
                <w:sz w:val="18"/>
                <w:szCs w:val="18"/>
                <w:lang w:eastAsia="en-AU"/>
              </w:rPr>
              <w:t xml:space="preserve">Consumer Representative </w:t>
            </w:r>
          </w:p>
        </w:tc>
        <w:tc>
          <w:tcPr>
            <w:tcW w:w="2127" w:type="dxa"/>
            <w:shd w:val="clear" w:color="auto" w:fill="EBE5F2" w:themeFill="accent5" w:themeFillTint="33"/>
          </w:tcPr>
          <w:p w14:paraId="685EC19A"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10/11/2023</w:t>
            </w:r>
          </w:p>
        </w:tc>
        <w:tc>
          <w:tcPr>
            <w:tcW w:w="1836" w:type="dxa"/>
            <w:shd w:val="clear" w:color="auto" w:fill="EBE5F2" w:themeFill="accent5" w:themeFillTint="33"/>
          </w:tcPr>
          <w:p w14:paraId="16361BDF"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1</w:t>
            </w:r>
          </w:p>
        </w:tc>
      </w:tr>
      <w:tr w:rsidR="00132B49" w:rsidRPr="00FB11EE" w14:paraId="24C5893E" w14:textId="77777777" w:rsidTr="00C616E7">
        <w:tc>
          <w:tcPr>
            <w:cnfStyle w:val="001000000000" w:firstRow="0" w:lastRow="0" w:firstColumn="1" w:lastColumn="0" w:oddVBand="0" w:evenVBand="0" w:oddHBand="0" w:evenHBand="0" w:firstRowFirstColumn="0" w:firstRowLastColumn="0" w:lastRowFirstColumn="0" w:lastRowLastColumn="0"/>
            <w:tcW w:w="2122" w:type="dxa"/>
            <w:vMerge/>
            <w:shd w:val="clear" w:color="auto" w:fill="EBE5F2" w:themeFill="accent5" w:themeFillTint="33"/>
          </w:tcPr>
          <w:p w14:paraId="5BE6B8C3" w14:textId="77777777" w:rsidR="00132B49" w:rsidRPr="00FB11EE" w:rsidRDefault="00132B49" w:rsidP="0032225E">
            <w:pPr>
              <w:spacing w:before="0" w:after="0"/>
              <w:rPr>
                <w:rFonts w:cstheme="minorHAnsi"/>
              </w:rPr>
            </w:pPr>
          </w:p>
        </w:tc>
        <w:tc>
          <w:tcPr>
            <w:tcW w:w="3543" w:type="dxa"/>
            <w:shd w:val="clear" w:color="auto" w:fill="EBE5F2" w:themeFill="accent5" w:themeFillTint="33"/>
          </w:tcPr>
          <w:p w14:paraId="3D4AE7C2" w14:textId="77777777" w:rsidR="00132B49" w:rsidRPr="00FB11EE" w:rsidRDefault="00132B49" w:rsidP="0032225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B11EE">
              <w:rPr>
                <w:rFonts w:eastAsia="Times New Roman" w:cstheme="minorHAnsi"/>
                <w:color w:val="000000" w:themeColor="text1"/>
                <w:sz w:val="18"/>
                <w:szCs w:val="18"/>
                <w:lang w:eastAsia="en-AU"/>
              </w:rPr>
              <w:t xml:space="preserve">Health Economist </w:t>
            </w:r>
          </w:p>
        </w:tc>
        <w:tc>
          <w:tcPr>
            <w:tcW w:w="2127" w:type="dxa"/>
            <w:shd w:val="clear" w:color="auto" w:fill="EBE5F2" w:themeFill="accent5" w:themeFillTint="33"/>
          </w:tcPr>
          <w:p w14:paraId="7DA9CBEC"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20/11/2023</w:t>
            </w:r>
          </w:p>
        </w:tc>
        <w:tc>
          <w:tcPr>
            <w:tcW w:w="1836" w:type="dxa"/>
            <w:shd w:val="clear" w:color="auto" w:fill="EBE5F2" w:themeFill="accent5" w:themeFillTint="33"/>
          </w:tcPr>
          <w:p w14:paraId="760123C1"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1</w:t>
            </w:r>
          </w:p>
        </w:tc>
      </w:tr>
      <w:tr w:rsidR="00132B49" w:rsidRPr="00FB11EE" w14:paraId="39EF86EC" w14:textId="77777777" w:rsidTr="00C61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492ED92D" w14:textId="77777777" w:rsidR="00132B49" w:rsidRPr="00FB11EE" w:rsidRDefault="00132B49" w:rsidP="0032225E">
            <w:pPr>
              <w:spacing w:before="0" w:after="0"/>
              <w:rPr>
                <w:rFonts w:cstheme="minorHAnsi"/>
                <w:sz w:val="18"/>
                <w:szCs w:val="18"/>
              </w:rPr>
            </w:pPr>
            <w:r w:rsidRPr="00FB11EE">
              <w:rPr>
                <w:rFonts w:cstheme="minorHAnsi"/>
                <w:sz w:val="18"/>
                <w:szCs w:val="18"/>
              </w:rPr>
              <w:t>Australian Association of Stomal Therapy Nurses (AASTN)</w:t>
            </w:r>
          </w:p>
        </w:tc>
        <w:tc>
          <w:tcPr>
            <w:tcW w:w="3543" w:type="dxa"/>
            <w:shd w:val="clear" w:color="auto" w:fill="FFFFFF" w:themeFill="background1"/>
          </w:tcPr>
          <w:p w14:paraId="254E8265" w14:textId="77777777" w:rsidR="00132B49" w:rsidRPr="00FB11EE" w:rsidRDefault="00132B49" w:rsidP="0032225E">
            <w:pPr>
              <w:spacing w:before="0" w:after="0"/>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FB11EE">
              <w:rPr>
                <w:rFonts w:eastAsia="Times New Roman" w:cstheme="minorHAnsi"/>
                <w:color w:val="000000" w:themeColor="text1"/>
                <w:sz w:val="18"/>
                <w:szCs w:val="18"/>
                <w:lang w:eastAsia="en-AU"/>
              </w:rPr>
              <w:t>President and Secretary</w:t>
            </w:r>
          </w:p>
        </w:tc>
        <w:tc>
          <w:tcPr>
            <w:tcW w:w="2127" w:type="dxa"/>
            <w:shd w:val="clear" w:color="auto" w:fill="FFFFFF" w:themeFill="background1"/>
          </w:tcPr>
          <w:p w14:paraId="4FED1782"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14/11/2023</w:t>
            </w:r>
          </w:p>
        </w:tc>
        <w:tc>
          <w:tcPr>
            <w:tcW w:w="1836" w:type="dxa"/>
            <w:shd w:val="clear" w:color="auto" w:fill="FFFFFF" w:themeFill="background1"/>
          </w:tcPr>
          <w:p w14:paraId="55ABC69E"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2</w:t>
            </w:r>
          </w:p>
        </w:tc>
      </w:tr>
      <w:tr w:rsidR="00132B49" w:rsidRPr="00FB11EE" w14:paraId="44DFF866" w14:textId="77777777" w:rsidTr="00C616E7">
        <w:tc>
          <w:tcPr>
            <w:cnfStyle w:val="001000000000" w:firstRow="0" w:lastRow="0" w:firstColumn="1" w:lastColumn="0" w:oddVBand="0" w:evenVBand="0" w:oddHBand="0" w:evenHBand="0" w:firstRowFirstColumn="0" w:firstRowLastColumn="0" w:lastRowFirstColumn="0" w:lastRowLastColumn="0"/>
            <w:tcW w:w="2122" w:type="dxa"/>
            <w:shd w:val="clear" w:color="auto" w:fill="EBE5F2" w:themeFill="accent5" w:themeFillTint="33"/>
          </w:tcPr>
          <w:p w14:paraId="3517D850" w14:textId="77777777" w:rsidR="00132B49" w:rsidRPr="00FB11EE" w:rsidRDefault="00132B49" w:rsidP="0032225E">
            <w:pPr>
              <w:spacing w:before="0" w:after="0"/>
              <w:rPr>
                <w:rFonts w:cstheme="minorHAnsi"/>
                <w:sz w:val="18"/>
                <w:szCs w:val="18"/>
              </w:rPr>
            </w:pPr>
            <w:r w:rsidRPr="00FB11EE">
              <w:rPr>
                <w:rFonts w:cstheme="minorHAnsi"/>
                <w:sz w:val="18"/>
                <w:szCs w:val="18"/>
              </w:rPr>
              <w:t>Stoma Industry Association</w:t>
            </w:r>
          </w:p>
        </w:tc>
        <w:tc>
          <w:tcPr>
            <w:tcW w:w="3543" w:type="dxa"/>
            <w:shd w:val="clear" w:color="auto" w:fill="EBE5F2" w:themeFill="accent5" w:themeFillTint="33"/>
          </w:tcPr>
          <w:p w14:paraId="6ED240F6" w14:textId="77777777" w:rsidR="00132B49" w:rsidRPr="00FB11EE" w:rsidRDefault="00132B49" w:rsidP="0032225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B11EE">
              <w:rPr>
                <w:rFonts w:eastAsia="Times New Roman" w:cstheme="minorHAnsi"/>
                <w:color w:val="000000" w:themeColor="text1"/>
                <w:sz w:val="18"/>
                <w:szCs w:val="18"/>
                <w:lang w:eastAsia="en-AU"/>
              </w:rPr>
              <w:t>Chair</w:t>
            </w:r>
          </w:p>
        </w:tc>
        <w:tc>
          <w:tcPr>
            <w:tcW w:w="2127" w:type="dxa"/>
            <w:shd w:val="clear" w:color="auto" w:fill="EBE5F2" w:themeFill="accent5" w:themeFillTint="33"/>
          </w:tcPr>
          <w:p w14:paraId="13131DA6"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21/11/2023</w:t>
            </w:r>
          </w:p>
        </w:tc>
        <w:tc>
          <w:tcPr>
            <w:tcW w:w="1836" w:type="dxa"/>
            <w:shd w:val="clear" w:color="auto" w:fill="EBE5F2" w:themeFill="accent5" w:themeFillTint="33"/>
          </w:tcPr>
          <w:p w14:paraId="5F651B94"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1</w:t>
            </w:r>
          </w:p>
        </w:tc>
      </w:tr>
      <w:tr w:rsidR="00132B49" w:rsidRPr="00FB11EE" w14:paraId="46B1554E" w14:textId="77777777" w:rsidTr="00C61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FFFFFF" w:themeFill="background1"/>
          </w:tcPr>
          <w:p w14:paraId="5F492FA7" w14:textId="77777777" w:rsidR="00132B49" w:rsidRPr="00FB11EE" w:rsidRDefault="00132B49" w:rsidP="0032225E">
            <w:pPr>
              <w:spacing w:before="0" w:after="0"/>
              <w:rPr>
                <w:rFonts w:cstheme="minorHAnsi"/>
                <w:sz w:val="18"/>
                <w:szCs w:val="18"/>
              </w:rPr>
            </w:pPr>
            <w:r w:rsidRPr="00FB11EE">
              <w:rPr>
                <w:rFonts w:cstheme="minorHAnsi"/>
                <w:sz w:val="18"/>
                <w:szCs w:val="18"/>
              </w:rPr>
              <w:t xml:space="preserve">Industry </w:t>
            </w:r>
          </w:p>
        </w:tc>
        <w:tc>
          <w:tcPr>
            <w:tcW w:w="3543" w:type="dxa"/>
            <w:shd w:val="clear" w:color="auto" w:fill="FFFFFF" w:themeFill="background1"/>
          </w:tcPr>
          <w:p w14:paraId="15B60844" w14:textId="77777777" w:rsidR="00132B49" w:rsidRPr="00FB11EE" w:rsidRDefault="00132B49" w:rsidP="0032225E">
            <w:pPr>
              <w:spacing w:before="0" w:after="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FB11EE">
              <w:rPr>
                <w:rFonts w:cstheme="minorHAnsi"/>
                <w:color w:val="000000" w:themeColor="text1"/>
                <w:sz w:val="18"/>
                <w:szCs w:val="18"/>
              </w:rPr>
              <w:t>Stoma product supplier</w:t>
            </w:r>
          </w:p>
        </w:tc>
        <w:tc>
          <w:tcPr>
            <w:tcW w:w="2127" w:type="dxa"/>
            <w:shd w:val="clear" w:color="auto" w:fill="FFFFFF" w:themeFill="background1"/>
          </w:tcPr>
          <w:p w14:paraId="0367D014"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13/11/2023</w:t>
            </w:r>
          </w:p>
        </w:tc>
        <w:tc>
          <w:tcPr>
            <w:tcW w:w="1836" w:type="dxa"/>
            <w:shd w:val="clear" w:color="auto" w:fill="FFFFFF" w:themeFill="background1"/>
          </w:tcPr>
          <w:p w14:paraId="40A64BA8"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2</w:t>
            </w:r>
          </w:p>
        </w:tc>
      </w:tr>
      <w:tr w:rsidR="00132B49" w:rsidRPr="00FB11EE" w14:paraId="5DAAFEEC" w14:textId="77777777" w:rsidTr="00C616E7">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1C22730C" w14:textId="77777777" w:rsidR="00132B49" w:rsidRPr="00FB11EE" w:rsidRDefault="00132B49" w:rsidP="0032225E">
            <w:pPr>
              <w:spacing w:before="0" w:after="0"/>
              <w:rPr>
                <w:rFonts w:cstheme="minorHAnsi"/>
              </w:rPr>
            </w:pPr>
          </w:p>
        </w:tc>
        <w:tc>
          <w:tcPr>
            <w:tcW w:w="3543" w:type="dxa"/>
            <w:shd w:val="clear" w:color="auto" w:fill="FFFFFF" w:themeFill="background1"/>
          </w:tcPr>
          <w:p w14:paraId="70A44170" w14:textId="77777777" w:rsidR="00132B49" w:rsidRPr="00FB11EE" w:rsidRDefault="00132B49" w:rsidP="0032225E">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FB11EE">
              <w:rPr>
                <w:rFonts w:cstheme="minorHAnsi"/>
                <w:color w:val="000000" w:themeColor="text1"/>
                <w:sz w:val="18"/>
                <w:szCs w:val="18"/>
              </w:rPr>
              <w:t>Stoma product supplier</w:t>
            </w:r>
          </w:p>
        </w:tc>
        <w:tc>
          <w:tcPr>
            <w:tcW w:w="2127" w:type="dxa"/>
            <w:shd w:val="clear" w:color="auto" w:fill="FFFFFF" w:themeFill="background1"/>
          </w:tcPr>
          <w:p w14:paraId="686F5AB9"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24/11/2023</w:t>
            </w:r>
          </w:p>
        </w:tc>
        <w:tc>
          <w:tcPr>
            <w:tcW w:w="1836" w:type="dxa"/>
            <w:shd w:val="clear" w:color="auto" w:fill="FFFFFF" w:themeFill="background1"/>
          </w:tcPr>
          <w:p w14:paraId="12F860EC"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2</w:t>
            </w:r>
          </w:p>
        </w:tc>
      </w:tr>
      <w:tr w:rsidR="00132B49" w:rsidRPr="00FB11EE" w14:paraId="07919FC0" w14:textId="77777777" w:rsidTr="00C61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FFFFFF" w:themeFill="background1"/>
          </w:tcPr>
          <w:p w14:paraId="04027EA0" w14:textId="77777777" w:rsidR="00132B49" w:rsidRPr="00FB11EE" w:rsidRDefault="00132B49" w:rsidP="0032225E">
            <w:pPr>
              <w:spacing w:before="0" w:after="0"/>
              <w:rPr>
                <w:rFonts w:cstheme="minorHAnsi"/>
              </w:rPr>
            </w:pPr>
          </w:p>
        </w:tc>
        <w:tc>
          <w:tcPr>
            <w:tcW w:w="3543" w:type="dxa"/>
            <w:shd w:val="clear" w:color="auto" w:fill="FFFFFF" w:themeFill="background1"/>
          </w:tcPr>
          <w:p w14:paraId="6EC08043" w14:textId="77777777" w:rsidR="00132B49" w:rsidRPr="00FB11EE" w:rsidRDefault="00132B49" w:rsidP="0032225E">
            <w:pPr>
              <w:spacing w:before="0" w:after="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FB11EE">
              <w:rPr>
                <w:rFonts w:cstheme="minorHAnsi"/>
                <w:color w:val="000000" w:themeColor="text1"/>
                <w:sz w:val="18"/>
                <w:szCs w:val="18"/>
              </w:rPr>
              <w:t>Stoma product supplier</w:t>
            </w:r>
          </w:p>
        </w:tc>
        <w:tc>
          <w:tcPr>
            <w:tcW w:w="2127" w:type="dxa"/>
            <w:shd w:val="clear" w:color="auto" w:fill="FFFFFF" w:themeFill="background1"/>
          </w:tcPr>
          <w:p w14:paraId="6A0576C2"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28/11/2023</w:t>
            </w:r>
          </w:p>
        </w:tc>
        <w:tc>
          <w:tcPr>
            <w:tcW w:w="1836" w:type="dxa"/>
            <w:shd w:val="clear" w:color="auto" w:fill="FFFFFF" w:themeFill="background1"/>
          </w:tcPr>
          <w:p w14:paraId="6EA9EA62"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2</w:t>
            </w:r>
          </w:p>
        </w:tc>
      </w:tr>
      <w:tr w:rsidR="00132B49" w:rsidRPr="00FB11EE" w14:paraId="475E5EC8" w14:textId="77777777" w:rsidTr="00C616E7">
        <w:tc>
          <w:tcPr>
            <w:cnfStyle w:val="001000000000" w:firstRow="0" w:lastRow="0" w:firstColumn="1" w:lastColumn="0" w:oddVBand="0" w:evenVBand="0" w:oddHBand="0" w:evenHBand="0" w:firstRowFirstColumn="0" w:firstRowLastColumn="0" w:lastRowFirstColumn="0" w:lastRowLastColumn="0"/>
            <w:tcW w:w="2122" w:type="dxa"/>
            <w:shd w:val="clear" w:color="auto" w:fill="EBE5F2" w:themeFill="accent5" w:themeFillTint="33"/>
          </w:tcPr>
          <w:p w14:paraId="78AA3CD2" w14:textId="77777777" w:rsidR="00132B49" w:rsidRPr="00FB11EE" w:rsidRDefault="00132B49" w:rsidP="0032225E">
            <w:pPr>
              <w:spacing w:before="0" w:after="0"/>
              <w:rPr>
                <w:rFonts w:cstheme="minorHAnsi"/>
                <w:sz w:val="18"/>
                <w:szCs w:val="18"/>
              </w:rPr>
            </w:pPr>
            <w:r w:rsidRPr="00FB11EE">
              <w:rPr>
                <w:rFonts w:cstheme="minorHAnsi"/>
                <w:sz w:val="18"/>
                <w:szCs w:val="18"/>
              </w:rPr>
              <w:t>Special Needs Group</w:t>
            </w:r>
          </w:p>
        </w:tc>
        <w:tc>
          <w:tcPr>
            <w:tcW w:w="3543" w:type="dxa"/>
            <w:shd w:val="clear" w:color="auto" w:fill="EBE5F2" w:themeFill="accent5" w:themeFillTint="33"/>
          </w:tcPr>
          <w:p w14:paraId="35EC4DB5" w14:textId="77777777" w:rsidR="00132B49" w:rsidRPr="00FB11EE" w:rsidRDefault="00132B49" w:rsidP="0032225E">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FB11EE">
              <w:rPr>
                <w:rFonts w:cstheme="minorHAnsi"/>
                <w:color w:val="000000" w:themeColor="text1"/>
                <w:sz w:val="18"/>
                <w:szCs w:val="18"/>
              </w:rPr>
              <w:t>National Rural Health Alliance</w:t>
            </w:r>
          </w:p>
        </w:tc>
        <w:tc>
          <w:tcPr>
            <w:tcW w:w="2127" w:type="dxa"/>
            <w:shd w:val="clear" w:color="auto" w:fill="EBE5F2" w:themeFill="accent5" w:themeFillTint="33"/>
          </w:tcPr>
          <w:p w14:paraId="456DF7B0"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4/12/2023</w:t>
            </w:r>
          </w:p>
        </w:tc>
        <w:tc>
          <w:tcPr>
            <w:tcW w:w="1836" w:type="dxa"/>
            <w:shd w:val="clear" w:color="auto" w:fill="EBE5F2" w:themeFill="accent5" w:themeFillTint="33"/>
          </w:tcPr>
          <w:p w14:paraId="26C3FA19"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2</w:t>
            </w:r>
          </w:p>
        </w:tc>
      </w:tr>
      <w:tr w:rsidR="00132B49" w:rsidRPr="00FB11EE" w14:paraId="0DFBEAA6" w14:textId="77777777" w:rsidTr="00C61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shd w:val="clear" w:color="auto" w:fill="FFFFFF" w:themeFill="background1"/>
          </w:tcPr>
          <w:p w14:paraId="0A67065C" w14:textId="77777777" w:rsidR="00132B49" w:rsidRPr="00FB11EE" w:rsidRDefault="00132B49" w:rsidP="0032225E">
            <w:pPr>
              <w:spacing w:before="0" w:after="0"/>
              <w:rPr>
                <w:rFonts w:cstheme="minorHAnsi"/>
                <w:sz w:val="18"/>
                <w:szCs w:val="18"/>
              </w:rPr>
            </w:pPr>
            <w:r w:rsidRPr="00FB11EE">
              <w:rPr>
                <w:rFonts w:cstheme="minorHAnsi"/>
                <w:sz w:val="18"/>
                <w:szCs w:val="18"/>
              </w:rPr>
              <w:t>Consumers</w:t>
            </w:r>
          </w:p>
        </w:tc>
        <w:tc>
          <w:tcPr>
            <w:tcW w:w="3543" w:type="dxa"/>
            <w:shd w:val="clear" w:color="auto" w:fill="FFFFFF" w:themeFill="background1"/>
          </w:tcPr>
          <w:p w14:paraId="2D6BB9E2" w14:textId="77777777" w:rsidR="00132B49" w:rsidRPr="00FB11EE" w:rsidRDefault="00132B49" w:rsidP="0032225E">
            <w:pPr>
              <w:spacing w:before="0" w:after="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FB11EE">
              <w:rPr>
                <w:rFonts w:cstheme="minorHAnsi"/>
                <w:color w:val="000000" w:themeColor="text1"/>
                <w:sz w:val="18"/>
                <w:szCs w:val="18"/>
              </w:rPr>
              <w:t>Ostomates</w:t>
            </w:r>
          </w:p>
        </w:tc>
        <w:tc>
          <w:tcPr>
            <w:tcW w:w="2127" w:type="dxa"/>
            <w:shd w:val="clear" w:color="auto" w:fill="FFFFFF" w:themeFill="background1"/>
          </w:tcPr>
          <w:p w14:paraId="18C6F15D"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20/11/2023-24/11/2023</w:t>
            </w:r>
          </w:p>
        </w:tc>
        <w:tc>
          <w:tcPr>
            <w:tcW w:w="1836" w:type="dxa"/>
            <w:shd w:val="clear" w:color="auto" w:fill="FFFFFF" w:themeFill="background1"/>
          </w:tcPr>
          <w:p w14:paraId="23264398" w14:textId="77777777" w:rsidR="00132B49" w:rsidRPr="00FB11EE" w:rsidRDefault="00132B49" w:rsidP="0032225E">
            <w:pPr>
              <w:spacing w:before="0" w:after="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4</w:t>
            </w:r>
          </w:p>
        </w:tc>
      </w:tr>
      <w:tr w:rsidR="00132B49" w:rsidRPr="00FB11EE" w14:paraId="237CD6A4" w14:textId="77777777" w:rsidTr="00C616E7">
        <w:tc>
          <w:tcPr>
            <w:cnfStyle w:val="001000000000" w:firstRow="0" w:lastRow="0" w:firstColumn="1" w:lastColumn="0" w:oddVBand="0" w:evenVBand="0" w:oddHBand="0" w:evenHBand="0" w:firstRowFirstColumn="0" w:firstRowLastColumn="0" w:lastRowFirstColumn="0" w:lastRowLastColumn="0"/>
            <w:tcW w:w="2122" w:type="dxa"/>
            <w:vMerge w:val="restart"/>
            <w:shd w:val="clear" w:color="auto" w:fill="EBE5F2" w:themeFill="accent5" w:themeFillTint="33"/>
          </w:tcPr>
          <w:p w14:paraId="1465A046" w14:textId="77777777" w:rsidR="00132B49" w:rsidRPr="00FB11EE" w:rsidRDefault="00132B49" w:rsidP="0032225E">
            <w:pPr>
              <w:spacing w:before="0" w:after="0"/>
              <w:rPr>
                <w:rFonts w:cstheme="minorHAnsi"/>
                <w:sz w:val="18"/>
                <w:szCs w:val="18"/>
              </w:rPr>
            </w:pPr>
            <w:r w:rsidRPr="00FB11EE">
              <w:rPr>
                <w:rFonts w:cstheme="minorHAnsi"/>
                <w:sz w:val="18"/>
                <w:szCs w:val="18"/>
              </w:rPr>
              <w:t>Focus groups</w:t>
            </w:r>
          </w:p>
        </w:tc>
        <w:tc>
          <w:tcPr>
            <w:tcW w:w="3543" w:type="dxa"/>
            <w:shd w:val="clear" w:color="auto" w:fill="EBE5F2" w:themeFill="accent5" w:themeFillTint="33"/>
          </w:tcPr>
          <w:p w14:paraId="19C2593A" w14:textId="77777777" w:rsidR="00132B49" w:rsidRPr="00FB11EE" w:rsidRDefault="00132B49" w:rsidP="0032225E">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FB11EE">
              <w:rPr>
                <w:rFonts w:cstheme="minorHAnsi"/>
                <w:color w:val="000000" w:themeColor="text1"/>
                <w:sz w:val="18"/>
                <w:szCs w:val="18"/>
              </w:rPr>
              <w:t>Stoma Associations</w:t>
            </w:r>
          </w:p>
        </w:tc>
        <w:tc>
          <w:tcPr>
            <w:tcW w:w="2127" w:type="dxa"/>
            <w:shd w:val="clear" w:color="auto" w:fill="EBE5F2" w:themeFill="accent5" w:themeFillTint="33"/>
          </w:tcPr>
          <w:p w14:paraId="4FE5B799"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22/11/2023</w:t>
            </w:r>
          </w:p>
        </w:tc>
        <w:tc>
          <w:tcPr>
            <w:tcW w:w="1836" w:type="dxa"/>
            <w:shd w:val="clear" w:color="auto" w:fill="EBE5F2" w:themeFill="accent5" w:themeFillTint="33"/>
          </w:tcPr>
          <w:p w14:paraId="3AC144E5"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6</w:t>
            </w:r>
          </w:p>
        </w:tc>
      </w:tr>
      <w:tr w:rsidR="00132B49" w:rsidRPr="00FB11EE" w14:paraId="5E7309E3" w14:textId="77777777" w:rsidTr="00C61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EBE5F2" w:themeFill="accent5" w:themeFillTint="33"/>
          </w:tcPr>
          <w:p w14:paraId="07431611" w14:textId="77777777" w:rsidR="00132B49" w:rsidRPr="00FB11EE" w:rsidRDefault="00132B49" w:rsidP="0032225E">
            <w:pPr>
              <w:spacing w:before="0" w:after="0"/>
              <w:rPr>
                <w:rFonts w:cstheme="minorHAnsi"/>
              </w:rPr>
            </w:pPr>
          </w:p>
        </w:tc>
        <w:tc>
          <w:tcPr>
            <w:tcW w:w="3543" w:type="dxa"/>
            <w:shd w:val="clear" w:color="auto" w:fill="EBE5F2" w:themeFill="accent5" w:themeFillTint="33"/>
          </w:tcPr>
          <w:p w14:paraId="33B23E67" w14:textId="77777777" w:rsidR="00132B49" w:rsidRPr="00FB11EE" w:rsidRDefault="00132B49" w:rsidP="0032225E">
            <w:pPr>
              <w:spacing w:before="0" w:after="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FB11EE">
              <w:rPr>
                <w:rFonts w:cstheme="minorHAnsi"/>
                <w:color w:val="000000" w:themeColor="text1"/>
                <w:sz w:val="18"/>
                <w:szCs w:val="18"/>
              </w:rPr>
              <w:t>Stoma Associations</w:t>
            </w:r>
          </w:p>
        </w:tc>
        <w:tc>
          <w:tcPr>
            <w:tcW w:w="2127" w:type="dxa"/>
            <w:shd w:val="clear" w:color="auto" w:fill="EBE5F2" w:themeFill="accent5" w:themeFillTint="33"/>
          </w:tcPr>
          <w:p w14:paraId="5810C00C"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24/11/2023</w:t>
            </w:r>
          </w:p>
        </w:tc>
        <w:tc>
          <w:tcPr>
            <w:tcW w:w="1836" w:type="dxa"/>
            <w:shd w:val="clear" w:color="auto" w:fill="EBE5F2" w:themeFill="accent5" w:themeFillTint="33"/>
          </w:tcPr>
          <w:p w14:paraId="15A462E8"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5</w:t>
            </w:r>
          </w:p>
        </w:tc>
      </w:tr>
      <w:tr w:rsidR="00132B49" w:rsidRPr="00FB11EE" w14:paraId="70D86C94" w14:textId="77777777" w:rsidTr="00C616E7">
        <w:tc>
          <w:tcPr>
            <w:cnfStyle w:val="001000000000" w:firstRow="0" w:lastRow="0" w:firstColumn="1" w:lastColumn="0" w:oddVBand="0" w:evenVBand="0" w:oddHBand="0" w:evenHBand="0" w:firstRowFirstColumn="0" w:firstRowLastColumn="0" w:lastRowFirstColumn="0" w:lastRowLastColumn="0"/>
            <w:tcW w:w="2122" w:type="dxa"/>
            <w:vMerge/>
            <w:shd w:val="clear" w:color="auto" w:fill="EBE5F2" w:themeFill="accent5" w:themeFillTint="33"/>
          </w:tcPr>
          <w:p w14:paraId="7E4F3EB9" w14:textId="77777777" w:rsidR="00132B49" w:rsidRPr="00FB11EE" w:rsidRDefault="00132B49" w:rsidP="0032225E">
            <w:pPr>
              <w:spacing w:before="0" w:after="0"/>
              <w:rPr>
                <w:rFonts w:cstheme="minorHAnsi"/>
              </w:rPr>
            </w:pPr>
          </w:p>
        </w:tc>
        <w:tc>
          <w:tcPr>
            <w:tcW w:w="3543" w:type="dxa"/>
            <w:shd w:val="clear" w:color="auto" w:fill="EBE5F2" w:themeFill="accent5" w:themeFillTint="33"/>
          </w:tcPr>
          <w:p w14:paraId="412649AD" w14:textId="77777777" w:rsidR="00132B49" w:rsidRPr="00FB11EE" w:rsidRDefault="00132B49" w:rsidP="0032225E">
            <w:pPr>
              <w:spacing w:before="0" w:after="0"/>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FB11EE">
              <w:rPr>
                <w:rFonts w:eastAsia="Times New Roman" w:cstheme="minorHAnsi"/>
                <w:color w:val="000000" w:themeColor="text1"/>
                <w:sz w:val="18"/>
                <w:szCs w:val="18"/>
                <w:lang w:eastAsia="en-AU"/>
              </w:rPr>
              <w:t>Stomal Therapy Nurses</w:t>
            </w:r>
          </w:p>
        </w:tc>
        <w:tc>
          <w:tcPr>
            <w:tcW w:w="2127" w:type="dxa"/>
            <w:shd w:val="clear" w:color="auto" w:fill="EBE5F2" w:themeFill="accent5" w:themeFillTint="33"/>
          </w:tcPr>
          <w:p w14:paraId="74E53F19"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27/11/2023</w:t>
            </w:r>
          </w:p>
        </w:tc>
        <w:tc>
          <w:tcPr>
            <w:tcW w:w="1836" w:type="dxa"/>
            <w:shd w:val="clear" w:color="auto" w:fill="EBE5F2" w:themeFill="accent5" w:themeFillTint="33"/>
          </w:tcPr>
          <w:p w14:paraId="19B28657" w14:textId="77777777" w:rsidR="00132B49" w:rsidRPr="00FB11EE" w:rsidRDefault="00132B49" w:rsidP="0032225E">
            <w:pPr>
              <w:spacing w:before="0" w:after="0"/>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FB11EE">
              <w:rPr>
                <w:rFonts w:cstheme="minorHAnsi"/>
                <w:sz w:val="18"/>
                <w:szCs w:val="18"/>
              </w:rPr>
              <w:t>4</w:t>
            </w:r>
          </w:p>
        </w:tc>
      </w:tr>
      <w:tr w:rsidR="00132B49" w:rsidRPr="00FB11EE" w14:paraId="10365DFC" w14:textId="77777777" w:rsidTr="00C61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Merge/>
            <w:shd w:val="clear" w:color="auto" w:fill="EBE5F2" w:themeFill="accent5" w:themeFillTint="33"/>
          </w:tcPr>
          <w:p w14:paraId="39CA53B7" w14:textId="77777777" w:rsidR="00132B49" w:rsidRPr="00FB11EE" w:rsidRDefault="00132B49" w:rsidP="0032225E">
            <w:pPr>
              <w:spacing w:before="0" w:after="0"/>
              <w:rPr>
                <w:rFonts w:cstheme="minorHAnsi"/>
              </w:rPr>
            </w:pPr>
          </w:p>
        </w:tc>
        <w:tc>
          <w:tcPr>
            <w:tcW w:w="3543" w:type="dxa"/>
            <w:shd w:val="clear" w:color="auto" w:fill="EBE5F2" w:themeFill="accent5" w:themeFillTint="33"/>
          </w:tcPr>
          <w:p w14:paraId="21FA6754" w14:textId="77777777" w:rsidR="00132B49" w:rsidRPr="00FB11EE" w:rsidRDefault="00132B49" w:rsidP="0032225E">
            <w:pPr>
              <w:spacing w:before="0" w:after="0"/>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FB11EE">
              <w:rPr>
                <w:rFonts w:eastAsia="Times New Roman" w:cstheme="minorHAnsi"/>
                <w:color w:val="000000" w:themeColor="text1"/>
                <w:sz w:val="18"/>
                <w:szCs w:val="18"/>
                <w:lang w:eastAsia="en-AU"/>
              </w:rPr>
              <w:t>Paediatric Stomal Therapy Nurses</w:t>
            </w:r>
          </w:p>
        </w:tc>
        <w:tc>
          <w:tcPr>
            <w:tcW w:w="2127" w:type="dxa"/>
            <w:shd w:val="clear" w:color="auto" w:fill="EBE5F2" w:themeFill="accent5" w:themeFillTint="33"/>
          </w:tcPr>
          <w:p w14:paraId="1E5ABECF"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27/11/2023</w:t>
            </w:r>
          </w:p>
        </w:tc>
        <w:tc>
          <w:tcPr>
            <w:tcW w:w="1836" w:type="dxa"/>
            <w:shd w:val="clear" w:color="auto" w:fill="EBE5F2" w:themeFill="accent5" w:themeFillTint="33"/>
          </w:tcPr>
          <w:p w14:paraId="1A56D502" w14:textId="77777777" w:rsidR="00132B49" w:rsidRPr="00FB11EE" w:rsidRDefault="00132B49" w:rsidP="0032225E">
            <w:pPr>
              <w:spacing w:before="0" w:after="0"/>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FB11EE">
              <w:rPr>
                <w:rFonts w:cstheme="minorHAnsi"/>
                <w:sz w:val="18"/>
                <w:szCs w:val="18"/>
              </w:rPr>
              <w:t>4</w:t>
            </w:r>
          </w:p>
        </w:tc>
      </w:tr>
    </w:tbl>
    <w:p w14:paraId="2B58392A" w14:textId="77777777" w:rsidR="00431518" w:rsidRDefault="00431518">
      <w:pPr>
        <w:rPr>
          <w:szCs w:val="24"/>
        </w:rPr>
      </w:pPr>
      <w:r>
        <w:br w:type="page"/>
      </w:r>
    </w:p>
    <w:p w14:paraId="7295C437" w14:textId="77777777" w:rsidR="00431518" w:rsidRDefault="00431518" w:rsidP="00132B49">
      <w:pPr>
        <w:pStyle w:val="BodyText"/>
        <w:sectPr w:rsidR="00431518" w:rsidSect="00361225">
          <w:pgSz w:w="11906" w:h="16838" w:code="9"/>
          <w:pgMar w:top="1134" w:right="1134" w:bottom="1134" w:left="1134" w:header="709" w:footer="510" w:gutter="0"/>
          <w:cols w:space="708"/>
          <w:docGrid w:linePitch="360"/>
        </w:sectPr>
      </w:pPr>
    </w:p>
    <w:p w14:paraId="66F5991E" w14:textId="63F256EA" w:rsidR="0067274B" w:rsidRDefault="00B822D1" w:rsidP="006D53CF">
      <w:pPr>
        <w:pStyle w:val="Heading7"/>
        <w:rPr>
          <w:color w:val="C60C30" w:themeColor="accent2"/>
        </w:rPr>
      </w:pPr>
      <w:bookmarkStart w:id="100" w:name="_Ref157586773"/>
      <w:bookmarkStart w:id="101" w:name="_Toc161743097"/>
      <w:bookmarkStart w:id="102" w:name="_Toc156898594"/>
      <w:bookmarkStart w:id="103" w:name="_Ref157429507"/>
      <w:r>
        <w:rPr>
          <w:color w:val="C60C30" w:themeColor="accent2"/>
        </w:rPr>
        <w:lastRenderedPageBreak/>
        <w:t>Review Topics and Questions</w:t>
      </w:r>
      <w:bookmarkEnd w:id="100"/>
      <w:bookmarkEnd w:id="101"/>
    </w:p>
    <w:p w14:paraId="0EEB2E58" w14:textId="1C0B8B8F" w:rsidR="00E072B4" w:rsidRDefault="00E072B4" w:rsidP="00E072B4">
      <w:pPr>
        <w:pStyle w:val="Caption"/>
      </w:pPr>
      <w:bookmarkStart w:id="104" w:name="_Ref157610636"/>
      <w:bookmarkStart w:id="105" w:name="_Toc161743120"/>
      <w:r>
        <w:t xml:space="preserve">Table </w:t>
      </w:r>
      <w:r>
        <w:fldChar w:fldCharType="begin"/>
      </w:r>
      <w:r>
        <w:instrText xml:space="preserve"> SEQ Table \* ARABIC </w:instrText>
      </w:r>
      <w:r>
        <w:fldChar w:fldCharType="separate"/>
      </w:r>
      <w:r w:rsidR="00FE1418">
        <w:rPr>
          <w:noProof/>
        </w:rPr>
        <w:t>17</w:t>
      </w:r>
      <w:r>
        <w:rPr>
          <w:noProof/>
        </w:rPr>
        <w:fldChar w:fldCharType="end"/>
      </w:r>
      <w:bookmarkEnd w:id="104"/>
      <w:r>
        <w:t xml:space="preserve">: </w:t>
      </w:r>
      <w:r w:rsidRPr="00212ED0">
        <w:t>Review Topics and accompanying Research Questions</w:t>
      </w:r>
      <w:bookmarkEnd w:id="105"/>
    </w:p>
    <w:tbl>
      <w:tblPr>
        <w:tblStyle w:val="TableHealthConsultPurple"/>
        <w:tblW w:w="0" w:type="auto"/>
        <w:tblLook w:val="0420" w:firstRow="1" w:lastRow="0" w:firstColumn="0" w:lastColumn="0" w:noHBand="0" w:noVBand="1"/>
      </w:tblPr>
      <w:tblGrid>
        <w:gridCol w:w="1453"/>
        <w:gridCol w:w="7938"/>
      </w:tblGrid>
      <w:tr w:rsidR="00E072B4" w:rsidRPr="004964A3" w14:paraId="579CA36A" w14:textId="77777777" w:rsidTr="0032225E">
        <w:trPr>
          <w:cnfStyle w:val="100000000000" w:firstRow="1" w:lastRow="0" w:firstColumn="0" w:lastColumn="0" w:oddVBand="0" w:evenVBand="0" w:oddHBand="0" w:evenHBand="0" w:firstRowFirstColumn="0" w:firstRowLastColumn="0" w:lastRowFirstColumn="0" w:lastRowLastColumn="0"/>
          <w:trHeight w:val="283"/>
        </w:trPr>
        <w:tc>
          <w:tcPr>
            <w:tcW w:w="1453" w:type="dxa"/>
          </w:tcPr>
          <w:p w14:paraId="6F5D9ACA" w14:textId="77777777" w:rsidR="00E072B4" w:rsidRPr="004964A3" w:rsidRDefault="00E072B4" w:rsidP="005C7AC1">
            <w:pPr>
              <w:pStyle w:val="ListParagraph"/>
              <w:spacing w:before="0" w:after="0"/>
              <w:ind w:left="0"/>
              <w:rPr>
                <w:sz w:val="16"/>
                <w:szCs w:val="16"/>
              </w:rPr>
            </w:pPr>
            <w:r w:rsidRPr="004964A3">
              <w:rPr>
                <w:sz w:val="16"/>
                <w:szCs w:val="16"/>
              </w:rPr>
              <w:t>Review Area</w:t>
            </w:r>
          </w:p>
        </w:tc>
        <w:tc>
          <w:tcPr>
            <w:tcW w:w="7938" w:type="dxa"/>
          </w:tcPr>
          <w:p w14:paraId="750839C1" w14:textId="77777777" w:rsidR="00E072B4" w:rsidRPr="004964A3" w:rsidRDefault="00E072B4" w:rsidP="0032225E">
            <w:pPr>
              <w:pStyle w:val="ListParagraph"/>
              <w:spacing w:before="0" w:after="0"/>
              <w:ind w:left="0"/>
              <w:jc w:val="center"/>
              <w:rPr>
                <w:sz w:val="16"/>
                <w:szCs w:val="16"/>
              </w:rPr>
            </w:pPr>
            <w:r w:rsidRPr="004964A3">
              <w:rPr>
                <w:sz w:val="16"/>
                <w:szCs w:val="16"/>
              </w:rPr>
              <w:t>Review Questions</w:t>
            </w:r>
          </w:p>
        </w:tc>
      </w:tr>
      <w:tr w:rsidR="00E072B4" w:rsidRPr="004964A3" w14:paraId="31DD120E" w14:textId="77777777" w:rsidTr="0032225E">
        <w:trPr>
          <w:trHeight w:val="1287"/>
        </w:trPr>
        <w:tc>
          <w:tcPr>
            <w:tcW w:w="1453" w:type="dxa"/>
          </w:tcPr>
          <w:p w14:paraId="2F35EE8E" w14:textId="77777777" w:rsidR="00E072B4" w:rsidRPr="0032225E" w:rsidRDefault="00E072B4" w:rsidP="005C7AC1">
            <w:pPr>
              <w:pStyle w:val="ListParagraph"/>
              <w:spacing w:before="0" w:after="0"/>
              <w:ind w:left="0"/>
              <w:rPr>
                <w:b/>
                <w:bCs/>
                <w:color w:val="3B0083" w:themeColor="accent1"/>
                <w:sz w:val="16"/>
                <w:szCs w:val="16"/>
              </w:rPr>
            </w:pPr>
            <w:r w:rsidRPr="0032225E">
              <w:rPr>
                <w:b/>
                <w:bCs/>
                <w:color w:val="3B0083" w:themeColor="accent1"/>
                <w:sz w:val="16"/>
                <w:szCs w:val="16"/>
              </w:rPr>
              <w:t>Clinical Eligibility Assessment</w:t>
            </w:r>
          </w:p>
        </w:tc>
        <w:tc>
          <w:tcPr>
            <w:tcW w:w="7938" w:type="dxa"/>
          </w:tcPr>
          <w:p w14:paraId="430D7748" w14:textId="77777777" w:rsidR="00E072B4" w:rsidRPr="004964A3" w:rsidRDefault="00E072B4" w:rsidP="00E442CB">
            <w:pPr>
              <w:pStyle w:val="ListParagraph"/>
              <w:numPr>
                <w:ilvl w:val="0"/>
                <w:numId w:val="19"/>
              </w:numPr>
              <w:spacing w:before="0" w:after="60"/>
              <w:ind w:hanging="663"/>
              <w:rPr>
                <w:sz w:val="16"/>
                <w:szCs w:val="16"/>
              </w:rPr>
            </w:pPr>
            <w:r w:rsidRPr="004964A3">
              <w:rPr>
                <w:sz w:val="16"/>
                <w:szCs w:val="16"/>
              </w:rPr>
              <w:t>How does the current clinical eligibility criteria compare with other national/international schemes?</w:t>
            </w:r>
          </w:p>
          <w:p w14:paraId="76A5D9BF" w14:textId="77777777" w:rsidR="00E072B4" w:rsidRPr="004964A3" w:rsidRDefault="00E072B4" w:rsidP="00E442CB">
            <w:pPr>
              <w:pStyle w:val="ListParagraph"/>
              <w:numPr>
                <w:ilvl w:val="0"/>
                <w:numId w:val="19"/>
              </w:numPr>
              <w:spacing w:before="0" w:after="60"/>
              <w:ind w:hanging="663"/>
              <w:rPr>
                <w:sz w:val="16"/>
                <w:szCs w:val="16"/>
              </w:rPr>
            </w:pPr>
            <w:r w:rsidRPr="004964A3">
              <w:rPr>
                <w:sz w:val="16"/>
                <w:szCs w:val="16"/>
              </w:rPr>
              <w:t>How do various stakeholder groups view the alignment of the criteria with the fundamental principles and objectives of the Scheme?</w:t>
            </w:r>
          </w:p>
          <w:p w14:paraId="539F775C"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Have there been recent advances in stoma care and relevant clinical findings that impact the current eligibility criteria?</w:t>
            </w:r>
          </w:p>
          <w:p w14:paraId="27B2F1BE"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Are there potential inconsistencies in how the current eligibility are applied in practice?</w:t>
            </w:r>
          </w:p>
          <w:p w14:paraId="16F0E064"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How have previous changes to eligibility impacted the number of listed products, the volume of products used and the number of participants in the Scheme?</w:t>
            </w:r>
          </w:p>
        </w:tc>
      </w:tr>
      <w:tr w:rsidR="00E072B4" w:rsidRPr="004964A3" w14:paraId="6061EF67" w14:textId="77777777" w:rsidTr="0032225E">
        <w:trPr>
          <w:cnfStyle w:val="000000010000" w:firstRow="0" w:lastRow="0" w:firstColumn="0" w:lastColumn="0" w:oddVBand="0" w:evenVBand="0" w:oddHBand="0" w:evenHBand="1" w:firstRowFirstColumn="0" w:firstRowLastColumn="0" w:lastRowFirstColumn="0" w:lastRowLastColumn="0"/>
          <w:trHeight w:val="918"/>
        </w:trPr>
        <w:tc>
          <w:tcPr>
            <w:tcW w:w="1453" w:type="dxa"/>
          </w:tcPr>
          <w:p w14:paraId="090A5FA2" w14:textId="77777777" w:rsidR="00E072B4" w:rsidRPr="0032225E" w:rsidRDefault="00E072B4" w:rsidP="005C7AC1">
            <w:pPr>
              <w:pStyle w:val="ListParagraph"/>
              <w:spacing w:before="0" w:after="0"/>
              <w:ind w:left="0"/>
              <w:rPr>
                <w:b/>
                <w:bCs/>
                <w:color w:val="3B0083" w:themeColor="accent1"/>
                <w:sz w:val="16"/>
                <w:szCs w:val="16"/>
              </w:rPr>
            </w:pPr>
            <w:r w:rsidRPr="0032225E">
              <w:rPr>
                <w:b/>
                <w:bCs/>
                <w:color w:val="3B0083" w:themeColor="accent1"/>
                <w:sz w:val="16"/>
                <w:szCs w:val="16"/>
              </w:rPr>
              <w:t>Stomas Outside Gastrointestinal (GI) Tract</w:t>
            </w:r>
          </w:p>
        </w:tc>
        <w:tc>
          <w:tcPr>
            <w:tcW w:w="7938" w:type="dxa"/>
          </w:tcPr>
          <w:p w14:paraId="6E037455"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 xml:space="preserve">What types of stomas exist outside the </w:t>
            </w:r>
            <w:r>
              <w:rPr>
                <w:sz w:val="16"/>
                <w:szCs w:val="16"/>
              </w:rPr>
              <w:t>GI</w:t>
            </w:r>
            <w:r w:rsidRPr="004964A3">
              <w:rPr>
                <w:sz w:val="16"/>
                <w:szCs w:val="16"/>
              </w:rPr>
              <w:t xml:space="preserve"> tract and are not primarily used for waste removal?</w:t>
            </w:r>
          </w:p>
          <w:p w14:paraId="1592E0B6"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How many patients currently have the defined stoma types?</w:t>
            </w:r>
          </w:p>
          <w:p w14:paraId="3EC35519"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How do patients currently manage their stomas, and what support is available to them?</w:t>
            </w:r>
          </w:p>
          <w:p w14:paraId="66A475A6"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Based on current trends, population growth, and medical advancements, what is the predicted number of patients with these stoma types in the foreseeable future?</w:t>
            </w:r>
          </w:p>
          <w:p w14:paraId="4E424BC7"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Given the current cost data and future projections, what is the estimated potential cost if these patients were included in the Scheme?</w:t>
            </w:r>
          </w:p>
        </w:tc>
      </w:tr>
      <w:tr w:rsidR="00E072B4" w:rsidRPr="004964A3" w14:paraId="54EFE790" w14:textId="77777777" w:rsidTr="0032225E">
        <w:trPr>
          <w:trHeight w:val="1287"/>
        </w:trPr>
        <w:tc>
          <w:tcPr>
            <w:tcW w:w="1453" w:type="dxa"/>
          </w:tcPr>
          <w:p w14:paraId="282A21A7" w14:textId="77777777" w:rsidR="00E072B4" w:rsidRPr="0032225E" w:rsidRDefault="00E072B4" w:rsidP="005C7AC1">
            <w:pPr>
              <w:pStyle w:val="ListParagraph"/>
              <w:spacing w:before="0" w:after="0"/>
              <w:ind w:left="0"/>
              <w:rPr>
                <w:b/>
                <w:bCs/>
                <w:color w:val="3B0083" w:themeColor="accent1"/>
                <w:sz w:val="16"/>
                <w:szCs w:val="16"/>
              </w:rPr>
            </w:pPr>
            <w:r w:rsidRPr="0032225E">
              <w:rPr>
                <w:b/>
                <w:bCs/>
                <w:color w:val="3B0083" w:themeColor="accent1"/>
                <w:sz w:val="16"/>
                <w:szCs w:val="16"/>
              </w:rPr>
              <w:t>Support from Other Government Schemes</w:t>
            </w:r>
          </w:p>
        </w:tc>
        <w:tc>
          <w:tcPr>
            <w:tcW w:w="7938" w:type="dxa"/>
          </w:tcPr>
          <w:p w14:paraId="7359D856" w14:textId="66BD8992"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How does the Scheme (eligibility criteria, patient numbers, and costs) compare with other government subsidy schemes such as the N</w:t>
            </w:r>
            <w:r w:rsidR="004B60AF">
              <w:rPr>
                <w:sz w:val="16"/>
                <w:szCs w:val="16"/>
              </w:rPr>
              <w:t>DIS</w:t>
            </w:r>
            <w:r w:rsidRPr="004964A3">
              <w:rPr>
                <w:sz w:val="16"/>
                <w:szCs w:val="16"/>
              </w:rPr>
              <w:t xml:space="preserve">, </w:t>
            </w:r>
            <w:proofErr w:type="gramStart"/>
            <w:r w:rsidRPr="004964A3">
              <w:rPr>
                <w:sz w:val="16"/>
                <w:szCs w:val="16"/>
              </w:rPr>
              <w:t>C</w:t>
            </w:r>
            <w:r w:rsidR="00D97135">
              <w:rPr>
                <w:sz w:val="16"/>
                <w:szCs w:val="16"/>
              </w:rPr>
              <w:t>APS</w:t>
            </w:r>
            <w:proofErr w:type="gramEnd"/>
            <w:r w:rsidRPr="004964A3">
              <w:rPr>
                <w:sz w:val="16"/>
                <w:szCs w:val="16"/>
              </w:rPr>
              <w:t xml:space="preserve"> and state-based equipment schemes?</w:t>
            </w:r>
          </w:p>
          <w:p w14:paraId="58CD3ED2"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What duplication exists (i.e. patient eligibility and numbers, financial support etc), if any, with support provided to the patient cohort from other government subsidy schemes?</w:t>
            </w:r>
          </w:p>
        </w:tc>
      </w:tr>
      <w:tr w:rsidR="00E072B4" w:rsidRPr="004964A3" w14:paraId="76B19349" w14:textId="77777777" w:rsidTr="0032225E">
        <w:trPr>
          <w:cnfStyle w:val="000000010000" w:firstRow="0" w:lastRow="0" w:firstColumn="0" w:lastColumn="0" w:oddVBand="0" w:evenVBand="0" w:oddHBand="0" w:evenHBand="1" w:firstRowFirstColumn="0" w:firstRowLastColumn="0" w:lastRowFirstColumn="0" w:lastRowLastColumn="0"/>
        </w:trPr>
        <w:tc>
          <w:tcPr>
            <w:tcW w:w="1453" w:type="dxa"/>
          </w:tcPr>
          <w:p w14:paraId="12936106" w14:textId="77777777" w:rsidR="00E072B4" w:rsidRPr="0032225E" w:rsidRDefault="00E072B4" w:rsidP="005C7AC1">
            <w:pPr>
              <w:pStyle w:val="ListParagraph"/>
              <w:spacing w:before="0" w:after="0"/>
              <w:ind w:left="0"/>
              <w:rPr>
                <w:b/>
                <w:bCs/>
                <w:color w:val="3B0083" w:themeColor="accent1"/>
                <w:sz w:val="16"/>
                <w:szCs w:val="16"/>
              </w:rPr>
            </w:pPr>
            <w:r w:rsidRPr="0032225E">
              <w:rPr>
                <w:b/>
                <w:bCs/>
                <w:color w:val="3B0083" w:themeColor="accent1"/>
                <w:sz w:val="16"/>
                <w:szCs w:val="16"/>
              </w:rPr>
              <w:t>Access for Marginalised Groups</w:t>
            </w:r>
          </w:p>
        </w:tc>
        <w:tc>
          <w:tcPr>
            <w:tcW w:w="7938" w:type="dxa"/>
          </w:tcPr>
          <w:p w14:paraId="3AFDD143"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What proportion of eligible ostomates from marginalised groups access the Scheme?</w:t>
            </w:r>
          </w:p>
          <w:p w14:paraId="3651C604"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What are the current barriers to access for First Nations peoples, CALD groups, and rural and remote ostomates?</w:t>
            </w:r>
          </w:p>
          <w:p w14:paraId="7A2656A6"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How do these barriers compare to the general population?</w:t>
            </w:r>
          </w:p>
          <w:p w14:paraId="2BD71E49"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What initiatives or strategies have been effective in other schemes or settings (nationally and internationally) to enhance access for these groups?</w:t>
            </w:r>
          </w:p>
        </w:tc>
      </w:tr>
      <w:tr w:rsidR="00E072B4" w:rsidRPr="004964A3" w14:paraId="2FA0B692" w14:textId="77777777" w:rsidTr="0032225E">
        <w:trPr>
          <w:trHeight w:val="960"/>
        </w:trPr>
        <w:tc>
          <w:tcPr>
            <w:tcW w:w="1453" w:type="dxa"/>
          </w:tcPr>
          <w:p w14:paraId="156C3D46" w14:textId="77777777" w:rsidR="00E072B4" w:rsidRPr="0032225E" w:rsidRDefault="00E072B4" w:rsidP="005C7AC1">
            <w:pPr>
              <w:pStyle w:val="ListParagraph"/>
              <w:spacing w:before="0" w:after="0"/>
              <w:ind w:left="0"/>
              <w:rPr>
                <w:b/>
                <w:bCs/>
                <w:color w:val="3B0083" w:themeColor="accent1"/>
                <w:sz w:val="16"/>
                <w:szCs w:val="16"/>
              </w:rPr>
            </w:pPr>
            <w:r w:rsidRPr="0032225E">
              <w:rPr>
                <w:b/>
                <w:bCs/>
                <w:color w:val="3B0083" w:themeColor="accent1"/>
                <w:sz w:val="16"/>
                <w:szCs w:val="16"/>
              </w:rPr>
              <w:t>Methodology for Product Pricing</w:t>
            </w:r>
          </w:p>
        </w:tc>
        <w:tc>
          <w:tcPr>
            <w:tcW w:w="7938" w:type="dxa"/>
          </w:tcPr>
          <w:p w14:paraId="747773AE" w14:textId="1BCB3912"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 xml:space="preserve">How does the current pricing methodology compare with other </w:t>
            </w:r>
            <w:r w:rsidR="00C545F7">
              <w:rPr>
                <w:sz w:val="16"/>
                <w:szCs w:val="16"/>
              </w:rPr>
              <w:t>HTA</w:t>
            </w:r>
            <w:r w:rsidRPr="004964A3">
              <w:rPr>
                <w:sz w:val="16"/>
                <w:szCs w:val="16"/>
              </w:rPr>
              <w:t xml:space="preserve"> methods and health technology subsidy schemes (nationally and globally)?</w:t>
            </w:r>
          </w:p>
          <w:p w14:paraId="259DBE78"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What are the pros and cons of the current pricing methodology?</w:t>
            </w:r>
          </w:p>
        </w:tc>
      </w:tr>
      <w:tr w:rsidR="00E072B4" w:rsidRPr="004964A3" w14:paraId="465608CC" w14:textId="77777777" w:rsidTr="0032225E">
        <w:trPr>
          <w:cnfStyle w:val="000000010000" w:firstRow="0" w:lastRow="0" w:firstColumn="0" w:lastColumn="0" w:oddVBand="0" w:evenVBand="0" w:oddHBand="0" w:evenHBand="1" w:firstRowFirstColumn="0" w:firstRowLastColumn="0" w:lastRowFirstColumn="0" w:lastRowLastColumn="0"/>
          <w:trHeight w:val="1287"/>
        </w:trPr>
        <w:tc>
          <w:tcPr>
            <w:tcW w:w="1453" w:type="dxa"/>
          </w:tcPr>
          <w:p w14:paraId="4388C2A0" w14:textId="56C22D96" w:rsidR="00E072B4" w:rsidRPr="0032225E" w:rsidRDefault="00E072B4" w:rsidP="005C7AC1">
            <w:pPr>
              <w:pStyle w:val="ListParagraph"/>
              <w:spacing w:before="0" w:after="0"/>
              <w:ind w:left="0"/>
              <w:rPr>
                <w:b/>
                <w:bCs/>
                <w:color w:val="3B0083" w:themeColor="accent1"/>
                <w:sz w:val="16"/>
                <w:szCs w:val="16"/>
              </w:rPr>
            </w:pPr>
            <w:r w:rsidRPr="0032225E">
              <w:rPr>
                <w:b/>
                <w:bCs/>
                <w:color w:val="3B0083" w:themeColor="accent1"/>
                <w:sz w:val="16"/>
                <w:szCs w:val="16"/>
              </w:rPr>
              <w:t>Alternative Approaches to Price</w:t>
            </w:r>
            <w:r w:rsidR="006A60F2" w:rsidRPr="0032225E">
              <w:rPr>
                <w:b/>
                <w:bCs/>
                <w:color w:val="3B0083" w:themeColor="accent1"/>
                <w:sz w:val="16"/>
                <w:szCs w:val="16"/>
              </w:rPr>
              <w:t>-</w:t>
            </w:r>
            <w:r w:rsidRPr="0032225E">
              <w:rPr>
                <w:b/>
                <w:bCs/>
                <w:color w:val="3B0083" w:themeColor="accent1"/>
                <w:sz w:val="16"/>
                <w:szCs w:val="16"/>
              </w:rPr>
              <w:t>Setting</w:t>
            </w:r>
          </w:p>
        </w:tc>
        <w:tc>
          <w:tcPr>
            <w:tcW w:w="7938" w:type="dxa"/>
          </w:tcPr>
          <w:p w14:paraId="709F47D1" w14:textId="4D72735A"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What are the alternative methods used for price</w:t>
            </w:r>
            <w:r w:rsidR="006A60F2">
              <w:rPr>
                <w:sz w:val="16"/>
                <w:szCs w:val="16"/>
              </w:rPr>
              <w:t>-</w:t>
            </w:r>
            <w:r w:rsidRPr="004964A3">
              <w:rPr>
                <w:sz w:val="16"/>
                <w:szCs w:val="16"/>
              </w:rPr>
              <w:t xml:space="preserve">setting of products in similar schemes (e.g., </w:t>
            </w:r>
            <w:proofErr w:type="gramStart"/>
            <w:r w:rsidRPr="004964A3">
              <w:rPr>
                <w:sz w:val="16"/>
                <w:szCs w:val="16"/>
              </w:rPr>
              <w:t>market based</w:t>
            </w:r>
            <w:proofErr w:type="gramEnd"/>
            <w:r w:rsidRPr="004964A3">
              <w:rPr>
                <w:sz w:val="16"/>
                <w:szCs w:val="16"/>
              </w:rPr>
              <w:t xml:space="preserve"> pricing, standardised benchmark price at group or subgroup level, or competitive tendering as per the N</w:t>
            </w:r>
            <w:r w:rsidR="00C545F7">
              <w:rPr>
                <w:sz w:val="16"/>
                <w:szCs w:val="16"/>
              </w:rPr>
              <w:t>DSS</w:t>
            </w:r>
            <w:r w:rsidRPr="004964A3">
              <w:rPr>
                <w:sz w:val="16"/>
                <w:szCs w:val="16"/>
              </w:rPr>
              <w:t>)?</w:t>
            </w:r>
          </w:p>
          <w:p w14:paraId="29931902"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How effective is a tendering approach in determining prices, and would it be applicable to the current Scheme?</w:t>
            </w:r>
          </w:p>
          <w:p w14:paraId="0B3333C7"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What are the pros and cons of adopting a tendering approach compared to the current methodology?</w:t>
            </w:r>
          </w:p>
        </w:tc>
      </w:tr>
      <w:tr w:rsidR="00E072B4" w:rsidRPr="004964A3" w14:paraId="123137A5" w14:textId="77777777" w:rsidTr="0032225E">
        <w:trPr>
          <w:trHeight w:val="2158"/>
        </w:trPr>
        <w:tc>
          <w:tcPr>
            <w:tcW w:w="1453" w:type="dxa"/>
          </w:tcPr>
          <w:p w14:paraId="6D9C5A17" w14:textId="77777777" w:rsidR="00E072B4" w:rsidRPr="0032225E" w:rsidRDefault="00E072B4" w:rsidP="005C7AC1">
            <w:pPr>
              <w:pStyle w:val="ListParagraph"/>
              <w:spacing w:before="0" w:after="120"/>
              <w:ind w:left="0"/>
              <w:rPr>
                <w:b/>
                <w:bCs/>
                <w:color w:val="3B0083" w:themeColor="accent1"/>
                <w:sz w:val="16"/>
                <w:szCs w:val="16"/>
              </w:rPr>
            </w:pPr>
            <w:r w:rsidRPr="0032225E">
              <w:rPr>
                <w:b/>
                <w:bCs/>
                <w:color w:val="3B0083" w:themeColor="accent1"/>
                <w:sz w:val="16"/>
                <w:szCs w:val="16"/>
              </w:rPr>
              <w:lastRenderedPageBreak/>
              <w:t>Periodic Price Reviews</w:t>
            </w:r>
          </w:p>
        </w:tc>
        <w:tc>
          <w:tcPr>
            <w:tcW w:w="7938" w:type="dxa"/>
          </w:tcPr>
          <w:p w14:paraId="22391859"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What is the historical frequency of price reviews within the Scheme?</w:t>
            </w:r>
          </w:p>
          <w:p w14:paraId="0367C8B5"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What is the impact of price changes on product use?</w:t>
            </w:r>
          </w:p>
          <w:p w14:paraId="3F8B67F9"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What factors or indicators trigger the need for price reviews, and how often do these factors change or arise?</w:t>
            </w:r>
          </w:p>
          <w:p w14:paraId="62209957"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How do other schemes and methods (nationally and internationally) approach the timing of price reviews?</w:t>
            </w:r>
          </w:p>
          <w:p w14:paraId="17A78F4D"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What is the administrative burden and costs associated with increasing or decreasing the frequency of price reviews?</w:t>
            </w:r>
          </w:p>
        </w:tc>
      </w:tr>
      <w:tr w:rsidR="00E072B4" w:rsidRPr="004964A3" w14:paraId="1BFD5A7E" w14:textId="77777777" w:rsidTr="0032225E">
        <w:trPr>
          <w:cnfStyle w:val="000000010000" w:firstRow="0" w:lastRow="0" w:firstColumn="0" w:lastColumn="0" w:oddVBand="0" w:evenVBand="0" w:oddHBand="0" w:evenHBand="1" w:firstRowFirstColumn="0" w:firstRowLastColumn="0" w:lastRowFirstColumn="0" w:lastRowLastColumn="0"/>
          <w:trHeight w:val="1743"/>
        </w:trPr>
        <w:tc>
          <w:tcPr>
            <w:tcW w:w="1453" w:type="dxa"/>
          </w:tcPr>
          <w:p w14:paraId="0530710A" w14:textId="77777777" w:rsidR="00E072B4" w:rsidRPr="0032225E" w:rsidRDefault="00E072B4" w:rsidP="005C7AC1">
            <w:pPr>
              <w:pStyle w:val="ListParagraph"/>
              <w:spacing w:before="0" w:after="0"/>
              <w:ind w:left="0"/>
              <w:rPr>
                <w:b/>
                <w:bCs/>
                <w:color w:val="3B0083" w:themeColor="accent1"/>
                <w:sz w:val="16"/>
                <w:szCs w:val="16"/>
              </w:rPr>
            </w:pPr>
            <w:r w:rsidRPr="0032225E">
              <w:rPr>
                <w:b/>
                <w:bCs/>
                <w:color w:val="3B0083" w:themeColor="accent1"/>
                <w:sz w:val="16"/>
                <w:szCs w:val="16"/>
              </w:rPr>
              <w:t>Other Cost Models</w:t>
            </w:r>
          </w:p>
        </w:tc>
        <w:tc>
          <w:tcPr>
            <w:tcW w:w="7938" w:type="dxa"/>
          </w:tcPr>
          <w:p w14:paraId="2E6D33AC" w14:textId="1DAA4064"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 xml:space="preserve">What is the predominant cost/price models used in </w:t>
            </w:r>
            <w:r w:rsidR="00C545F7">
              <w:rPr>
                <w:sz w:val="16"/>
                <w:szCs w:val="16"/>
              </w:rPr>
              <w:t>HTA</w:t>
            </w:r>
            <w:r w:rsidRPr="004964A3">
              <w:rPr>
                <w:sz w:val="16"/>
                <w:szCs w:val="16"/>
              </w:rPr>
              <w:t xml:space="preserve"> methods and subsidy schemes, both in Australia and internationally?</w:t>
            </w:r>
          </w:p>
          <w:p w14:paraId="2E641950"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Which of these cost/price models might be suitable for integration into the current Scheme?</w:t>
            </w:r>
          </w:p>
          <w:p w14:paraId="512BE502" w14:textId="77777777" w:rsidR="00E072B4" w:rsidRPr="004964A3" w:rsidRDefault="00E072B4" w:rsidP="00E442CB">
            <w:pPr>
              <w:pStyle w:val="ListParagraph"/>
              <w:numPr>
                <w:ilvl w:val="0"/>
                <w:numId w:val="19"/>
              </w:numPr>
              <w:spacing w:before="0" w:after="60"/>
              <w:ind w:hanging="662"/>
              <w:rPr>
                <w:sz w:val="16"/>
                <w:szCs w:val="16"/>
              </w:rPr>
            </w:pPr>
            <w:r w:rsidRPr="004964A3">
              <w:rPr>
                <w:sz w:val="16"/>
                <w:szCs w:val="16"/>
              </w:rPr>
              <w:t>What are the potential financial risks and benefits associated with transitioning to each of the alternative cost/price models?</w:t>
            </w:r>
          </w:p>
        </w:tc>
      </w:tr>
      <w:tr w:rsidR="00E072B4" w:rsidRPr="004964A3" w14:paraId="47AC7157" w14:textId="77777777" w:rsidTr="0032225E">
        <w:trPr>
          <w:trHeight w:val="849"/>
        </w:trPr>
        <w:tc>
          <w:tcPr>
            <w:tcW w:w="1453" w:type="dxa"/>
          </w:tcPr>
          <w:p w14:paraId="6185424D" w14:textId="77777777" w:rsidR="00E072B4" w:rsidRPr="0032225E" w:rsidRDefault="00E072B4" w:rsidP="005C7AC1">
            <w:pPr>
              <w:pStyle w:val="ListParagraph"/>
              <w:spacing w:before="0" w:after="0"/>
              <w:ind w:left="0"/>
              <w:rPr>
                <w:b/>
                <w:bCs/>
                <w:color w:val="3B0083" w:themeColor="accent1"/>
                <w:sz w:val="16"/>
                <w:szCs w:val="16"/>
              </w:rPr>
            </w:pPr>
            <w:r w:rsidRPr="0032225E">
              <w:rPr>
                <w:b/>
                <w:bCs/>
                <w:color w:val="3B0083" w:themeColor="accent1"/>
                <w:sz w:val="16"/>
                <w:szCs w:val="16"/>
              </w:rPr>
              <w:t>Budgetary Implications</w:t>
            </w:r>
          </w:p>
        </w:tc>
        <w:tc>
          <w:tcPr>
            <w:tcW w:w="7938" w:type="dxa"/>
          </w:tcPr>
          <w:p w14:paraId="504D7C75" w14:textId="77777777" w:rsidR="00E072B4" w:rsidRPr="004964A3" w:rsidRDefault="00E072B4" w:rsidP="00E442CB">
            <w:pPr>
              <w:pStyle w:val="ListParagraph"/>
              <w:numPr>
                <w:ilvl w:val="0"/>
                <w:numId w:val="19"/>
              </w:numPr>
              <w:spacing w:before="0" w:after="0"/>
              <w:ind w:hanging="662"/>
              <w:rPr>
                <w:sz w:val="16"/>
                <w:szCs w:val="16"/>
              </w:rPr>
            </w:pPr>
            <w:r w:rsidRPr="004964A3">
              <w:rPr>
                <w:sz w:val="16"/>
                <w:szCs w:val="16"/>
              </w:rPr>
              <w:t xml:space="preserve">How will the proposed modifications identified through the review (i.e., modifications associated with clinical eligibility, access modifications, </w:t>
            </w:r>
            <w:proofErr w:type="gramStart"/>
            <w:r w:rsidRPr="004964A3">
              <w:rPr>
                <w:sz w:val="16"/>
                <w:szCs w:val="16"/>
              </w:rPr>
              <w:t>pricing</w:t>
            </w:r>
            <w:proofErr w:type="gramEnd"/>
            <w:r w:rsidRPr="004964A3">
              <w:rPr>
                <w:sz w:val="16"/>
                <w:szCs w:val="16"/>
              </w:rPr>
              <w:t xml:space="preserve"> and cost models) impact the Scheme’s Budget? </w:t>
            </w:r>
          </w:p>
        </w:tc>
      </w:tr>
    </w:tbl>
    <w:p w14:paraId="2F990D58" w14:textId="77777777" w:rsidR="00E072B4" w:rsidRDefault="00E072B4" w:rsidP="008D4818">
      <w:pPr>
        <w:pStyle w:val="BodyText"/>
        <w:sectPr w:rsidR="00E072B4" w:rsidSect="00361225">
          <w:pgSz w:w="11906" w:h="16838" w:code="9"/>
          <w:pgMar w:top="1134" w:right="1134" w:bottom="1134" w:left="1134" w:header="709" w:footer="454" w:gutter="0"/>
          <w:cols w:space="708"/>
          <w:docGrid w:linePitch="360"/>
        </w:sectPr>
      </w:pPr>
    </w:p>
    <w:p w14:paraId="3F5AC48C" w14:textId="2712C4A5" w:rsidR="00FB11EE" w:rsidRDefault="00FB11EE" w:rsidP="006D53CF">
      <w:pPr>
        <w:pStyle w:val="Heading7"/>
        <w:rPr>
          <w:color w:val="C60C30" w:themeColor="accent2"/>
        </w:rPr>
      </w:pPr>
      <w:bookmarkStart w:id="106" w:name="_Ref157612723"/>
      <w:bookmarkStart w:id="107" w:name="_Toc161743098"/>
      <w:bookmarkStart w:id="108" w:name="_Ref157588666"/>
      <w:r w:rsidRPr="00FB11EE">
        <w:rPr>
          <w:color w:val="C60C30" w:themeColor="accent2"/>
        </w:rPr>
        <w:lastRenderedPageBreak/>
        <w:t>Schedule Groups and Subgroups</w:t>
      </w:r>
      <w:bookmarkEnd w:id="106"/>
      <w:bookmarkEnd w:id="107"/>
    </w:p>
    <w:p w14:paraId="4D7DF313" w14:textId="01B1E4C5" w:rsidR="00544E5D" w:rsidRPr="00544E5D" w:rsidRDefault="00544E5D" w:rsidP="00544E5D">
      <w:pPr>
        <w:pStyle w:val="Caption"/>
      </w:pPr>
      <w:bookmarkStart w:id="109" w:name="_Toc161743121"/>
      <w:r>
        <w:t xml:space="preserve">Table </w:t>
      </w:r>
      <w:r>
        <w:fldChar w:fldCharType="begin"/>
      </w:r>
      <w:r>
        <w:instrText xml:space="preserve"> SEQ Table \* ARABIC </w:instrText>
      </w:r>
      <w:r>
        <w:fldChar w:fldCharType="separate"/>
      </w:r>
      <w:r w:rsidR="00FE1418">
        <w:rPr>
          <w:noProof/>
        </w:rPr>
        <w:t>18</w:t>
      </w:r>
      <w:r>
        <w:rPr>
          <w:noProof/>
        </w:rPr>
        <w:fldChar w:fldCharType="end"/>
      </w:r>
      <w:r>
        <w:t xml:space="preserve">: </w:t>
      </w:r>
      <w:r w:rsidRPr="00544E5D">
        <w:t>Scheme Schedule Groups and Subgroups</w:t>
      </w:r>
      <w:bookmarkEnd w:id="109"/>
    </w:p>
    <w:tbl>
      <w:tblPr>
        <w:tblStyle w:val="TableHealthConsultPurple"/>
        <w:tblW w:w="5008" w:type="pct"/>
        <w:tblLook w:val="0420" w:firstRow="1" w:lastRow="0" w:firstColumn="0" w:lastColumn="0" w:noHBand="0" w:noVBand="1"/>
      </w:tblPr>
      <w:tblGrid>
        <w:gridCol w:w="1562"/>
        <w:gridCol w:w="2554"/>
        <w:gridCol w:w="4120"/>
        <w:gridCol w:w="1417"/>
      </w:tblGrid>
      <w:tr w:rsidR="00FB11EE" w:rsidRPr="00932CCA" w14:paraId="625BE542" w14:textId="77777777" w:rsidTr="0032225E">
        <w:trPr>
          <w:cnfStyle w:val="100000000000" w:firstRow="1" w:lastRow="0" w:firstColumn="0" w:lastColumn="0" w:oddVBand="0" w:evenVBand="0" w:oddHBand="0" w:evenHBand="0" w:firstRowFirstColumn="0" w:firstRowLastColumn="0" w:lastRowFirstColumn="0" w:lastRowLastColumn="0"/>
          <w:trHeight w:val="263"/>
        </w:trPr>
        <w:tc>
          <w:tcPr>
            <w:tcW w:w="809" w:type="pct"/>
            <w:hideMark/>
          </w:tcPr>
          <w:p w14:paraId="2BEE76EE" w14:textId="1C64885B" w:rsidR="00FB11EE" w:rsidRPr="00E10B7B" w:rsidRDefault="00FB11EE" w:rsidP="005C7AC1">
            <w:pPr>
              <w:spacing w:before="0"/>
              <w:rPr>
                <w:rFonts w:eastAsia="Times New Roman" w:cstheme="minorHAnsi"/>
                <w:bCs/>
                <w:color w:val="auto"/>
                <w:sz w:val="16"/>
                <w:szCs w:val="16"/>
                <w:lang w:eastAsia="en-AU"/>
              </w:rPr>
            </w:pPr>
            <w:r w:rsidRPr="00E10B7B">
              <w:rPr>
                <w:rFonts w:eastAsia="Times New Roman" w:cstheme="minorHAnsi"/>
                <w:bCs/>
                <w:color w:val="auto"/>
                <w:sz w:val="16"/>
                <w:szCs w:val="16"/>
                <w:lang w:eastAsia="en-AU"/>
              </w:rPr>
              <w:t>Group number</w:t>
            </w:r>
          </w:p>
        </w:tc>
        <w:tc>
          <w:tcPr>
            <w:tcW w:w="1323" w:type="pct"/>
            <w:hideMark/>
          </w:tcPr>
          <w:p w14:paraId="7655649F" w14:textId="77777777" w:rsidR="00FB11EE" w:rsidRPr="00E10B7B" w:rsidRDefault="00FB11EE" w:rsidP="005C7AC1">
            <w:pPr>
              <w:spacing w:before="0"/>
              <w:rPr>
                <w:rFonts w:eastAsia="Times New Roman" w:cstheme="minorHAnsi"/>
                <w:bCs/>
                <w:color w:val="auto"/>
                <w:sz w:val="16"/>
                <w:szCs w:val="16"/>
                <w:lang w:eastAsia="en-AU"/>
              </w:rPr>
            </w:pPr>
            <w:r w:rsidRPr="00E10B7B">
              <w:rPr>
                <w:rFonts w:eastAsia="Times New Roman" w:cstheme="minorHAnsi"/>
                <w:bCs/>
                <w:color w:val="auto"/>
                <w:sz w:val="16"/>
                <w:szCs w:val="16"/>
                <w:lang w:eastAsia="en-AU"/>
              </w:rPr>
              <w:t>Group</w:t>
            </w:r>
          </w:p>
        </w:tc>
        <w:tc>
          <w:tcPr>
            <w:tcW w:w="2134" w:type="pct"/>
            <w:hideMark/>
          </w:tcPr>
          <w:p w14:paraId="450211A3" w14:textId="77777777" w:rsidR="00FB11EE" w:rsidRPr="00E10B7B" w:rsidRDefault="00FB11EE" w:rsidP="005C7AC1">
            <w:pPr>
              <w:spacing w:before="0"/>
              <w:rPr>
                <w:rFonts w:eastAsia="Times New Roman" w:cstheme="minorHAnsi"/>
                <w:bCs/>
                <w:color w:val="auto"/>
                <w:sz w:val="16"/>
                <w:szCs w:val="16"/>
                <w:lang w:eastAsia="en-AU"/>
              </w:rPr>
            </w:pPr>
            <w:r w:rsidRPr="00E10B7B">
              <w:rPr>
                <w:rFonts w:eastAsia="Times New Roman" w:cstheme="minorHAnsi"/>
                <w:bCs/>
                <w:color w:val="auto"/>
                <w:sz w:val="16"/>
                <w:szCs w:val="16"/>
                <w:lang w:eastAsia="en-AU"/>
              </w:rPr>
              <w:t>Subgroup letter and description</w:t>
            </w:r>
          </w:p>
        </w:tc>
        <w:tc>
          <w:tcPr>
            <w:tcW w:w="734" w:type="pct"/>
            <w:noWrap/>
            <w:hideMark/>
          </w:tcPr>
          <w:p w14:paraId="7B6B6703" w14:textId="77777777" w:rsidR="00FB11EE" w:rsidRPr="00E10B7B" w:rsidRDefault="00FB11EE" w:rsidP="005C7AC1">
            <w:pPr>
              <w:spacing w:before="0"/>
              <w:rPr>
                <w:rFonts w:eastAsia="Times New Roman" w:cstheme="minorHAnsi"/>
                <w:bCs/>
                <w:color w:val="auto"/>
                <w:sz w:val="16"/>
                <w:szCs w:val="16"/>
                <w:lang w:eastAsia="en-AU"/>
              </w:rPr>
            </w:pPr>
            <w:r w:rsidRPr="00E10B7B">
              <w:rPr>
                <w:rFonts w:eastAsia="Times New Roman" w:cstheme="minorHAnsi"/>
                <w:bCs/>
                <w:color w:val="auto"/>
                <w:sz w:val="16"/>
                <w:szCs w:val="16"/>
                <w:lang w:eastAsia="en-AU"/>
              </w:rPr>
              <w:t># products</w:t>
            </w:r>
          </w:p>
        </w:tc>
      </w:tr>
      <w:tr w:rsidR="00FB11EE" w:rsidRPr="00AE6870" w14:paraId="2F54F6AB" w14:textId="77777777" w:rsidTr="0032225E">
        <w:trPr>
          <w:trHeight w:val="241"/>
        </w:trPr>
        <w:tc>
          <w:tcPr>
            <w:tcW w:w="809" w:type="pct"/>
            <w:vMerge w:val="restart"/>
            <w:hideMark/>
          </w:tcPr>
          <w:p w14:paraId="7A7708E3" w14:textId="77777777" w:rsidR="00FB11EE" w:rsidRPr="00E10B7B" w:rsidRDefault="00FB11EE" w:rsidP="005C7AC1">
            <w:pPr>
              <w:spacing w:before="0"/>
              <w:jc w:val="center"/>
              <w:rPr>
                <w:rFonts w:eastAsia="Times New Roman" w:cstheme="minorHAnsi"/>
                <w:sz w:val="16"/>
                <w:szCs w:val="16"/>
                <w:lang w:eastAsia="en-AU"/>
              </w:rPr>
            </w:pPr>
            <w:r w:rsidRPr="00E10B7B">
              <w:rPr>
                <w:rFonts w:eastAsia="Times New Roman" w:cstheme="minorHAnsi"/>
                <w:sz w:val="16"/>
                <w:szCs w:val="16"/>
                <w:lang w:eastAsia="en-AU"/>
              </w:rPr>
              <w:t>1</w:t>
            </w:r>
          </w:p>
        </w:tc>
        <w:tc>
          <w:tcPr>
            <w:tcW w:w="1323" w:type="pct"/>
            <w:vMerge w:val="restart"/>
            <w:hideMark/>
          </w:tcPr>
          <w:p w14:paraId="439CEC98" w14:textId="77777777" w:rsidR="00FB11EE" w:rsidRPr="00E10B7B" w:rsidRDefault="00FB11EE" w:rsidP="005C7AC1">
            <w:pPr>
              <w:spacing w:before="0" w:after="0"/>
              <w:rPr>
                <w:rFonts w:eastAsia="Times New Roman" w:cstheme="minorHAnsi"/>
                <w:b/>
                <w:bCs/>
                <w:sz w:val="16"/>
                <w:szCs w:val="16"/>
                <w:lang w:eastAsia="en-AU"/>
              </w:rPr>
            </w:pPr>
            <w:r w:rsidRPr="00E10B7B">
              <w:rPr>
                <w:rFonts w:eastAsia="Times New Roman" w:cstheme="minorHAnsi"/>
                <w:b/>
                <w:bCs/>
                <w:sz w:val="16"/>
                <w:szCs w:val="16"/>
                <w:lang w:eastAsia="en-AU"/>
              </w:rPr>
              <w:t>One-Piece Closed</w:t>
            </w:r>
          </w:p>
        </w:tc>
        <w:tc>
          <w:tcPr>
            <w:tcW w:w="2134" w:type="pct"/>
            <w:hideMark/>
          </w:tcPr>
          <w:p w14:paraId="762D4E12" w14:textId="77777777" w:rsidR="00FB11EE" w:rsidRPr="00E10B7B" w:rsidRDefault="00FB11EE" w:rsidP="005C7AC1">
            <w:pPr>
              <w:spacing w:before="0"/>
              <w:rPr>
                <w:rFonts w:eastAsia="Times New Roman" w:cstheme="minorHAnsi"/>
                <w:sz w:val="16"/>
                <w:szCs w:val="16"/>
                <w:lang w:eastAsia="en-AU"/>
              </w:rPr>
            </w:pPr>
            <w:r w:rsidRPr="00E10B7B">
              <w:rPr>
                <w:rFonts w:eastAsia="Times New Roman" w:cstheme="minorHAnsi"/>
                <w:sz w:val="16"/>
                <w:szCs w:val="16"/>
                <w:lang w:eastAsia="en-AU"/>
              </w:rPr>
              <w:t>(a) Stoma Caps</w:t>
            </w:r>
          </w:p>
        </w:tc>
        <w:tc>
          <w:tcPr>
            <w:tcW w:w="734" w:type="pct"/>
            <w:noWrap/>
            <w:hideMark/>
          </w:tcPr>
          <w:p w14:paraId="4318F3FD"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10</w:t>
            </w:r>
          </w:p>
        </w:tc>
      </w:tr>
      <w:tr w:rsidR="00FB11EE" w:rsidRPr="00AE6870" w14:paraId="666DDDD4" w14:textId="77777777" w:rsidTr="0032225E">
        <w:trPr>
          <w:cnfStyle w:val="000000010000" w:firstRow="0" w:lastRow="0" w:firstColumn="0" w:lastColumn="0" w:oddVBand="0" w:evenVBand="0" w:oddHBand="0" w:evenHBand="1" w:firstRowFirstColumn="0" w:firstRowLastColumn="0" w:lastRowFirstColumn="0" w:lastRowLastColumn="0"/>
          <w:trHeight w:val="241"/>
        </w:trPr>
        <w:tc>
          <w:tcPr>
            <w:tcW w:w="809" w:type="pct"/>
            <w:vMerge/>
            <w:hideMark/>
          </w:tcPr>
          <w:p w14:paraId="6987DC14"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hideMark/>
          </w:tcPr>
          <w:p w14:paraId="1C12E2EE" w14:textId="77777777" w:rsidR="00FB11EE" w:rsidRPr="00E10B7B" w:rsidRDefault="00FB11EE" w:rsidP="005C7AC1">
            <w:pPr>
              <w:spacing w:before="0"/>
              <w:rPr>
                <w:rFonts w:eastAsia="Times New Roman" w:cstheme="minorHAnsi"/>
                <w:b/>
                <w:bCs/>
                <w:sz w:val="16"/>
                <w:szCs w:val="16"/>
                <w:lang w:eastAsia="en-AU"/>
              </w:rPr>
            </w:pPr>
          </w:p>
        </w:tc>
        <w:tc>
          <w:tcPr>
            <w:tcW w:w="2134" w:type="pct"/>
            <w:hideMark/>
          </w:tcPr>
          <w:p w14:paraId="1B987B03"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(b) Flat Baseplate</w:t>
            </w:r>
          </w:p>
        </w:tc>
        <w:tc>
          <w:tcPr>
            <w:tcW w:w="734" w:type="pct"/>
            <w:noWrap/>
            <w:hideMark/>
          </w:tcPr>
          <w:p w14:paraId="43B3DE8F"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381</w:t>
            </w:r>
          </w:p>
        </w:tc>
      </w:tr>
      <w:tr w:rsidR="00FB11EE" w:rsidRPr="00AE6870" w14:paraId="17F7C618" w14:textId="77777777" w:rsidTr="0032225E">
        <w:trPr>
          <w:trHeight w:val="241"/>
        </w:trPr>
        <w:tc>
          <w:tcPr>
            <w:tcW w:w="809" w:type="pct"/>
            <w:vMerge/>
            <w:hideMark/>
          </w:tcPr>
          <w:p w14:paraId="1FE3EB9A"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hideMark/>
          </w:tcPr>
          <w:p w14:paraId="05D247C5" w14:textId="77777777" w:rsidR="00FB11EE" w:rsidRPr="00E10B7B" w:rsidRDefault="00FB11EE" w:rsidP="005C7AC1">
            <w:pPr>
              <w:spacing w:before="0"/>
              <w:rPr>
                <w:rFonts w:eastAsia="Times New Roman" w:cstheme="minorHAnsi"/>
                <w:b/>
                <w:bCs/>
                <w:sz w:val="16"/>
                <w:szCs w:val="16"/>
                <w:lang w:eastAsia="en-AU"/>
              </w:rPr>
            </w:pPr>
          </w:p>
        </w:tc>
        <w:tc>
          <w:tcPr>
            <w:tcW w:w="2134" w:type="pct"/>
            <w:hideMark/>
          </w:tcPr>
          <w:p w14:paraId="6F17F55B"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(c) Convex Baseplate</w:t>
            </w:r>
          </w:p>
        </w:tc>
        <w:tc>
          <w:tcPr>
            <w:tcW w:w="734" w:type="pct"/>
            <w:noWrap/>
            <w:hideMark/>
          </w:tcPr>
          <w:p w14:paraId="052C8505"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355</w:t>
            </w:r>
          </w:p>
        </w:tc>
      </w:tr>
      <w:tr w:rsidR="00FB11EE" w:rsidRPr="00AE6870" w14:paraId="41740845" w14:textId="77777777" w:rsidTr="0032225E">
        <w:trPr>
          <w:cnfStyle w:val="000000010000" w:firstRow="0" w:lastRow="0" w:firstColumn="0" w:lastColumn="0" w:oddVBand="0" w:evenVBand="0" w:oddHBand="0" w:evenHBand="1" w:firstRowFirstColumn="0" w:firstRowLastColumn="0" w:lastRowFirstColumn="0" w:lastRowLastColumn="0"/>
          <w:trHeight w:val="241"/>
        </w:trPr>
        <w:tc>
          <w:tcPr>
            <w:tcW w:w="809" w:type="pct"/>
            <w:vMerge w:val="restart"/>
            <w:hideMark/>
          </w:tcPr>
          <w:p w14:paraId="17773FD1" w14:textId="77777777" w:rsidR="00FB11EE" w:rsidRPr="00E10B7B" w:rsidRDefault="00FB11EE" w:rsidP="005C7AC1">
            <w:pPr>
              <w:spacing w:before="0" w:after="0"/>
              <w:jc w:val="center"/>
              <w:rPr>
                <w:rFonts w:eastAsia="Times New Roman" w:cstheme="minorHAnsi"/>
                <w:sz w:val="16"/>
                <w:szCs w:val="16"/>
                <w:lang w:eastAsia="en-AU"/>
              </w:rPr>
            </w:pPr>
            <w:r w:rsidRPr="00E10B7B">
              <w:rPr>
                <w:rFonts w:eastAsia="Times New Roman" w:cstheme="minorHAnsi"/>
                <w:sz w:val="16"/>
                <w:szCs w:val="16"/>
                <w:lang w:eastAsia="en-AU"/>
              </w:rPr>
              <w:t>2</w:t>
            </w:r>
          </w:p>
        </w:tc>
        <w:tc>
          <w:tcPr>
            <w:tcW w:w="1323" w:type="pct"/>
            <w:vMerge w:val="restart"/>
            <w:hideMark/>
          </w:tcPr>
          <w:p w14:paraId="54D7F823" w14:textId="77777777" w:rsidR="00FB11EE" w:rsidRPr="00E10B7B" w:rsidRDefault="00FB11EE" w:rsidP="005C7AC1">
            <w:pPr>
              <w:spacing w:before="0" w:after="0"/>
              <w:rPr>
                <w:rFonts w:eastAsia="Times New Roman" w:cstheme="minorHAnsi"/>
                <w:b/>
                <w:bCs/>
                <w:sz w:val="16"/>
                <w:szCs w:val="16"/>
                <w:lang w:eastAsia="en-AU"/>
              </w:rPr>
            </w:pPr>
            <w:r w:rsidRPr="00E10B7B">
              <w:rPr>
                <w:rFonts w:eastAsia="Times New Roman" w:cstheme="minorHAnsi"/>
                <w:b/>
                <w:bCs/>
                <w:sz w:val="16"/>
                <w:szCs w:val="16"/>
                <w:lang w:eastAsia="en-AU"/>
              </w:rPr>
              <w:t>One-Piece Drainable</w:t>
            </w:r>
          </w:p>
        </w:tc>
        <w:tc>
          <w:tcPr>
            <w:tcW w:w="2134" w:type="pct"/>
            <w:hideMark/>
          </w:tcPr>
          <w:p w14:paraId="7C572DEE" w14:textId="77777777" w:rsidR="00FB11EE" w:rsidRPr="00E10B7B" w:rsidRDefault="00FB11EE" w:rsidP="005C7AC1">
            <w:pPr>
              <w:spacing w:before="0"/>
              <w:rPr>
                <w:rFonts w:eastAsia="Times New Roman" w:cstheme="minorHAnsi"/>
                <w:sz w:val="16"/>
                <w:szCs w:val="16"/>
                <w:lang w:eastAsia="en-AU"/>
              </w:rPr>
            </w:pPr>
            <w:r w:rsidRPr="00E10B7B">
              <w:rPr>
                <w:rFonts w:eastAsia="Times New Roman" w:cstheme="minorHAnsi"/>
                <w:sz w:val="16"/>
                <w:szCs w:val="16"/>
                <w:lang w:eastAsia="en-AU"/>
              </w:rPr>
              <w:t>(a) Flat Baseplate</w:t>
            </w:r>
          </w:p>
        </w:tc>
        <w:tc>
          <w:tcPr>
            <w:tcW w:w="734" w:type="pct"/>
            <w:noWrap/>
            <w:hideMark/>
          </w:tcPr>
          <w:p w14:paraId="3789EDC9"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325</w:t>
            </w:r>
          </w:p>
        </w:tc>
      </w:tr>
      <w:tr w:rsidR="00FB11EE" w:rsidRPr="00AE6870" w14:paraId="7F5499A6" w14:textId="77777777" w:rsidTr="0032225E">
        <w:trPr>
          <w:trHeight w:val="241"/>
        </w:trPr>
        <w:tc>
          <w:tcPr>
            <w:tcW w:w="809" w:type="pct"/>
            <w:vMerge/>
            <w:hideMark/>
          </w:tcPr>
          <w:p w14:paraId="1B6E0726"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hideMark/>
          </w:tcPr>
          <w:p w14:paraId="67150C9A" w14:textId="77777777" w:rsidR="00FB11EE" w:rsidRPr="00E10B7B" w:rsidRDefault="00FB11EE" w:rsidP="005C7AC1">
            <w:pPr>
              <w:spacing w:before="0"/>
              <w:rPr>
                <w:rFonts w:eastAsia="Times New Roman" w:cstheme="minorHAnsi"/>
                <w:b/>
                <w:bCs/>
                <w:sz w:val="16"/>
                <w:szCs w:val="16"/>
                <w:lang w:eastAsia="en-AU"/>
              </w:rPr>
            </w:pPr>
          </w:p>
        </w:tc>
        <w:tc>
          <w:tcPr>
            <w:tcW w:w="2134" w:type="pct"/>
            <w:hideMark/>
          </w:tcPr>
          <w:p w14:paraId="2D915AF2"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(b) Convex Baseplate</w:t>
            </w:r>
          </w:p>
        </w:tc>
        <w:tc>
          <w:tcPr>
            <w:tcW w:w="734" w:type="pct"/>
            <w:noWrap/>
            <w:hideMark/>
          </w:tcPr>
          <w:p w14:paraId="3C5AB814"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483</w:t>
            </w:r>
          </w:p>
        </w:tc>
      </w:tr>
      <w:tr w:rsidR="00FB11EE" w:rsidRPr="00AE6870" w14:paraId="18B8AB62" w14:textId="77777777" w:rsidTr="0032225E">
        <w:trPr>
          <w:cnfStyle w:val="000000010000" w:firstRow="0" w:lastRow="0" w:firstColumn="0" w:lastColumn="0" w:oddVBand="0" w:evenVBand="0" w:oddHBand="0" w:evenHBand="1" w:firstRowFirstColumn="0" w:firstRowLastColumn="0" w:lastRowFirstColumn="0" w:lastRowLastColumn="0"/>
          <w:trHeight w:val="241"/>
        </w:trPr>
        <w:tc>
          <w:tcPr>
            <w:tcW w:w="809" w:type="pct"/>
            <w:vMerge w:val="restart"/>
            <w:hideMark/>
          </w:tcPr>
          <w:p w14:paraId="6B9772F5" w14:textId="77777777" w:rsidR="00FB11EE" w:rsidRPr="00E10B7B" w:rsidRDefault="00FB11EE" w:rsidP="005C7AC1">
            <w:pPr>
              <w:spacing w:before="0" w:after="0"/>
              <w:jc w:val="center"/>
              <w:rPr>
                <w:rFonts w:eastAsia="Times New Roman" w:cstheme="minorHAnsi"/>
                <w:sz w:val="16"/>
                <w:szCs w:val="16"/>
                <w:lang w:eastAsia="en-AU"/>
              </w:rPr>
            </w:pPr>
            <w:r w:rsidRPr="00E10B7B">
              <w:rPr>
                <w:rFonts w:eastAsia="Times New Roman" w:cstheme="minorHAnsi"/>
                <w:sz w:val="16"/>
                <w:szCs w:val="16"/>
                <w:lang w:eastAsia="en-AU"/>
              </w:rPr>
              <w:t>3</w:t>
            </w:r>
          </w:p>
        </w:tc>
        <w:tc>
          <w:tcPr>
            <w:tcW w:w="1323" w:type="pct"/>
            <w:vMerge w:val="restart"/>
            <w:shd w:val="clear" w:color="auto" w:fill="FFFFFF" w:themeFill="background1"/>
            <w:hideMark/>
          </w:tcPr>
          <w:p w14:paraId="2C22125F" w14:textId="77777777" w:rsidR="00FB11EE" w:rsidRPr="00E10B7B" w:rsidRDefault="00FB11EE" w:rsidP="005C7AC1">
            <w:pPr>
              <w:spacing w:before="0" w:after="0"/>
              <w:rPr>
                <w:rFonts w:eastAsia="Times New Roman" w:cstheme="minorHAnsi"/>
                <w:b/>
                <w:bCs/>
                <w:sz w:val="16"/>
                <w:szCs w:val="16"/>
                <w:lang w:eastAsia="en-AU"/>
              </w:rPr>
            </w:pPr>
            <w:r w:rsidRPr="00E10B7B">
              <w:rPr>
                <w:rFonts w:eastAsia="Times New Roman" w:cstheme="minorHAnsi"/>
                <w:b/>
                <w:bCs/>
                <w:sz w:val="16"/>
                <w:szCs w:val="16"/>
                <w:lang w:eastAsia="en-AU"/>
              </w:rPr>
              <w:t>One-Piece Urostomy</w:t>
            </w:r>
          </w:p>
        </w:tc>
        <w:tc>
          <w:tcPr>
            <w:tcW w:w="2134" w:type="pct"/>
            <w:hideMark/>
          </w:tcPr>
          <w:p w14:paraId="3227999C" w14:textId="77777777" w:rsidR="00FB11EE" w:rsidRPr="00E10B7B" w:rsidRDefault="00FB11EE" w:rsidP="005C7AC1">
            <w:pPr>
              <w:spacing w:before="0"/>
              <w:rPr>
                <w:rFonts w:eastAsia="Times New Roman" w:cstheme="minorHAnsi"/>
                <w:sz w:val="16"/>
                <w:szCs w:val="16"/>
                <w:lang w:eastAsia="en-AU"/>
              </w:rPr>
            </w:pPr>
            <w:r w:rsidRPr="00E10B7B">
              <w:rPr>
                <w:rFonts w:eastAsia="Times New Roman" w:cstheme="minorHAnsi"/>
                <w:sz w:val="16"/>
                <w:szCs w:val="16"/>
                <w:lang w:eastAsia="en-AU"/>
              </w:rPr>
              <w:t>(a) Flat Baseplate</w:t>
            </w:r>
          </w:p>
        </w:tc>
        <w:tc>
          <w:tcPr>
            <w:tcW w:w="734" w:type="pct"/>
            <w:noWrap/>
            <w:hideMark/>
          </w:tcPr>
          <w:p w14:paraId="343CBA02"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115</w:t>
            </w:r>
          </w:p>
        </w:tc>
      </w:tr>
      <w:tr w:rsidR="00FB11EE" w:rsidRPr="00AE6870" w14:paraId="536FB999" w14:textId="77777777" w:rsidTr="0032225E">
        <w:trPr>
          <w:trHeight w:val="241"/>
        </w:trPr>
        <w:tc>
          <w:tcPr>
            <w:tcW w:w="809" w:type="pct"/>
            <w:vMerge/>
            <w:hideMark/>
          </w:tcPr>
          <w:p w14:paraId="7F937B1B"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hideMark/>
          </w:tcPr>
          <w:p w14:paraId="57E6B6F7" w14:textId="77777777" w:rsidR="00FB11EE" w:rsidRPr="00E10B7B" w:rsidRDefault="00FB11EE" w:rsidP="005C7AC1">
            <w:pPr>
              <w:spacing w:before="0"/>
              <w:rPr>
                <w:rFonts w:eastAsia="Times New Roman" w:cstheme="minorHAnsi"/>
                <w:b/>
                <w:bCs/>
                <w:sz w:val="16"/>
                <w:szCs w:val="16"/>
                <w:lang w:eastAsia="en-AU"/>
              </w:rPr>
            </w:pPr>
          </w:p>
        </w:tc>
        <w:tc>
          <w:tcPr>
            <w:tcW w:w="2134" w:type="pct"/>
            <w:hideMark/>
          </w:tcPr>
          <w:p w14:paraId="4905FAD2"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(b) Convex Baseplate</w:t>
            </w:r>
          </w:p>
        </w:tc>
        <w:tc>
          <w:tcPr>
            <w:tcW w:w="734" w:type="pct"/>
            <w:noWrap/>
            <w:hideMark/>
          </w:tcPr>
          <w:p w14:paraId="05742302"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322</w:t>
            </w:r>
          </w:p>
        </w:tc>
      </w:tr>
      <w:tr w:rsidR="00FB11EE" w:rsidRPr="00AE6870" w14:paraId="6E9B0451" w14:textId="77777777" w:rsidTr="0032225E">
        <w:trPr>
          <w:cnfStyle w:val="000000010000" w:firstRow="0" w:lastRow="0" w:firstColumn="0" w:lastColumn="0" w:oddVBand="0" w:evenVBand="0" w:oddHBand="0" w:evenHBand="1" w:firstRowFirstColumn="0" w:firstRowLastColumn="0" w:lastRowFirstColumn="0" w:lastRowLastColumn="0"/>
          <w:trHeight w:val="241"/>
        </w:trPr>
        <w:tc>
          <w:tcPr>
            <w:tcW w:w="809" w:type="pct"/>
            <w:vMerge w:val="restart"/>
            <w:hideMark/>
          </w:tcPr>
          <w:p w14:paraId="0030136E" w14:textId="77777777" w:rsidR="00FB11EE" w:rsidRPr="00E10B7B" w:rsidRDefault="00FB11EE" w:rsidP="005C7AC1">
            <w:pPr>
              <w:spacing w:before="0" w:after="0"/>
              <w:jc w:val="center"/>
              <w:rPr>
                <w:rFonts w:eastAsia="Times New Roman" w:cstheme="minorHAnsi"/>
                <w:sz w:val="16"/>
                <w:szCs w:val="16"/>
                <w:lang w:eastAsia="en-AU"/>
              </w:rPr>
            </w:pPr>
            <w:r w:rsidRPr="00E10B7B">
              <w:rPr>
                <w:rFonts w:eastAsia="Times New Roman" w:cstheme="minorHAnsi"/>
                <w:sz w:val="16"/>
                <w:szCs w:val="16"/>
                <w:lang w:eastAsia="en-AU"/>
              </w:rPr>
              <w:t>4</w:t>
            </w:r>
          </w:p>
        </w:tc>
        <w:tc>
          <w:tcPr>
            <w:tcW w:w="1323" w:type="pct"/>
            <w:vMerge w:val="restart"/>
            <w:hideMark/>
          </w:tcPr>
          <w:p w14:paraId="4F660534" w14:textId="77777777" w:rsidR="00FB11EE" w:rsidRPr="00E10B7B" w:rsidRDefault="00FB11EE" w:rsidP="005C7AC1">
            <w:pPr>
              <w:spacing w:before="0" w:after="0"/>
              <w:rPr>
                <w:rFonts w:eastAsia="Times New Roman" w:cstheme="minorHAnsi"/>
                <w:b/>
                <w:bCs/>
                <w:sz w:val="16"/>
                <w:szCs w:val="16"/>
                <w:lang w:eastAsia="en-AU"/>
              </w:rPr>
            </w:pPr>
            <w:r w:rsidRPr="00E10B7B">
              <w:rPr>
                <w:rFonts w:eastAsia="Times New Roman" w:cstheme="minorHAnsi"/>
                <w:b/>
                <w:bCs/>
                <w:sz w:val="16"/>
                <w:szCs w:val="16"/>
                <w:lang w:eastAsia="en-AU"/>
              </w:rPr>
              <w:t>Two-Piece Baseplate</w:t>
            </w:r>
          </w:p>
        </w:tc>
        <w:tc>
          <w:tcPr>
            <w:tcW w:w="2134" w:type="pct"/>
            <w:hideMark/>
          </w:tcPr>
          <w:p w14:paraId="17E2761C" w14:textId="77777777" w:rsidR="00FB11EE" w:rsidRPr="00E10B7B" w:rsidRDefault="00FB11EE" w:rsidP="005C7AC1">
            <w:pPr>
              <w:spacing w:before="0"/>
              <w:rPr>
                <w:rFonts w:eastAsia="Times New Roman" w:cstheme="minorHAnsi"/>
                <w:sz w:val="16"/>
                <w:szCs w:val="16"/>
                <w:lang w:eastAsia="en-AU"/>
              </w:rPr>
            </w:pPr>
            <w:r w:rsidRPr="00E10B7B">
              <w:rPr>
                <w:rFonts w:eastAsia="Times New Roman" w:cstheme="minorHAnsi"/>
                <w:sz w:val="16"/>
                <w:szCs w:val="16"/>
                <w:lang w:eastAsia="en-AU"/>
              </w:rPr>
              <w:t>(a) Mechanical Coupling – Flat</w:t>
            </w:r>
          </w:p>
        </w:tc>
        <w:tc>
          <w:tcPr>
            <w:tcW w:w="734" w:type="pct"/>
            <w:noWrap/>
            <w:hideMark/>
          </w:tcPr>
          <w:p w14:paraId="65D9C658"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153</w:t>
            </w:r>
          </w:p>
        </w:tc>
      </w:tr>
      <w:tr w:rsidR="00FB11EE" w:rsidRPr="00AE6870" w14:paraId="4C835938" w14:textId="77777777" w:rsidTr="0032225E">
        <w:trPr>
          <w:trHeight w:val="241"/>
        </w:trPr>
        <w:tc>
          <w:tcPr>
            <w:tcW w:w="809" w:type="pct"/>
            <w:vMerge/>
            <w:hideMark/>
          </w:tcPr>
          <w:p w14:paraId="4C019C46"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hideMark/>
          </w:tcPr>
          <w:p w14:paraId="74D50537" w14:textId="77777777" w:rsidR="00FB11EE" w:rsidRPr="00E10B7B" w:rsidRDefault="00FB11EE" w:rsidP="005C7AC1">
            <w:pPr>
              <w:spacing w:before="0"/>
              <w:rPr>
                <w:rFonts w:eastAsia="Times New Roman" w:cstheme="minorHAnsi"/>
                <w:b/>
                <w:bCs/>
                <w:sz w:val="16"/>
                <w:szCs w:val="16"/>
                <w:lang w:eastAsia="en-AU"/>
              </w:rPr>
            </w:pPr>
          </w:p>
        </w:tc>
        <w:tc>
          <w:tcPr>
            <w:tcW w:w="2134" w:type="pct"/>
            <w:hideMark/>
          </w:tcPr>
          <w:p w14:paraId="2B35FC61"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(b) Mechanical Coupling – Extended Wear</w:t>
            </w:r>
          </w:p>
        </w:tc>
        <w:tc>
          <w:tcPr>
            <w:tcW w:w="734" w:type="pct"/>
            <w:noWrap/>
            <w:hideMark/>
          </w:tcPr>
          <w:p w14:paraId="511FD035"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38</w:t>
            </w:r>
          </w:p>
        </w:tc>
      </w:tr>
      <w:tr w:rsidR="00FB11EE" w:rsidRPr="00AE6870" w14:paraId="1A306191" w14:textId="77777777" w:rsidTr="0032225E">
        <w:trPr>
          <w:cnfStyle w:val="000000010000" w:firstRow="0" w:lastRow="0" w:firstColumn="0" w:lastColumn="0" w:oddVBand="0" w:evenVBand="0" w:oddHBand="0" w:evenHBand="1" w:firstRowFirstColumn="0" w:firstRowLastColumn="0" w:lastRowFirstColumn="0" w:lastRowLastColumn="0"/>
          <w:trHeight w:val="241"/>
        </w:trPr>
        <w:tc>
          <w:tcPr>
            <w:tcW w:w="809" w:type="pct"/>
            <w:vMerge/>
            <w:hideMark/>
          </w:tcPr>
          <w:p w14:paraId="66029C9F"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hideMark/>
          </w:tcPr>
          <w:p w14:paraId="0D3F7374" w14:textId="77777777" w:rsidR="00FB11EE" w:rsidRPr="00E10B7B" w:rsidRDefault="00FB11EE" w:rsidP="005C7AC1">
            <w:pPr>
              <w:spacing w:before="0"/>
              <w:rPr>
                <w:rFonts w:eastAsia="Times New Roman" w:cstheme="minorHAnsi"/>
                <w:b/>
                <w:bCs/>
                <w:sz w:val="16"/>
                <w:szCs w:val="16"/>
                <w:lang w:eastAsia="en-AU"/>
              </w:rPr>
            </w:pPr>
          </w:p>
        </w:tc>
        <w:tc>
          <w:tcPr>
            <w:tcW w:w="2134" w:type="pct"/>
            <w:hideMark/>
          </w:tcPr>
          <w:p w14:paraId="563CEE00"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(c) Mechanical Coupling – Convex</w:t>
            </w:r>
          </w:p>
        </w:tc>
        <w:tc>
          <w:tcPr>
            <w:tcW w:w="734" w:type="pct"/>
            <w:noWrap/>
            <w:hideMark/>
          </w:tcPr>
          <w:p w14:paraId="7A834D10"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210</w:t>
            </w:r>
          </w:p>
        </w:tc>
      </w:tr>
      <w:tr w:rsidR="00FB11EE" w:rsidRPr="00AE6870" w14:paraId="5ED895E6" w14:textId="77777777" w:rsidTr="0032225E">
        <w:trPr>
          <w:trHeight w:val="241"/>
        </w:trPr>
        <w:tc>
          <w:tcPr>
            <w:tcW w:w="809" w:type="pct"/>
            <w:vMerge/>
            <w:hideMark/>
          </w:tcPr>
          <w:p w14:paraId="4D1BA9CD"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hideMark/>
          </w:tcPr>
          <w:p w14:paraId="394E0B2B" w14:textId="77777777" w:rsidR="00FB11EE" w:rsidRPr="00E10B7B" w:rsidRDefault="00FB11EE" w:rsidP="005C7AC1">
            <w:pPr>
              <w:spacing w:before="0"/>
              <w:rPr>
                <w:rFonts w:eastAsia="Times New Roman" w:cstheme="minorHAnsi"/>
                <w:b/>
                <w:bCs/>
                <w:sz w:val="16"/>
                <w:szCs w:val="16"/>
                <w:lang w:eastAsia="en-AU"/>
              </w:rPr>
            </w:pPr>
          </w:p>
        </w:tc>
        <w:tc>
          <w:tcPr>
            <w:tcW w:w="2134" w:type="pct"/>
            <w:hideMark/>
          </w:tcPr>
          <w:p w14:paraId="020F4778"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(d) Adhesive Coupling – Flat</w:t>
            </w:r>
          </w:p>
        </w:tc>
        <w:tc>
          <w:tcPr>
            <w:tcW w:w="734" w:type="pct"/>
            <w:noWrap/>
            <w:hideMark/>
          </w:tcPr>
          <w:p w14:paraId="1F3567B7"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60</w:t>
            </w:r>
          </w:p>
        </w:tc>
      </w:tr>
      <w:tr w:rsidR="00FB11EE" w:rsidRPr="00AE6870" w14:paraId="169AF472" w14:textId="77777777" w:rsidTr="0032225E">
        <w:trPr>
          <w:cnfStyle w:val="000000010000" w:firstRow="0" w:lastRow="0" w:firstColumn="0" w:lastColumn="0" w:oddVBand="0" w:evenVBand="0" w:oddHBand="0" w:evenHBand="1" w:firstRowFirstColumn="0" w:firstRowLastColumn="0" w:lastRowFirstColumn="0" w:lastRowLastColumn="0"/>
          <w:trHeight w:val="241"/>
        </w:trPr>
        <w:tc>
          <w:tcPr>
            <w:tcW w:w="809" w:type="pct"/>
            <w:vMerge/>
            <w:hideMark/>
          </w:tcPr>
          <w:p w14:paraId="35FB6ECC"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hideMark/>
          </w:tcPr>
          <w:p w14:paraId="09D66493" w14:textId="77777777" w:rsidR="00FB11EE" w:rsidRPr="00E10B7B" w:rsidRDefault="00FB11EE" w:rsidP="005C7AC1">
            <w:pPr>
              <w:spacing w:before="0"/>
              <w:rPr>
                <w:rFonts w:eastAsia="Times New Roman" w:cstheme="minorHAnsi"/>
                <w:b/>
                <w:bCs/>
                <w:sz w:val="16"/>
                <w:szCs w:val="16"/>
                <w:lang w:eastAsia="en-AU"/>
              </w:rPr>
            </w:pPr>
          </w:p>
        </w:tc>
        <w:tc>
          <w:tcPr>
            <w:tcW w:w="2134" w:type="pct"/>
            <w:hideMark/>
          </w:tcPr>
          <w:p w14:paraId="00DD146D"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(e) Adhesive Coupling – Extended Wear</w:t>
            </w:r>
          </w:p>
        </w:tc>
        <w:tc>
          <w:tcPr>
            <w:tcW w:w="734" w:type="pct"/>
            <w:noWrap/>
            <w:hideMark/>
          </w:tcPr>
          <w:p w14:paraId="3C6555D7"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0</w:t>
            </w:r>
          </w:p>
        </w:tc>
      </w:tr>
      <w:tr w:rsidR="00FB11EE" w:rsidRPr="00AE6870" w14:paraId="45D288A1" w14:textId="77777777" w:rsidTr="0032225E">
        <w:trPr>
          <w:trHeight w:val="241"/>
        </w:trPr>
        <w:tc>
          <w:tcPr>
            <w:tcW w:w="809" w:type="pct"/>
            <w:vMerge/>
            <w:hideMark/>
          </w:tcPr>
          <w:p w14:paraId="51A08876"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hideMark/>
          </w:tcPr>
          <w:p w14:paraId="16A008E9" w14:textId="77777777" w:rsidR="00FB11EE" w:rsidRPr="00E10B7B" w:rsidRDefault="00FB11EE" w:rsidP="005C7AC1">
            <w:pPr>
              <w:spacing w:before="0"/>
              <w:rPr>
                <w:rFonts w:eastAsia="Times New Roman" w:cstheme="minorHAnsi"/>
                <w:b/>
                <w:bCs/>
                <w:sz w:val="16"/>
                <w:szCs w:val="16"/>
                <w:lang w:eastAsia="en-AU"/>
              </w:rPr>
            </w:pPr>
          </w:p>
        </w:tc>
        <w:tc>
          <w:tcPr>
            <w:tcW w:w="2134" w:type="pct"/>
            <w:hideMark/>
          </w:tcPr>
          <w:p w14:paraId="148297A8" w14:textId="77777777" w:rsidR="00FB11EE" w:rsidRPr="00E10B7B" w:rsidRDefault="00FB11EE" w:rsidP="005C7AC1">
            <w:pPr>
              <w:spacing w:before="0"/>
              <w:rPr>
                <w:rFonts w:eastAsia="Times New Roman" w:cstheme="minorHAnsi"/>
                <w:sz w:val="16"/>
                <w:szCs w:val="16"/>
                <w:lang w:eastAsia="en-AU"/>
              </w:rPr>
            </w:pPr>
            <w:r w:rsidRPr="00E10B7B">
              <w:rPr>
                <w:rFonts w:eastAsia="Times New Roman" w:cstheme="minorHAnsi"/>
                <w:sz w:val="16"/>
                <w:szCs w:val="16"/>
                <w:lang w:eastAsia="en-AU"/>
              </w:rPr>
              <w:t>(f) Adhesive Coupling – Convex</w:t>
            </w:r>
          </w:p>
        </w:tc>
        <w:tc>
          <w:tcPr>
            <w:tcW w:w="734" w:type="pct"/>
            <w:noWrap/>
            <w:hideMark/>
          </w:tcPr>
          <w:p w14:paraId="7100C6AB"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42</w:t>
            </w:r>
          </w:p>
        </w:tc>
      </w:tr>
      <w:tr w:rsidR="00FB11EE" w:rsidRPr="00AE6870" w14:paraId="797DA652" w14:textId="77777777" w:rsidTr="0032225E">
        <w:trPr>
          <w:cnfStyle w:val="000000010000" w:firstRow="0" w:lastRow="0" w:firstColumn="0" w:lastColumn="0" w:oddVBand="0" w:evenVBand="0" w:oddHBand="0" w:evenHBand="1" w:firstRowFirstColumn="0" w:firstRowLastColumn="0" w:lastRowFirstColumn="0" w:lastRowLastColumn="0"/>
          <w:trHeight w:val="241"/>
        </w:trPr>
        <w:tc>
          <w:tcPr>
            <w:tcW w:w="809" w:type="pct"/>
            <w:vMerge w:val="restart"/>
            <w:hideMark/>
          </w:tcPr>
          <w:p w14:paraId="38D061BB" w14:textId="77777777" w:rsidR="00FB11EE" w:rsidRPr="00E10B7B" w:rsidRDefault="00FB11EE" w:rsidP="005C7AC1">
            <w:pPr>
              <w:spacing w:before="0" w:after="0"/>
              <w:jc w:val="center"/>
              <w:rPr>
                <w:rFonts w:eastAsia="Times New Roman" w:cstheme="minorHAnsi"/>
                <w:sz w:val="16"/>
                <w:szCs w:val="16"/>
                <w:lang w:eastAsia="en-AU"/>
              </w:rPr>
            </w:pPr>
            <w:r w:rsidRPr="00E10B7B">
              <w:rPr>
                <w:rFonts w:eastAsia="Times New Roman" w:cstheme="minorHAnsi"/>
                <w:sz w:val="16"/>
                <w:szCs w:val="16"/>
                <w:lang w:eastAsia="en-AU"/>
              </w:rPr>
              <w:t>5</w:t>
            </w:r>
          </w:p>
        </w:tc>
        <w:tc>
          <w:tcPr>
            <w:tcW w:w="1323" w:type="pct"/>
            <w:vMerge w:val="restart"/>
            <w:shd w:val="clear" w:color="auto" w:fill="FFFFFF" w:themeFill="background1"/>
            <w:hideMark/>
          </w:tcPr>
          <w:p w14:paraId="2D420339" w14:textId="77777777" w:rsidR="00FB11EE" w:rsidRPr="00E10B7B" w:rsidRDefault="00FB11EE" w:rsidP="005C7AC1">
            <w:pPr>
              <w:spacing w:before="0" w:after="0"/>
              <w:rPr>
                <w:rFonts w:eastAsia="Times New Roman" w:cstheme="minorHAnsi"/>
                <w:b/>
                <w:bCs/>
                <w:sz w:val="16"/>
                <w:szCs w:val="16"/>
                <w:lang w:eastAsia="en-AU"/>
              </w:rPr>
            </w:pPr>
            <w:r w:rsidRPr="00E10B7B">
              <w:rPr>
                <w:rFonts w:eastAsia="Times New Roman" w:cstheme="minorHAnsi"/>
                <w:b/>
                <w:bCs/>
                <w:sz w:val="16"/>
                <w:szCs w:val="16"/>
                <w:lang w:eastAsia="en-AU"/>
              </w:rPr>
              <w:t>Two-Piece Closed</w:t>
            </w:r>
          </w:p>
        </w:tc>
        <w:tc>
          <w:tcPr>
            <w:tcW w:w="2134" w:type="pct"/>
            <w:hideMark/>
          </w:tcPr>
          <w:p w14:paraId="588275B3" w14:textId="77777777" w:rsidR="00FB11EE" w:rsidRPr="00E10B7B" w:rsidRDefault="00FB11EE" w:rsidP="005C7AC1">
            <w:pPr>
              <w:spacing w:before="0"/>
              <w:rPr>
                <w:rFonts w:eastAsia="Times New Roman" w:cstheme="minorHAnsi"/>
                <w:sz w:val="16"/>
                <w:szCs w:val="16"/>
                <w:lang w:eastAsia="en-AU"/>
              </w:rPr>
            </w:pPr>
            <w:r w:rsidRPr="00E10B7B">
              <w:rPr>
                <w:rFonts w:eastAsia="Times New Roman" w:cstheme="minorHAnsi"/>
                <w:sz w:val="16"/>
                <w:szCs w:val="16"/>
                <w:lang w:eastAsia="en-AU"/>
              </w:rPr>
              <w:t xml:space="preserve">(a) Mechanical Coupling </w:t>
            </w:r>
          </w:p>
        </w:tc>
        <w:tc>
          <w:tcPr>
            <w:tcW w:w="734" w:type="pct"/>
            <w:noWrap/>
            <w:hideMark/>
          </w:tcPr>
          <w:p w14:paraId="1FEA459F"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119</w:t>
            </w:r>
          </w:p>
        </w:tc>
      </w:tr>
      <w:tr w:rsidR="00FB11EE" w:rsidRPr="00AE6870" w14:paraId="3A96744B" w14:textId="77777777" w:rsidTr="0032225E">
        <w:trPr>
          <w:trHeight w:val="241"/>
        </w:trPr>
        <w:tc>
          <w:tcPr>
            <w:tcW w:w="809" w:type="pct"/>
            <w:vMerge/>
            <w:hideMark/>
          </w:tcPr>
          <w:p w14:paraId="64629584"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hideMark/>
          </w:tcPr>
          <w:p w14:paraId="350EE15D" w14:textId="77777777" w:rsidR="00FB11EE" w:rsidRPr="00E10B7B" w:rsidRDefault="00FB11EE" w:rsidP="005C7AC1">
            <w:pPr>
              <w:spacing w:before="0"/>
              <w:rPr>
                <w:rFonts w:eastAsia="Times New Roman" w:cstheme="minorHAnsi"/>
                <w:b/>
                <w:bCs/>
                <w:sz w:val="16"/>
                <w:szCs w:val="16"/>
                <w:lang w:eastAsia="en-AU"/>
              </w:rPr>
            </w:pPr>
          </w:p>
        </w:tc>
        <w:tc>
          <w:tcPr>
            <w:tcW w:w="2134" w:type="pct"/>
            <w:hideMark/>
          </w:tcPr>
          <w:p w14:paraId="16E882A8"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(b) Adhesive Coupling</w:t>
            </w:r>
          </w:p>
        </w:tc>
        <w:tc>
          <w:tcPr>
            <w:tcW w:w="734" w:type="pct"/>
            <w:noWrap/>
            <w:hideMark/>
          </w:tcPr>
          <w:p w14:paraId="70E920A6"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45</w:t>
            </w:r>
          </w:p>
        </w:tc>
      </w:tr>
      <w:tr w:rsidR="00FB11EE" w:rsidRPr="00AE6870" w14:paraId="624FCB9B" w14:textId="77777777" w:rsidTr="0032225E">
        <w:trPr>
          <w:cnfStyle w:val="000000010000" w:firstRow="0" w:lastRow="0" w:firstColumn="0" w:lastColumn="0" w:oddVBand="0" w:evenVBand="0" w:oddHBand="0" w:evenHBand="1" w:firstRowFirstColumn="0" w:firstRowLastColumn="0" w:lastRowFirstColumn="0" w:lastRowLastColumn="0"/>
          <w:trHeight w:val="241"/>
        </w:trPr>
        <w:tc>
          <w:tcPr>
            <w:tcW w:w="809" w:type="pct"/>
            <w:vMerge w:val="restart"/>
            <w:hideMark/>
          </w:tcPr>
          <w:p w14:paraId="38F841FB" w14:textId="77777777" w:rsidR="00FB11EE" w:rsidRPr="00E10B7B" w:rsidRDefault="00FB11EE" w:rsidP="005C7AC1">
            <w:pPr>
              <w:spacing w:before="0" w:after="0"/>
              <w:jc w:val="center"/>
              <w:rPr>
                <w:rFonts w:eastAsia="Times New Roman" w:cstheme="minorHAnsi"/>
                <w:sz w:val="16"/>
                <w:szCs w:val="16"/>
                <w:lang w:eastAsia="en-AU"/>
              </w:rPr>
            </w:pPr>
            <w:r w:rsidRPr="00E10B7B">
              <w:rPr>
                <w:rFonts w:eastAsia="Times New Roman" w:cstheme="minorHAnsi"/>
                <w:sz w:val="16"/>
                <w:szCs w:val="16"/>
                <w:lang w:eastAsia="en-AU"/>
              </w:rPr>
              <w:t>6</w:t>
            </w:r>
          </w:p>
        </w:tc>
        <w:tc>
          <w:tcPr>
            <w:tcW w:w="1323" w:type="pct"/>
            <w:vMerge w:val="restart"/>
            <w:hideMark/>
          </w:tcPr>
          <w:p w14:paraId="270800C5" w14:textId="77777777" w:rsidR="00FB11EE" w:rsidRPr="00E10B7B" w:rsidRDefault="00FB11EE" w:rsidP="005C7AC1">
            <w:pPr>
              <w:spacing w:before="0" w:after="0"/>
              <w:rPr>
                <w:rFonts w:eastAsia="Times New Roman" w:cstheme="minorHAnsi"/>
                <w:b/>
                <w:bCs/>
                <w:sz w:val="16"/>
                <w:szCs w:val="16"/>
                <w:lang w:eastAsia="en-AU"/>
              </w:rPr>
            </w:pPr>
            <w:r w:rsidRPr="00E10B7B">
              <w:rPr>
                <w:rFonts w:eastAsia="Times New Roman" w:cstheme="minorHAnsi"/>
                <w:b/>
                <w:bCs/>
                <w:sz w:val="16"/>
                <w:szCs w:val="16"/>
                <w:lang w:eastAsia="en-AU"/>
              </w:rPr>
              <w:t>Two-Piece Drainable</w:t>
            </w:r>
          </w:p>
        </w:tc>
        <w:tc>
          <w:tcPr>
            <w:tcW w:w="2134" w:type="pct"/>
            <w:hideMark/>
          </w:tcPr>
          <w:p w14:paraId="79123D16" w14:textId="77777777" w:rsidR="00FB11EE" w:rsidRPr="00E10B7B" w:rsidRDefault="00FB11EE" w:rsidP="005C7AC1">
            <w:pPr>
              <w:spacing w:before="0"/>
              <w:rPr>
                <w:rFonts w:eastAsia="Times New Roman" w:cstheme="minorHAnsi"/>
                <w:sz w:val="16"/>
                <w:szCs w:val="16"/>
                <w:lang w:eastAsia="en-AU"/>
              </w:rPr>
            </w:pPr>
            <w:r w:rsidRPr="00E10B7B">
              <w:rPr>
                <w:rFonts w:eastAsia="Times New Roman" w:cstheme="minorHAnsi"/>
                <w:sz w:val="16"/>
                <w:szCs w:val="16"/>
                <w:lang w:eastAsia="en-AU"/>
              </w:rPr>
              <w:t xml:space="preserve">(a) Mechanical Coupling </w:t>
            </w:r>
          </w:p>
        </w:tc>
        <w:tc>
          <w:tcPr>
            <w:tcW w:w="734" w:type="pct"/>
            <w:noWrap/>
            <w:hideMark/>
          </w:tcPr>
          <w:p w14:paraId="4BBE65AF"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130</w:t>
            </w:r>
          </w:p>
        </w:tc>
      </w:tr>
      <w:tr w:rsidR="00FB11EE" w:rsidRPr="00AE6870" w14:paraId="05D7BA29" w14:textId="77777777" w:rsidTr="0032225E">
        <w:trPr>
          <w:trHeight w:val="241"/>
        </w:trPr>
        <w:tc>
          <w:tcPr>
            <w:tcW w:w="809" w:type="pct"/>
            <w:vMerge/>
            <w:hideMark/>
          </w:tcPr>
          <w:p w14:paraId="2A42DBC4"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hideMark/>
          </w:tcPr>
          <w:p w14:paraId="61F5BB9A" w14:textId="77777777" w:rsidR="00FB11EE" w:rsidRPr="00E10B7B" w:rsidRDefault="00FB11EE" w:rsidP="005C7AC1">
            <w:pPr>
              <w:spacing w:before="0"/>
              <w:rPr>
                <w:rFonts w:eastAsia="Times New Roman" w:cstheme="minorHAnsi"/>
                <w:b/>
                <w:bCs/>
                <w:sz w:val="16"/>
                <w:szCs w:val="16"/>
                <w:lang w:eastAsia="en-AU"/>
              </w:rPr>
            </w:pPr>
          </w:p>
        </w:tc>
        <w:tc>
          <w:tcPr>
            <w:tcW w:w="2134" w:type="pct"/>
            <w:hideMark/>
          </w:tcPr>
          <w:p w14:paraId="2B2AF523"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(b) Adhesive Coupling</w:t>
            </w:r>
          </w:p>
        </w:tc>
        <w:tc>
          <w:tcPr>
            <w:tcW w:w="734" w:type="pct"/>
            <w:noWrap/>
            <w:hideMark/>
          </w:tcPr>
          <w:p w14:paraId="2A0B12AA"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50</w:t>
            </w:r>
          </w:p>
        </w:tc>
      </w:tr>
      <w:tr w:rsidR="00FB11EE" w:rsidRPr="00AE6870" w14:paraId="7EFCD8E6" w14:textId="77777777" w:rsidTr="0032225E">
        <w:trPr>
          <w:cnfStyle w:val="000000010000" w:firstRow="0" w:lastRow="0" w:firstColumn="0" w:lastColumn="0" w:oddVBand="0" w:evenVBand="0" w:oddHBand="0" w:evenHBand="1" w:firstRowFirstColumn="0" w:firstRowLastColumn="0" w:lastRowFirstColumn="0" w:lastRowLastColumn="0"/>
          <w:trHeight w:val="241"/>
        </w:trPr>
        <w:tc>
          <w:tcPr>
            <w:tcW w:w="809" w:type="pct"/>
            <w:vMerge w:val="restart"/>
            <w:hideMark/>
          </w:tcPr>
          <w:p w14:paraId="400D656D" w14:textId="77777777" w:rsidR="00FB11EE" w:rsidRPr="00E10B7B" w:rsidRDefault="00FB11EE" w:rsidP="005C7AC1">
            <w:pPr>
              <w:spacing w:before="0" w:after="0"/>
              <w:jc w:val="center"/>
              <w:rPr>
                <w:rFonts w:eastAsia="Times New Roman" w:cstheme="minorHAnsi"/>
                <w:sz w:val="16"/>
                <w:szCs w:val="16"/>
                <w:lang w:eastAsia="en-AU"/>
              </w:rPr>
            </w:pPr>
            <w:r w:rsidRPr="00E10B7B">
              <w:rPr>
                <w:rFonts w:eastAsia="Times New Roman" w:cstheme="minorHAnsi"/>
                <w:sz w:val="16"/>
                <w:szCs w:val="16"/>
                <w:lang w:eastAsia="en-AU"/>
              </w:rPr>
              <w:t>7</w:t>
            </w:r>
          </w:p>
        </w:tc>
        <w:tc>
          <w:tcPr>
            <w:tcW w:w="1323" w:type="pct"/>
            <w:vMerge w:val="restart"/>
            <w:shd w:val="clear" w:color="auto" w:fill="FFFFFF" w:themeFill="background1"/>
            <w:hideMark/>
          </w:tcPr>
          <w:p w14:paraId="5CF8D8B8" w14:textId="77777777" w:rsidR="00FB11EE" w:rsidRPr="00E10B7B" w:rsidRDefault="00FB11EE" w:rsidP="005C7AC1">
            <w:pPr>
              <w:spacing w:before="0" w:after="0"/>
              <w:rPr>
                <w:rFonts w:eastAsia="Times New Roman" w:cstheme="minorHAnsi"/>
                <w:b/>
                <w:bCs/>
                <w:sz w:val="16"/>
                <w:szCs w:val="16"/>
                <w:lang w:eastAsia="en-AU"/>
              </w:rPr>
            </w:pPr>
            <w:r w:rsidRPr="00E10B7B">
              <w:rPr>
                <w:rFonts w:eastAsia="Times New Roman" w:cstheme="minorHAnsi"/>
                <w:b/>
                <w:bCs/>
                <w:sz w:val="16"/>
                <w:szCs w:val="16"/>
                <w:lang w:eastAsia="en-AU"/>
              </w:rPr>
              <w:t>Two-Piece Urostomy</w:t>
            </w:r>
          </w:p>
        </w:tc>
        <w:tc>
          <w:tcPr>
            <w:tcW w:w="2134" w:type="pct"/>
            <w:hideMark/>
          </w:tcPr>
          <w:p w14:paraId="519EE7AE" w14:textId="77777777" w:rsidR="00FB11EE" w:rsidRPr="00E10B7B" w:rsidRDefault="00FB11EE" w:rsidP="005C7AC1">
            <w:pPr>
              <w:spacing w:before="0"/>
              <w:rPr>
                <w:rFonts w:eastAsia="Times New Roman" w:cstheme="minorHAnsi"/>
                <w:sz w:val="16"/>
                <w:szCs w:val="16"/>
                <w:lang w:eastAsia="en-AU"/>
              </w:rPr>
            </w:pPr>
            <w:r w:rsidRPr="00E10B7B">
              <w:rPr>
                <w:rFonts w:eastAsia="Times New Roman" w:cstheme="minorHAnsi"/>
                <w:sz w:val="16"/>
                <w:szCs w:val="16"/>
                <w:lang w:eastAsia="en-AU"/>
              </w:rPr>
              <w:t xml:space="preserve">(a) Mechanical Coupling </w:t>
            </w:r>
          </w:p>
        </w:tc>
        <w:tc>
          <w:tcPr>
            <w:tcW w:w="734" w:type="pct"/>
            <w:noWrap/>
            <w:hideMark/>
          </w:tcPr>
          <w:p w14:paraId="582ADA12"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67</w:t>
            </w:r>
          </w:p>
        </w:tc>
      </w:tr>
      <w:tr w:rsidR="00FB11EE" w:rsidRPr="00AE6870" w14:paraId="2D7DF5B0" w14:textId="77777777" w:rsidTr="0032225E">
        <w:trPr>
          <w:trHeight w:val="241"/>
        </w:trPr>
        <w:tc>
          <w:tcPr>
            <w:tcW w:w="809" w:type="pct"/>
            <w:vMerge/>
            <w:hideMark/>
          </w:tcPr>
          <w:p w14:paraId="4519F321"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hideMark/>
          </w:tcPr>
          <w:p w14:paraId="0F911155" w14:textId="77777777" w:rsidR="00FB11EE" w:rsidRPr="00E10B7B" w:rsidRDefault="00FB11EE" w:rsidP="005C7AC1">
            <w:pPr>
              <w:spacing w:before="0"/>
              <w:rPr>
                <w:rFonts w:eastAsia="Times New Roman" w:cstheme="minorHAnsi"/>
                <w:b/>
                <w:bCs/>
                <w:sz w:val="16"/>
                <w:szCs w:val="16"/>
                <w:lang w:eastAsia="en-AU"/>
              </w:rPr>
            </w:pPr>
          </w:p>
        </w:tc>
        <w:tc>
          <w:tcPr>
            <w:tcW w:w="2134" w:type="pct"/>
            <w:hideMark/>
          </w:tcPr>
          <w:p w14:paraId="4B52A346"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(b) Adhesive Coupling</w:t>
            </w:r>
          </w:p>
        </w:tc>
        <w:tc>
          <w:tcPr>
            <w:tcW w:w="734" w:type="pct"/>
            <w:noWrap/>
            <w:hideMark/>
          </w:tcPr>
          <w:p w14:paraId="3C4E9384"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0</w:t>
            </w:r>
          </w:p>
        </w:tc>
      </w:tr>
      <w:tr w:rsidR="00FB11EE" w:rsidRPr="00AE6870" w14:paraId="709C87CB" w14:textId="77777777" w:rsidTr="0032225E">
        <w:trPr>
          <w:cnfStyle w:val="000000010000" w:firstRow="0" w:lastRow="0" w:firstColumn="0" w:lastColumn="0" w:oddVBand="0" w:evenVBand="0" w:oddHBand="0" w:evenHBand="1" w:firstRowFirstColumn="0" w:firstRowLastColumn="0" w:lastRowFirstColumn="0" w:lastRowLastColumn="0"/>
          <w:trHeight w:val="241"/>
        </w:trPr>
        <w:tc>
          <w:tcPr>
            <w:tcW w:w="809" w:type="pct"/>
            <w:vMerge w:val="restart"/>
            <w:hideMark/>
          </w:tcPr>
          <w:p w14:paraId="54472665" w14:textId="77777777" w:rsidR="00FB11EE" w:rsidRPr="00E10B7B" w:rsidRDefault="00FB11EE" w:rsidP="005C7AC1">
            <w:pPr>
              <w:spacing w:before="0"/>
              <w:jc w:val="center"/>
              <w:rPr>
                <w:rFonts w:eastAsia="Times New Roman" w:cstheme="minorHAnsi"/>
                <w:sz w:val="16"/>
                <w:szCs w:val="16"/>
                <w:lang w:eastAsia="en-AU"/>
              </w:rPr>
            </w:pPr>
            <w:r w:rsidRPr="00E10B7B">
              <w:rPr>
                <w:rFonts w:eastAsia="Times New Roman" w:cstheme="minorHAnsi"/>
                <w:sz w:val="16"/>
                <w:szCs w:val="16"/>
                <w:lang w:eastAsia="en-AU"/>
              </w:rPr>
              <w:t>8</w:t>
            </w:r>
          </w:p>
        </w:tc>
        <w:tc>
          <w:tcPr>
            <w:tcW w:w="1323" w:type="pct"/>
            <w:vMerge w:val="restart"/>
            <w:hideMark/>
          </w:tcPr>
          <w:p w14:paraId="4898D924" w14:textId="77777777" w:rsidR="00FB11EE" w:rsidRPr="00E10B7B" w:rsidRDefault="00FB11EE" w:rsidP="005C7AC1">
            <w:pPr>
              <w:spacing w:before="0" w:after="0"/>
              <w:rPr>
                <w:rFonts w:eastAsia="Times New Roman" w:cstheme="minorHAnsi"/>
                <w:b/>
                <w:bCs/>
                <w:sz w:val="16"/>
                <w:szCs w:val="16"/>
                <w:lang w:eastAsia="en-AU"/>
              </w:rPr>
            </w:pPr>
            <w:r w:rsidRPr="00E10B7B">
              <w:rPr>
                <w:rFonts w:eastAsia="Times New Roman" w:cstheme="minorHAnsi"/>
                <w:b/>
                <w:bCs/>
                <w:sz w:val="16"/>
                <w:szCs w:val="16"/>
                <w:lang w:eastAsia="en-AU"/>
              </w:rPr>
              <w:t>Alternative Systems</w:t>
            </w:r>
          </w:p>
        </w:tc>
        <w:tc>
          <w:tcPr>
            <w:tcW w:w="2134" w:type="pct"/>
            <w:hideMark/>
          </w:tcPr>
          <w:p w14:paraId="2ACF1BDC" w14:textId="77777777" w:rsidR="00FB11EE" w:rsidRPr="00E10B7B" w:rsidRDefault="00FB11EE" w:rsidP="005C7AC1">
            <w:pPr>
              <w:spacing w:before="0"/>
              <w:rPr>
                <w:rFonts w:eastAsia="Times New Roman" w:cstheme="minorHAnsi"/>
                <w:sz w:val="16"/>
                <w:szCs w:val="16"/>
                <w:lang w:eastAsia="en-AU"/>
              </w:rPr>
            </w:pPr>
            <w:r w:rsidRPr="00E10B7B">
              <w:rPr>
                <w:rFonts w:eastAsia="Times New Roman" w:cstheme="minorHAnsi"/>
                <w:sz w:val="16"/>
                <w:szCs w:val="16"/>
                <w:lang w:eastAsia="en-AU"/>
              </w:rPr>
              <w:t>(a) Plug Systems</w:t>
            </w:r>
          </w:p>
        </w:tc>
        <w:tc>
          <w:tcPr>
            <w:tcW w:w="734" w:type="pct"/>
            <w:noWrap/>
            <w:hideMark/>
          </w:tcPr>
          <w:p w14:paraId="666CA255"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21</w:t>
            </w:r>
          </w:p>
        </w:tc>
      </w:tr>
      <w:tr w:rsidR="00FB11EE" w:rsidRPr="00AE6870" w14:paraId="77A88EEF" w14:textId="77777777" w:rsidTr="0032225E">
        <w:trPr>
          <w:trHeight w:val="241"/>
        </w:trPr>
        <w:tc>
          <w:tcPr>
            <w:tcW w:w="809" w:type="pct"/>
            <w:vMerge/>
            <w:hideMark/>
          </w:tcPr>
          <w:p w14:paraId="40126CAF"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hideMark/>
          </w:tcPr>
          <w:p w14:paraId="1DE04BD2" w14:textId="77777777" w:rsidR="00FB11EE" w:rsidRPr="00E10B7B" w:rsidRDefault="00FB11EE" w:rsidP="005C7AC1">
            <w:pPr>
              <w:spacing w:before="0"/>
              <w:rPr>
                <w:rFonts w:eastAsia="Times New Roman" w:cstheme="minorHAnsi"/>
                <w:b/>
                <w:bCs/>
                <w:sz w:val="16"/>
                <w:szCs w:val="16"/>
                <w:lang w:eastAsia="en-AU"/>
              </w:rPr>
            </w:pPr>
          </w:p>
        </w:tc>
        <w:tc>
          <w:tcPr>
            <w:tcW w:w="2134" w:type="pct"/>
            <w:hideMark/>
          </w:tcPr>
          <w:p w14:paraId="40C96D63"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(b) Irrigation</w:t>
            </w:r>
          </w:p>
        </w:tc>
        <w:tc>
          <w:tcPr>
            <w:tcW w:w="734" w:type="pct"/>
            <w:noWrap/>
            <w:hideMark/>
          </w:tcPr>
          <w:p w14:paraId="0A764E5A"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28</w:t>
            </w:r>
          </w:p>
        </w:tc>
      </w:tr>
      <w:tr w:rsidR="00FB11EE" w:rsidRPr="00AE6870" w14:paraId="5ED96012" w14:textId="77777777" w:rsidTr="0032225E">
        <w:trPr>
          <w:cnfStyle w:val="000000010000" w:firstRow="0" w:lastRow="0" w:firstColumn="0" w:lastColumn="0" w:oddVBand="0" w:evenVBand="0" w:oddHBand="0" w:evenHBand="1" w:firstRowFirstColumn="0" w:firstRowLastColumn="0" w:lastRowFirstColumn="0" w:lastRowLastColumn="0"/>
          <w:trHeight w:val="241"/>
        </w:trPr>
        <w:tc>
          <w:tcPr>
            <w:tcW w:w="809" w:type="pct"/>
            <w:vMerge/>
            <w:hideMark/>
          </w:tcPr>
          <w:p w14:paraId="18806887"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hideMark/>
          </w:tcPr>
          <w:p w14:paraId="1136C6B5" w14:textId="77777777" w:rsidR="00FB11EE" w:rsidRPr="00E10B7B" w:rsidRDefault="00FB11EE" w:rsidP="005C7AC1">
            <w:pPr>
              <w:spacing w:before="0"/>
              <w:rPr>
                <w:rFonts w:eastAsia="Times New Roman" w:cstheme="minorHAnsi"/>
                <w:b/>
                <w:bCs/>
                <w:sz w:val="16"/>
                <w:szCs w:val="16"/>
                <w:lang w:eastAsia="en-AU"/>
              </w:rPr>
            </w:pPr>
          </w:p>
        </w:tc>
        <w:tc>
          <w:tcPr>
            <w:tcW w:w="2134" w:type="pct"/>
            <w:hideMark/>
          </w:tcPr>
          <w:p w14:paraId="7D71C20D" w14:textId="77777777" w:rsidR="00FB11EE" w:rsidRPr="00401CAE" w:rsidRDefault="00FB11EE" w:rsidP="005C7AC1">
            <w:pPr>
              <w:spacing w:before="0" w:after="0"/>
              <w:rPr>
                <w:rFonts w:eastAsia="Times New Roman" w:cstheme="minorHAnsi"/>
                <w:color w:val="C60C30" w:themeColor="accent2"/>
                <w:sz w:val="16"/>
                <w:szCs w:val="16"/>
                <w:lang w:eastAsia="en-AU"/>
              </w:rPr>
            </w:pPr>
            <w:r w:rsidRPr="00E10B7B">
              <w:rPr>
                <w:rFonts w:eastAsia="Times New Roman" w:cstheme="minorHAnsi"/>
                <w:sz w:val="16"/>
                <w:szCs w:val="16"/>
                <w:lang w:eastAsia="en-AU"/>
              </w:rPr>
              <w:t>(c) Catheters</w:t>
            </w:r>
          </w:p>
        </w:tc>
        <w:tc>
          <w:tcPr>
            <w:tcW w:w="734" w:type="pct"/>
            <w:noWrap/>
            <w:hideMark/>
          </w:tcPr>
          <w:p w14:paraId="102E64B0"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94</w:t>
            </w:r>
          </w:p>
        </w:tc>
      </w:tr>
      <w:tr w:rsidR="00FB11EE" w:rsidRPr="00AE6870" w14:paraId="5178ED61" w14:textId="77777777" w:rsidTr="0032225E">
        <w:trPr>
          <w:trHeight w:val="241"/>
        </w:trPr>
        <w:tc>
          <w:tcPr>
            <w:tcW w:w="809" w:type="pct"/>
            <w:vMerge/>
            <w:hideMark/>
          </w:tcPr>
          <w:p w14:paraId="54476BDA"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hideMark/>
          </w:tcPr>
          <w:p w14:paraId="530177D1" w14:textId="77777777" w:rsidR="00FB11EE" w:rsidRPr="00E10B7B" w:rsidRDefault="00FB11EE" w:rsidP="005C7AC1">
            <w:pPr>
              <w:spacing w:before="0"/>
              <w:rPr>
                <w:rFonts w:eastAsia="Times New Roman" w:cstheme="minorHAnsi"/>
                <w:b/>
                <w:bCs/>
                <w:sz w:val="16"/>
                <w:szCs w:val="16"/>
                <w:lang w:eastAsia="en-AU"/>
              </w:rPr>
            </w:pPr>
          </w:p>
        </w:tc>
        <w:tc>
          <w:tcPr>
            <w:tcW w:w="2134" w:type="pct"/>
            <w:hideMark/>
          </w:tcPr>
          <w:p w14:paraId="7A5E5CCC"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(d) Rubber Appliances</w:t>
            </w:r>
          </w:p>
        </w:tc>
        <w:tc>
          <w:tcPr>
            <w:tcW w:w="734" w:type="pct"/>
            <w:noWrap/>
            <w:hideMark/>
          </w:tcPr>
          <w:p w14:paraId="111AF014"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3</w:t>
            </w:r>
          </w:p>
        </w:tc>
      </w:tr>
      <w:tr w:rsidR="00FB11EE" w:rsidRPr="00AE6870" w14:paraId="14A683B2" w14:textId="77777777" w:rsidTr="0032225E">
        <w:trPr>
          <w:cnfStyle w:val="000000010000" w:firstRow="0" w:lastRow="0" w:firstColumn="0" w:lastColumn="0" w:oddVBand="0" w:evenVBand="0" w:oddHBand="0" w:evenHBand="1" w:firstRowFirstColumn="0" w:firstRowLastColumn="0" w:lastRowFirstColumn="0" w:lastRowLastColumn="0"/>
          <w:trHeight w:val="241"/>
        </w:trPr>
        <w:tc>
          <w:tcPr>
            <w:tcW w:w="809" w:type="pct"/>
            <w:vMerge w:val="restart"/>
            <w:hideMark/>
          </w:tcPr>
          <w:p w14:paraId="27379255" w14:textId="77777777" w:rsidR="00FB11EE" w:rsidRPr="00E10B7B" w:rsidRDefault="00FB11EE" w:rsidP="005C7AC1">
            <w:pPr>
              <w:spacing w:before="0" w:after="0"/>
              <w:jc w:val="center"/>
              <w:rPr>
                <w:rFonts w:eastAsia="Times New Roman" w:cstheme="minorHAnsi"/>
                <w:sz w:val="16"/>
                <w:szCs w:val="16"/>
                <w:lang w:eastAsia="en-AU"/>
              </w:rPr>
            </w:pPr>
            <w:r w:rsidRPr="00E10B7B">
              <w:rPr>
                <w:rFonts w:eastAsia="Times New Roman" w:cstheme="minorHAnsi"/>
                <w:sz w:val="16"/>
                <w:szCs w:val="16"/>
                <w:lang w:eastAsia="en-AU"/>
              </w:rPr>
              <w:t>9</w:t>
            </w:r>
          </w:p>
        </w:tc>
        <w:tc>
          <w:tcPr>
            <w:tcW w:w="1323" w:type="pct"/>
            <w:vMerge w:val="restart"/>
            <w:shd w:val="clear" w:color="auto" w:fill="FFFFFF" w:themeFill="background1"/>
            <w:hideMark/>
          </w:tcPr>
          <w:p w14:paraId="19F59688" w14:textId="77777777" w:rsidR="00FB11EE" w:rsidRPr="00E10B7B" w:rsidRDefault="00FB11EE" w:rsidP="005C7AC1">
            <w:pPr>
              <w:spacing w:before="0" w:after="0"/>
              <w:rPr>
                <w:rFonts w:eastAsia="Times New Roman" w:cstheme="minorHAnsi"/>
                <w:b/>
                <w:bCs/>
                <w:sz w:val="16"/>
                <w:szCs w:val="16"/>
                <w:lang w:eastAsia="en-AU"/>
              </w:rPr>
            </w:pPr>
            <w:r w:rsidRPr="00E10B7B">
              <w:rPr>
                <w:rFonts w:eastAsia="Times New Roman" w:cstheme="minorHAnsi"/>
                <w:b/>
                <w:bCs/>
                <w:sz w:val="16"/>
                <w:szCs w:val="16"/>
                <w:lang w:eastAsia="en-AU"/>
              </w:rPr>
              <w:t>Accessories</w:t>
            </w:r>
          </w:p>
        </w:tc>
        <w:tc>
          <w:tcPr>
            <w:tcW w:w="2134" w:type="pct"/>
            <w:shd w:val="clear" w:color="auto" w:fill="FFFFFF" w:themeFill="background1"/>
            <w:hideMark/>
          </w:tcPr>
          <w:p w14:paraId="7D9C961A" w14:textId="77777777" w:rsidR="00FB11EE" w:rsidRPr="00E10B7B" w:rsidRDefault="00FB11EE" w:rsidP="005C7AC1">
            <w:pPr>
              <w:spacing w:before="0"/>
              <w:rPr>
                <w:rFonts w:eastAsia="Times New Roman" w:cstheme="minorHAnsi"/>
                <w:sz w:val="16"/>
                <w:szCs w:val="16"/>
                <w:lang w:eastAsia="en-AU"/>
              </w:rPr>
            </w:pPr>
            <w:r w:rsidRPr="00E10B7B">
              <w:rPr>
                <w:rFonts w:eastAsia="Times New Roman" w:cstheme="minorHAnsi"/>
                <w:sz w:val="16"/>
                <w:szCs w:val="16"/>
                <w:lang w:eastAsia="en-AU"/>
              </w:rPr>
              <w:t>(a) Adhesive Barrier</w:t>
            </w:r>
          </w:p>
        </w:tc>
        <w:tc>
          <w:tcPr>
            <w:tcW w:w="734" w:type="pct"/>
            <w:shd w:val="clear" w:color="auto" w:fill="FFFFFF" w:themeFill="background1"/>
            <w:noWrap/>
            <w:hideMark/>
          </w:tcPr>
          <w:p w14:paraId="7B375436"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22</w:t>
            </w:r>
          </w:p>
        </w:tc>
      </w:tr>
      <w:tr w:rsidR="00FB11EE" w:rsidRPr="00AE6870" w14:paraId="06C51E11" w14:textId="77777777" w:rsidTr="0032225E">
        <w:trPr>
          <w:trHeight w:val="241"/>
        </w:trPr>
        <w:tc>
          <w:tcPr>
            <w:tcW w:w="809" w:type="pct"/>
            <w:vMerge/>
            <w:hideMark/>
          </w:tcPr>
          <w:p w14:paraId="531702AE"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shd w:val="clear" w:color="auto" w:fill="FFFFFF" w:themeFill="background1"/>
            <w:hideMark/>
          </w:tcPr>
          <w:p w14:paraId="34CE9DD6" w14:textId="77777777" w:rsidR="00FB11EE" w:rsidRPr="00E10B7B" w:rsidRDefault="00FB11EE" w:rsidP="005C7AC1">
            <w:pPr>
              <w:spacing w:before="0"/>
              <w:rPr>
                <w:rFonts w:eastAsia="Times New Roman" w:cstheme="minorHAnsi"/>
                <w:b/>
                <w:bCs/>
                <w:sz w:val="16"/>
                <w:szCs w:val="16"/>
                <w:lang w:eastAsia="en-AU"/>
              </w:rPr>
            </w:pPr>
          </w:p>
        </w:tc>
        <w:tc>
          <w:tcPr>
            <w:tcW w:w="2134" w:type="pct"/>
            <w:shd w:val="clear" w:color="auto" w:fill="EBE5F2" w:themeFill="accent5" w:themeFillTint="33"/>
            <w:hideMark/>
          </w:tcPr>
          <w:p w14:paraId="7589DF4C"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(b) Belts</w:t>
            </w:r>
          </w:p>
        </w:tc>
        <w:tc>
          <w:tcPr>
            <w:tcW w:w="734" w:type="pct"/>
            <w:shd w:val="clear" w:color="auto" w:fill="EBE5F2" w:themeFill="accent5" w:themeFillTint="33"/>
            <w:noWrap/>
            <w:hideMark/>
          </w:tcPr>
          <w:p w14:paraId="45486E88"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16</w:t>
            </w:r>
          </w:p>
        </w:tc>
      </w:tr>
      <w:tr w:rsidR="00FB11EE" w:rsidRPr="00AE6870" w14:paraId="03A3E849" w14:textId="77777777" w:rsidTr="0032225E">
        <w:trPr>
          <w:cnfStyle w:val="000000010000" w:firstRow="0" w:lastRow="0" w:firstColumn="0" w:lastColumn="0" w:oddVBand="0" w:evenVBand="0" w:oddHBand="0" w:evenHBand="1" w:firstRowFirstColumn="0" w:firstRowLastColumn="0" w:lastRowFirstColumn="0" w:lastRowLastColumn="0"/>
          <w:trHeight w:val="241"/>
        </w:trPr>
        <w:tc>
          <w:tcPr>
            <w:tcW w:w="809" w:type="pct"/>
            <w:vMerge/>
            <w:hideMark/>
          </w:tcPr>
          <w:p w14:paraId="531F30AA"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shd w:val="clear" w:color="auto" w:fill="FFFFFF" w:themeFill="background1"/>
            <w:hideMark/>
          </w:tcPr>
          <w:p w14:paraId="6E9AD654" w14:textId="77777777" w:rsidR="00FB11EE" w:rsidRPr="00E10B7B" w:rsidRDefault="00FB11EE" w:rsidP="005C7AC1">
            <w:pPr>
              <w:spacing w:before="0"/>
              <w:rPr>
                <w:rFonts w:eastAsia="Times New Roman" w:cstheme="minorHAnsi"/>
                <w:b/>
                <w:bCs/>
                <w:sz w:val="16"/>
                <w:szCs w:val="16"/>
                <w:lang w:eastAsia="en-AU"/>
              </w:rPr>
            </w:pPr>
          </w:p>
        </w:tc>
        <w:tc>
          <w:tcPr>
            <w:tcW w:w="2134" w:type="pct"/>
            <w:shd w:val="clear" w:color="auto" w:fill="FFFFFF" w:themeFill="background1"/>
            <w:hideMark/>
          </w:tcPr>
          <w:p w14:paraId="451D35EC"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(c) Clamps and Clips</w:t>
            </w:r>
          </w:p>
        </w:tc>
        <w:tc>
          <w:tcPr>
            <w:tcW w:w="734" w:type="pct"/>
            <w:shd w:val="clear" w:color="auto" w:fill="FFFFFF" w:themeFill="background1"/>
            <w:noWrap/>
            <w:hideMark/>
          </w:tcPr>
          <w:p w14:paraId="0CAA7DAC"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4</w:t>
            </w:r>
          </w:p>
        </w:tc>
      </w:tr>
      <w:tr w:rsidR="00FB11EE" w:rsidRPr="00AE6870" w14:paraId="64524941" w14:textId="77777777" w:rsidTr="0032225E">
        <w:trPr>
          <w:trHeight w:val="241"/>
        </w:trPr>
        <w:tc>
          <w:tcPr>
            <w:tcW w:w="809" w:type="pct"/>
            <w:vMerge/>
            <w:hideMark/>
          </w:tcPr>
          <w:p w14:paraId="4212DFDB"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shd w:val="clear" w:color="auto" w:fill="FFFFFF" w:themeFill="background1"/>
            <w:hideMark/>
          </w:tcPr>
          <w:p w14:paraId="6922BC42" w14:textId="77777777" w:rsidR="00FB11EE" w:rsidRPr="00E10B7B" w:rsidRDefault="00FB11EE" w:rsidP="005C7AC1">
            <w:pPr>
              <w:spacing w:before="0"/>
              <w:rPr>
                <w:rFonts w:eastAsia="Times New Roman" w:cstheme="minorHAnsi"/>
                <w:b/>
                <w:bCs/>
                <w:sz w:val="16"/>
                <w:szCs w:val="16"/>
                <w:lang w:eastAsia="en-AU"/>
              </w:rPr>
            </w:pPr>
          </w:p>
        </w:tc>
        <w:tc>
          <w:tcPr>
            <w:tcW w:w="2134" w:type="pct"/>
            <w:shd w:val="clear" w:color="auto" w:fill="EBE5F2" w:themeFill="accent5" w:themeFillTint="33"/>
            <w:hideMark/>
          </w:tcPr>
          <w:p w14:paraId="749D18CC"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(d) Cleansers and Solvents</w:t>
            </w:r>
          </w:p>
        </w:tc>
        <w:tc>
          <w:tcPr>
            <w:tcW w:w="734" w:type="pct"/>
            <w:shd w:val="clear" w:color="auto" w:fill="EBE5F2" w:themeFill="accent5" w:themeFillTint="33"/>
            <w:noWrap/>
            <w:hideMark/>
          </w:tcPr>
          <w:p w14:paraId="49CD4EBB"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26</w:t>
            </w:r>
          </w:p>
        </w:tc>
      </w:tr>
      <w:tr w:rsidR="00FB11EE" w:rsidRPr="00AE6870" w14:paraId="7765190E" w14:textId="77777777" w:rsidTr="0032225E">
        <w:trPr>
          <w:cnfStyle w:val="000000010000" w:firstRow="0" w:lastRow="0" w:firstColumn="0" w:lastColumn="0" w:oddVBand="0" w:evenVBand="0" w:oddHBand="0" w:evenHBand="1" w:firstRowFirstColumn="0" w:firstRowLastColumn="0" w:lastRowFirstColumn="0" w:lastRowLastColumn="0"/>
          <w:trHeight w:val="241"/>
        </w:trPr>
        <w:tc>
          <w:tcPr>
            <w:tcW w:w="809" w:type="pct"/>
            <w:vMerge/>
            <w:hideMark/>
          </w:tcPr>
          <w:p w14:paraId="43D11CFA"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shd w:val="clear" w:color="auto" w:fill="FFFFFF" w:themeFill="background1"/>
            <w:hideMark/>
          </w:tcPr>
          <w:p w14:paraId="48517EE8" w14:textId="77777777" w:rsidR="00FB11EE" w:rsidRPr="00E10B7B" w:rsidRDefault="00FB11EE" w:rsidP="005C7AC1">
            <w:pPr>
              <w:spacing w:before="0"/>
              <w:rPr>
                <w:rFonts w:eastAsia="Times New Roman" w:cstheme="minorHAnsi"/>
                <w:b/>
                <w:bCs/>
                <w:sz w:val="16"/>
                <w:szCs w:val="16"/>
                <w:lang w:eastAsia="en-AU"/>
              </w:rPr>
            </w:pPr>
          </w:p>
        </w:tc>
        <w:tc>
          <w:tcPr>
            <w:tcW w:w="2134" w:type="pct"/>
            <w:shd w:val="clear" w:color="auto" w:fill="FFFFFF" w:themeFill="background1"/>
            <w:hideMark/>
          </w:tcPr>
          <w:p w14:paraId="797E6D2F"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(e) Convexity Inserts</w:t>
            </w:r>
          </w:p>
        </w:tc>
        <w:tc>
          <w:tcPr>
            <w:tcW w:w="734" w:type="pct"/>
            <w:shd w:val="clear" w:color="auto" w:fill="FFFFFF" w:themeFill="background1"/>
            <w:noWrap/>
            <w:hideMark/>
          </w:tcPr>
          <w:p w14:paraId="022F9B4A"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3</w:t>
            </w:r>
          </w:p>
        </w:tc>
      </w:tr>
      <w:tr w:rsidR="00FB11EE" w:rsidRPr="00AE6870" w14:paraId="0199DBE6" w14:textId="77777777" w:rsidTr="0032225E">
        <w:trPr>
          <w:trHeight w:val="241"/>
        </w:trPr>
        <w:tc>
          <w:tcPr>
            <w:tcW w:w="809" w:type="pct"/>
            <w:vMerge/>
            <w:hideMark/>
          </w:tcPr>
          <w:p w14:paraId="7C7F309C"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shd w:val="clear" w:color="auto" w:fill="FFFFFF" w:themeFill="background1"/>
            <w:hideMark/>
          </w:tcPr>
          <w:p w14:paraId="3678D1A0" w14:textId="77777777" w:rsidR="00FB11EE" w:rsidRPr="00E10B7B" w:rsidRDefault="00FB11EE" w:rsidP="005C7AC1">
            <w:pPr>
              <w:spacing w:before="0"/>
              <w:rPr>
                <w:rFonts w:eastAsia="Times New Roman" w:cstheme="minorHAnsi"/>
                <w:b/>
                <w:bCs/>
                <w:sz w:val="16"/>
                <w:szCs w:val="16"/>
                <w:lang w:eastAsia="en-AU"/>
              </w:rPr>
            </w:pPr>
          </w:p>
        </w:tc>
        <w:tc>
          <w:tcPr>
            <w:tcW w:w="2134" w:type="pct"/>
            <w:shd w:val="clear" w:color="auto" w:fill="EBE5F2" w:themeFill="accent5" w:themeFillTint="33"/>
            <w:hideMark/>
          </w:tcPr>
          <w:p w14:paraId="540EB1D4"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(f) Creams and Ointments</w:t>
            </w:r>
          </w:p>
        </w:tc>
        <w:tc>
          <w:tcPr>
            <w:tcW w:w="734" w:type="pct"/>
            <w:shd w:val="clear" w:color="auto" w:fill="EBE5F2" w:themeFill="accent5" w:themeFillTint="33"/>
            <w:noWrap/>
            <w:hideMark/>
          </w:tcPr>
          <w:p w14:paraId="52C8EF86"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8</w:t>
            </w:r>
          </w:p>
        </w:tc>
      </w:tr>
      <w:tr w:rsidR="00FB11EE" w:rsidRPr="00AE6870" w14:paraId="3528C5C3" w14:textId="77777777" w:rsidTr="0032225E">
        <w:trPr>
          <w:cnfStyle w:val="000000010000" w:firstRow="0" w:lastRow="0" w:firstColumn="0" w:lastColumn="0" w:oddVBand="0" w:evenVBand="0" w:oddHBand="0" w:evenHBand="1" w:firstRowFirstColumn="0" w:firstRowLastColumn="0" w:lastRowFirstColumn="0" w:lastRowLastColumn="0"/>
          <w:trHeight w:val="241"/>
        </w:trPr>
        <w:tc>
          <w:tcPr>
            <w:tcW w:w="809" w:type="pct"/>
            <w:vMerge/>
            <w:hideMark/>
          </w:tcPr>
          <w:p w14:paraId="0695AF78"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shd w:val="clear" w:color="auto" w:fill="FFFFFF" w:themeFill="background1"/>
            <w:hideMark/>
          </w:tcPr>
          <w:p w14:paraId="377948D1" w14:textId="77777777" w:rsidR="00FB11EE" w:rsidRPr="00E10B7B" w:rsidRDefault="00FB11EE" w:rsidP="005C7AC1">
            <w:pPr>
              <w:spacing w:before="0"/>
              <w:rPr>
                <w:rFonts w:eastAsia="Times New Roman" w:cstheme="minorHAnsi"/>
                <w:b/>
                <w:bCs/>
                <w:sz w:val="16"/>
                <w:szCs w:val="16"/>
                <w:lang w:eastAsia="en-AU"/>
              </w:rPr>
            </w:pPr>
          </w:p>
        </w:tc>
        <w:tc>
          <w:tcPr>
            <w:tcW w:w="2134" w:type="pct"/>
            <w:shd w:val="clear" w:color="auto" w:fill="FFFFFF" w:themeFill="background1"/>
            <w:hideMark/>
          </w:tcPr>
          <w:p w14:paraId="42EB3E12"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(g) Deodorants</w:t>
            </w:r>
          </w:p>
        </w:tc>
        <w:tc>
          <w:tcPr>
            <w:tcW w:w="734" w:type="pct"/>
            <w:shd w:val="clear" w:color="auto" w:fill="FFFFFF" w:themeFill="background1"/>
            <w:noWrap/>
            <w:hideMark/>
          </w:tcPr>
          <w:p w14:paraId="55B8FF58"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13</w:t>
            </w:r>
          </w:p>
        </w:tc>
      </w:tr>
      <w:tr w:rsidR="00FB11EE" w:rsidRPr="00AE6870" w14:paraId="002FD046" w14:textId="77777777" w:rsidTr="0032225E">
        <w:trPr>
          <w:trHeight w:val="241"/>
        </w:trPr>
        <w:tc>
          <w:tcPr>
            <w:tcW w:w="809" w:type="pct"/>
            <w:vMerge/>
            <w:hideMark/>
          </w:tcPr>
          <w:p w14:paraId="783787CD"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shd w:val="clear" w:color="auto" w:fill="FFFFFF" w:themeFill="background1"/>
            <w:hideMark/>
          </w:tcPr>
          <w:p w14:paraId="0561CBFF" w14:textId="77777777" w:rsidR="00FB11EE" w:rsidRPr="00E10B7B" w:rsidRDefault="00FB11EE" w:rsidP="005C7AC1">
            <w:pPr>
              <w:spacing w:before="0"/>
              <w:rPr>
                <w:rFonts w:eastAsia="Times New Roman" w:cstheme="minorHAnsi"/>
                <w:b/>
                <w:bCs/>
                <w:sz w:val="16"/>
                <w:szCs w:val="16"/>
                <w:lang w:eastAsia="en-AU"/>
              </w:rPr>
            </w:pPr>
          </w:p>
        </w:tc>
        <w:tc>
          <w:tcPr>
            <w:tcW w:w="2134" w:type="pct"/>
            <w:shd w:val="clear" w:color="auto" w:fill="EBE5F2" w:themeFill="accent5" w:themeFillTint="33"/>
            <w:hideMark/>
          </w:tcPr>
          <w:p w14:paraId="13DBA751"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(h) Hernia Support Belts and Garments</w:t>
            </w:r>
          </w:p>
        </w:tc>
        <w:tc>
          <w:tcPr>
            <w:tcW w:w="734" w:type="pct"/>
            <w:shd w:val="clear" w:color="auto" w:fill="EBE5F2" w:themeFill="accent5" w:themeFillTint="33"/>
            <w:noWrap/>
            <w:hideMark/>
          </w:tcPr>
          <w:p w14:paraId="6CAE924F"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188</w:t>
            </w:r>
          </w:p>
        </w:tc>
      </w:tr>
      <w:tr w:rsidR="00FB11EE" w:rsidRPr="00AE6870" w14:paraId="299D2302" w14:textId="77777777" w:rsidTr="0032225E">
        <w:trPr>
          <w:cnfStyle w:val="000000010000" w:firstRow="0" w:lastRow="0" w:firstColumn="0" w:lastColumn="0" w:oddVBand="0" w:evenVBand="0" w:oddHBand="0" w:evenHBand="1" w:firstRowFirstColumn="0" w:firstRowLastColumn="0" w:lastRowFirstColumn="0" w:lastRowLastColumn="0"/>
          <w:trHeight w:val="241"/>
        </w:trPr>
        <w:tc>
          <w:tcPr>
            <w:tcW w:w="809" w:type="pct"/>
            <w:vMerge/>
            <w:hideMark/>
          </w:tcPr>
          <w:p w14:paraId="4555AC60"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shd w:val="clear" w:color="auto" w:fill="FFFFFF" w:themeFill="background1"/>
            <w:hideMark/>
          </w:tcPr>
          <w:p w14:paraId="02C2B965" w14:textId="77777777" w:rsidR="00FB11EE" w:rsidRPr="00E10B7B" w:rsidRDefault="00FB11EE" w:rsidP="005C7AC1">
            <w:pPr>
              <w:spacing w:before="0"/>
              <w:rPr>
                <w:rFonts w:eastAsia="Times New Roman" w:cstheme="minorHAnsi"/>
                <w:b/>
                <w:bCs/>
                <w:sz w:val="16"/>
                <w:szCs w:val="16"/>
                <w:lang w:eastAsia="en-AU"/>
              </w:rPr>
            </w:pPr>
          </w:p>
        </w:tc>
        <w:tc>
          <w:tcPr>
            <w:tcW w:w="2134" w:type="pct"/>
            <w:shd w:val="clear" w:color="auto" w:fill="FFFFFF" w:themeFill="background1"/>
            <w:hideMark/>
          </w:tcPr>
          <w:p w14:paraId="034F0361"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w:t>
            </w:r>
            <w:proofErr w:type="spellStart"/>
            <w:r w:rsidRPr="00E10B7B">
              <w:rPr>
                <w:rFonts w:eastAsia="Times New Roman" w:cstheme="minorHAnsi"/>
                <w:sz w:val="16"/>
                <w:szCs w:val="16"/>
                <w:lang w:eastAsia="en-AU"/>
              </w:rPr>
              <w:t>i</w:t>
            </w:r>
            <w:proofErr w:type="spellEnd"/>
            <w:r w:rsidRPr="00E10B7B">
              <w:rPr>
                <w:rFonts w:eastAsia="Times New Roman" w:cstheme="minorHAnsi"/>
                <w:sz w:val="16"/>
                <w:szCs w:val="16"/>
                <w:lang w:eastAsia="en-AU"/>
              </w:rPr>
              <w:t>) Night Drainage</w:t>
            </w:r>
          </w:p>
        </w:tc>
        <w:tc>
          <w:tcPr>
            <w:tcW w:w="734" w:type="pct"/>
            <w:shd w:val="clear" w:color="auto" w:fill="FFFFFF" w:themeFill="background1"/>
            <w:noWrap/>
            <w:hideMark/>
          </w:tcPr>
          <w:p w14:paraId="09414FC0"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14</w:t>
            </w:r>
          </w:p>
        </w:tc>
      </w:tr>
      <w:tr w:rsidR="00FB11EE" w:rsidRPr="00AE6870" w14:paraId="0BB2EE71" w14:textId="77777777" w:rsidTr="0032225E">
        <w:trPr>
          <w:trHeight w:val="241"/>
        </w:trPr>
        <w:tc>
          <w:tcPr>
            <w:tcW w:w="809" w:type="pct"/>
            <w:vMerge/>
            <w:hideMark/>
          </w:tcPr>
          <w:p w14:paraId="0C54C0AA"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shd w:val="clear" w:color="auto" w:fill="FFFFFF" w:themeFill="background1"/>
            <w:hideMark/>
          </w:tcPr>
          <w:p w14:paraId="2A6FFF38" w14:textId="77777777" w:rsidR="00FB11EE" w:rsidRPr="00E10B7B" w:rsidRDefault="00FB11EE" w:rsidP="005C7AC1">
            <w:pPr>
              <w:spacing w:before="0"/>
              <w:rPr>
                <w:rFonts w:eastAsia="Times New Roman" w:cstheme="minorHAnsi"/>
                <w:b/>
                <w:bCs/>
                <w:sz w:val="16"/>
                <w:szCs w:val="16"/>
                <w:lang w:eastAsia="en-AU"/>
              </w:rPr>
            </w:pPr>
          </w:p>
        </w:tc>
        <w:tc>
          <w:tcPr>
            <w:tcW w:w="2134" w:type="pct"/>
            <w:shd w:val="clear" w:color="auto" w:fill="EBE5F2" w:themeFill="accent5" w:themeFillTint="33"/>
            <w:hideMark/>
          </w:tcPr>
          <w:p w14:paraId="259EC96F"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(j) Powders and Pastes</w:t>
            </w:r>
          </w:p>
        </w:tc>
        <w:tc>
          <w:tcPr>
            <w:tcW w:w="734" w:type="pct"/>
            <w:shd w:val="clear" w:color="auto" w:fill="EBE5F2" w:themeFill="accent5" w:themeFillTint="33"/>
            <w:noWrap/>
            <w:hideMark/>
          </w:tcPr>
          <w:p w14:paraId="57A262BE"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15</w:t>
            </w:r>
          </w:p>
        </w:tc>
      </w:tr>
      <w:tr w:rsidR="00FB11EE" w:rsidRPr="00AE6870" w14:paraId="238D06A4" w14:textId="77777777" w:rsidTr="0032225E">
        <w:trPr>
          <w:cnfStyle w:val="000000010000" w:firstRow="0" w:lastRow="0" w:firstColumn="0" w:lastColumn="0" w:oddVBand="0" w:evenVBand="0" w:oddHBand="0" w:evenHBand="1" w:firstRowFirstColumn="0" w:firstRowLastColumn="0" w:lastRowFirstColumn="0" w:lastRowLastColumn="0"/>
          <w:trHeight w:val="241"/>
        </w:trPr>
        <w:tc>
          <w:tcPr>
            <w:tcW w:w="809" w:type="pct"/>
            <w:vMerge/>
            <w:hideMark/>
          </w:tcPr>
          <w:p w14:paraId="6A72093D"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shd w:val="clear" w:color="auto" w:fill="FFFFFF" w:themeFill="background1"/>
            <w:hideMark/>
          </w:tcPr>
          <w:p w14:paraId="33D95F19" w14:textId="77777777" w:rsidR="00FB11EE" w:rsidRPr="00E10B7B" w:rsidRDefault="00FB11EE" w:rsidP="005C7AC1">
            <w:pPr>
              <w:spacing w:before="0"/>
              <w:rPr>
                <w:rFonts w:eastAsia="Times New Roman" w:cstheme="minorHAnsi"/>
                <w:b/>
                <w:bCs/>
                <w:sz w:val="16"/>
                <w:szCs w:val="16"/>
                <w:lang w:eastAsia="en-AU"/>
              </w:rPr>
            </w:pPr>
          </w:p>
        </w:tc>
        <w:tc>
          <w:tcPr>
            <w:tcW w:w="2134" w:type="pct"/>
            <w:shd w:val="clear" w:color="auto" w:fill="FFFFFF" w:themeFill="background1"/>
            <w:hideMark/>
          </w:tcPr>
          <w:p w14:paraId="3522182D"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(k) Protective Films</w:t>
            </w:r>
          </w:p>
        </w:tc>
        <w:tc>
          <w:tcPr>
            <w:tcW w:w="734" w:type="pct"/>
            <w:shd w:val="clear" w:color="auto" w:fill="FFFFFF" w:themeFill="background1"/>
            <w:noWrap/>
            <w:hideMark/>
          </w:tcPr>
          <w:p w14:paraId="780644DF"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15</w:t>
            </w:r>
          </w:p>
        </w:tc>
      </w:tr>
      <w:tr w:rsidR="00FB11EE" w:rsidRPr="00AE6870" w14:paraId="387847C4" w14:textId="77777777" w:rsidTr="0032225E">
        <w:trPr>
          <w:trHeight w:val="241"/>
        </w:trPr>
        <w:tc>
          <w:tcPr>
            <w:tcW w:w="809" w:type="pct"/>
            <w:vMerge/>
            <w:hideMark/>
          </w:tcPr>
          <w:p w14:paraId="74447D25"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shd w:val="clear" w:color="auto" w:fill="FFFFFF" w:themeFill="background1"/>
            <w:hideMark/>
          </w:tcPr>
          <w:p w14:paraId="0281DDCB" w14:textId="77777777" w:rsidR="00FB11EE" w:rsidRPr="00E10B7B" w:rsidRDefault="00FB11EE" w:rsidP="005C7AC1">
            <w:pPr>
              <w:spacing w:before="0"/>
              <w:rPr>
                <w:rFonts w:eastAsia="Times New Roman" w:cstheme="minorHAnsi"/>
                <w:b/>
                <w:bCs/>
                <w:sz w:val="16"/>
                <w:szCs w:val="16"/>
                <w:lang w:eastAsia="en-AU"/>
              </w:rPr>
            </w:pPr>
          </w:p>
        </w:tc>
        <w:tc>
          <w:tcPr>
            <w:tcW w:w="2134" w:type="pct"/>
            <w:shd w:val="clear" w:color="auto" w:fill="EBE5F2" w:themeFill="accent5" w:themeFillTint="33"/>
            <w:hideMark/>
          </w:tcPr>
          <w:p w14:paraId="4B267735"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(l) Seals</w:t>
            </w:r>
          </w:p>
        </w:tc>
        <w:tc>
          <w:tcPr>
            <w:tcW w:w="734" w:type="pct"/>
            <w:shd w:val="clear" w:color="auto" w:fill="EBE5F2" w:themeFill="accent5" w:themeFillTint="33"/>
            <w:noWrap/>
            <w:hideMark/>
          </w:tcPr>
          <w:p w14:paraId="1DB80A85"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79</w:t>
            </w:r>
          </w:p>
        </w:tc>
      </w:tr>
      <w:tr w:rsidR="00FB11EE" w:rsidRPr="00AE6870" w14:paraId="6F2E79E9" w14:textId="77777777" w:rsidTr="0032225E">
        <w:trPr>
          <w:cnfStyle w:val="000000010000" w:firstRow="0" w:lastRow="0" w:firstColumn="0" w:lastColumn="0" w:oddVBand="0" w:evenVBand="0" w:oddHBand="0" w:evenHBand="1" w:firstRowFirstColumn="0" w:firstRowLastColumn="0" w:lastRowFirstColumn="0" w:lastRowLastColumn="0"/>
          <w:trHeight w:val="241"/>
        </w:trPr>
        <w:tc>
          <w:tcPr>
            <w:tcW w:w="809" w:type="pct"/>
            <w:vMerge/>
            <w:hideMark/>
          </w:tcPr>
          <w:p w14:paraId="7965ED8F" w14:textId="77777777" w:rsidR="00FB11EE" w:rsidRPr="00E10B7B" w:rsidRDefault="00FB11EE" w:rsidP="005C7AC1">
            <w:pPr>
              <w:spacing w:before="0"/>
              <w:jc w:val="center"/>
              <w:rPr>
                <w:rFonts w:eastAsia="Times New Roman" w:cstheme="minorHAnsi"/>
                <w:sz w:val="16"/>
                <w:szCs w:val="16"/>
                <w:lang w:eastAsia="en-AU"/>
              </w:rPr>
            </w:pPr>
          </w:p>
        </w:tc>
        <w:tc>
          <w:tcPr>
            <w:tcW w:w="1323" w:type="pct"/>
            <w:vMerge/>
            <w:shd w:val="clear" w:color="auto" w:fill="FFFFFF" w:themeFill="background1"/>
            <w:hideMark/>
          </w:tcPr>
          <w:p w14:paraId="56579277" w14:textId="77777777" w:rsidR="00FB11EE" w:rsidRPr="00E10B7B" w:rsidRDefault="00FB11EE" w:rsidP="005C7AC1">
            <w:pPr>
              <w:spacing w:before="0"/>
              <w:rPr>
                <w:rFonts w:eastAsia="Times New Roman" w:cstheme="minorHAnsi"/>
                <w:b/>
                <w:bCs/>
                <w:sz w:val="16"/>
                <w:szCs w:val="16"/>
                <w:lang w:eastAsia="en-AU"/>
              </w:rPr>
            </w:pPr>
          </w:p>
        </w:tc>
        <w:tc>
          <w:tcPr>
            <w:tcW w:w="2134" w:type="pct"/>
            <w:shd w:val="clear" w:color="auto" w:fill="FFFFFF" w:themeFill="background1"/>
            <w:hideMark/>
          </w:tcPr>
          <w:p w14:paraId="789AC175" w14:textId="77777777" w:rsidR="00FB11EE" w:rsidRPr="00E10B7B" w:rsidRDefault="00FB11EE" w:rsidP="005C7AC1">
            <w:pPr>
              <w:spacing w:before="0" w:after="0"/>
              <w:rPr>
                <w:rFonts w:eastAsia="Times New Roman" w:cstheme="minorHAnsi"/>
                <w:sz w:val="16"/>
                <w:szCs w:val="16"/>
                <w:lang w:eastAsia="en-AU"/>
              </w:rPr>
            </w:pPr>
            <w:r w:rsidRPr="00E10B7B">
              <w:rPr>
                <w:rFonts w:eastAsia="Times New Roman" w:cstheme="minorHAnsi"/>
                <w:sz w:val="16"/>
                <w:szCs w:val="16"/>
                <w:lang w:eastAsia="en-AU"/>
              </w:rPr>
              <w:t>(m) Miscellaneous</w:t>
            </w:r>
          </w:p>
        </w:tc>
        <w:tc>
          <w:tcPr>
            <w:tcW w:w="734" w:type="pct"/>
            <w:shd w:val="clear" w:color="auto" w:fill="FFFFFF" w:themeFill="background1"/>
            <w:noWrap/>
            <w:hideMark/>
          </w:tcPr>
          <w:p w14:paraId="63FCAAB9"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6</w:t>
            </w:r>
          </w:p>
        </w:tc>
      </w:tr>
      <w:tr w:rsidR="00FB11EE" w:rsidRPr="00AE6870" w14:paraId="5704773B" w14:textId="77777777" w:rsidTr="0032225E">
        <w:trPr>
          <w:trHeight w:val="241"/>
        </w:trPr>
        <w:tc>
          <w:tcPr>
            <w:tcW w:w="809" w:type="pct"/>
            <w:hideMark/>
          </w:tcPr>
          <w:p w14:paraId="6507BF67" w14:textId="77777777" w:rsidR="00FB11EE" w:rsidRPr="00E10B7B" w:rsidRDefault="00FB11EE" w:rsidP="005C7AC1">
            <w:pPr>
              <w:spacing w:before="0" w:after="0"/>
              <w:jc w:val="center"/>
              <w:rPr>
                <w:rFonts w:eastAsia="Times New Roman" w:cstheme="minorHAnsi"/>
                <w:sz w:val="16"/>
                <w:szCs w:val="16"/>
                <w:lang w:eastAsia="en-AU"/>
              </w:rPr>
            </w:pPr>
            <w:r w:rsidRPr="00E10B7B">
              <w:rPr>
                <w:rFonts w:eastAsia="Times New Roman" w:cstheme="minorHAnsi"/>
                <w:sz w:val="16"/>
                <w:szCs w:val="16"/>
                <w:lang w:eastAsia="en-AU"/>
              </w:rPr>
              <w:t>10</w:t>
            </w:r>
          </w:p>
        </w:tc>
        <w:tc>
          <w:tcPr>
            <w:tcW w:w="1323" w:type="pct"/>
            <w:shd w:val="clear" w:color="auto" w:fill="EBE5F2" w:themeFill="accent5" w:themeFillTint="33"/>
            <w:hideMark/>
          </w:tcPr>
          <w:p w14:paraId="7546B1A6" w14:textId="77777777" w:rsidR="00FB11EE" w:rsidRPr="00E10B7B" w:rsidRDefault="00FB11EE" w:rsidP="005C7AC1">
            <w:pPr>
              <w:spacing w:before="0" w:after="0"/>
              <w:rPr>
                <w:rFonts w:eastAsia="Times New Roman" w:cstheme="minorHAnsi"/>
                <w:b/>
                <w:bCs/>
                <w:sz w:val="16"/>
                <w:szCs w:val="16"/>
                <w:lang w:eastAsia="en-AU"/>
              </w:rPr>
            </w:pPr>
            <w:r w:rsidRPr="00E10B7B">
              <w:rPr>
                <w:rFonts w:eastAsia="Times New Roman" w:cstheme="minorHAnsi"/>
                <w:b/>
                <w:bCs/>
                <w:sz w:val="16"/>
                <w:szCs w:val="16"/>
                <w:lang w:eastAsia="en-AU"/>
              </w:rPr>
              <w:t>Paediatric</w:t>
            </w:r>
          </w:p>
        </w:tc>
        <w:tc>
          <w:tcPr>
            <w:tcW w:w="2134" w:type="pct"/>
            <w:shd w:val="clear" w:color="auto" w:fill="EBE5F2" w:themeFill="accent5" w:themeFillTint="33"/>
            <w:hideMark/>
          </w:tcPr>
          <w:p w14:paraId="341A2857" w14:textId="77777777" w:rsidR="00FB11EE" w:rsidRPr="00E10B7B" w:rsidRDefault="00FB11EE" w:rsidP="005C7AC1">
            <w:pPr>
              <w:spacing w:before="0"/>
              <w:rPr>
                <w:rFonts w:eastAsia="Times New Roman" w:cstheme="minorHAnsi"/>
                <w:sz w:val="16"/>
                <w:szCs w:val="16"/>
                <w:lang w:eastAsia="en-AU"/>
              </w:rPr>
            </w:pPr>
            <w:r w:rsidRPr="00E10B7B">
              <w:rPr>
                <w:rFonts w:eastAsia="Times New Roman" w:cstheme="minorHAnsi"/>
                <w:sz w:val="16"/>
                <w:szCs w:val="16"/>
                <w:lang w:eastAsia="en-AU"/>
              </w:rPr>
              <w:t>(a) All</w:t>
            </w:r>
          </w:p>
        </w:tc>
        <w:tc>
          <w:tcPr>
            <w:tcW w:w="734" w:type="pct"/>
            <w:shd w:val="clear" w:color="auto" w:fill="EBE5F2" w:themeFill="accent5" w:themeFillTint="33"/>
            <w:noWrap/>
            <w:hideMark/>
          </w:tcPr>
          <w:p w14:paraId="6A8A4EF8"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36</w:t>
            </w:r>
          </w:p>
        </w:tc>
      </w:tr>
      <w:tr w:rsidR="00FB11EE" w:rsidRPr="00AE6870" w14:paraId="0210EBB0" w14:textId="77777777" w:rsidTr="0032225E">
        <w:trPr>
          <w:cnfStyle w:val="000000010000" w:firstRow="0" w:lastRow="0" w:firstColumn="0" w:lastColumn="0" w:oddVBand="0" w:evenVBand="0" w:oddHBand="0" w:evenHBand="1" w:firstRowFirstColumn="0" w:firstRowLastColumn="0" w:lastRowFirstColumn="0" w:lastRowLastColumn="0"/>
          <w:trHeight w:val="251"/>
        </w:trPr>
        <w:tc>
          <w:tcPr>
            <w:tcW w:w="809" w:type="pct"/>
            <w:hideMark/>
          </w:tcPr>
          <w:p w14:paraId="615EE4EE" w14:textId="77777777" w:rsidR="00FB11EE" w:rsidRPr="00E10B7B" w:rsidRDefault="00FB11EE" w:rsidP="005C7AC1">
            <w:pPr>
              <w:spacing w:before="0" w:after="0"/>
              <w:jc w:val="center"/>
              <w:rPr>
                <w:rFonts w:eastAsia="Times New Roman" w:cstheme="minorHAnsi"/>
                <w:sz w:val="16"/>
                <w:szCs w:val="16"/>
                <w:lang w:eastAsia="en-AU"/>
              </w:rPr>
            </w:pPr>
            <w:r w:rsidRPr="00E10B7B">
              <w:rPr>
                <w:rFonts w:eastAsia="Times New Roman" w:cstheme="minorHAnsi"/>
                <w:sz w:val="16"/>
                <w:szCs w:val="16"/>
                <w:lang w:eastAsia="en-AU"/>
              </w:rPr>
              <w:t>11</w:t>
            </w:r>
          </w:p>
        </w:tc>
        <w:tc>
          <w:tcPr>
            <w:tcW w:w="1323" w:type="pct"/>
            <w:shd w:val="clear" w:color="auto" w:fill="FFFFFF" w:themeFill="background1"/>
            <w:hideMark/>
          </w:tcPr>
          <w:p w14:paraId="108157C7" w14:textId="77777777" w:rsidR="00FB11EE" w:rsidRPr="00E10B7B" w:rsidRDefault="00FB11EE" w:rsidP="005C7AC1">
            <w:pPr>
              <w:spacing w:before="0" w:after="0"/>
              <w:rPr>
                <w:rFonts w:eastAsia="Times New Roman" w:cstheme="minorHAnsi"/>
                <w:b/>
                <w:bCs/>
                <w:sz w:val="16"/>
                <w:szCs w:val="16"/>
                <w:lang w:eastAsia="en-AU"/>
              </w:rPr>
            </w:pPr>
            <w:r w:rsidRPr="00E10B7B">
              <w:rPr>
                <w:rFonts w:eastAsia="Times New Roman" w:cstheme="minorHAnsi"/>
                <w:b/>
                <w:bCs/>
                <w:sz w:val="16"/>
                <w:szCs w:val="16"/>
                <w:lang w:eastAsia="en-AU"/>
              </w:rPr>
              <w:t>Fistulae</w:t>
            </w:r>
          </w:p>
        </w:tc>
        <w:tc>
          <w:tcPr>
            <w:tcW w:w="2134" w:type="pct"/>
            <w:shd w:val="clear" w:color="auto" w:fill="FFFFFF" w:themeFill="background1"/>
            <w:hideMark/>
          </w:tcPr>
          <w:p w14:paraId="4D11348D" w14:textId="77777777" w:rsidR="00FB11EE" w:rsidRPr="00E10B7B" w:rsidRDefault="00FB11EE" w:rsidP="005C7AC1">
            <w:pPr>
              <w:spacing w:before="0"/>
              <w:rPr>
                <w:rFonts w:eastAsia="Times New Roman" w:cstheme="minorHAnsi"/>
                <w:sz w:val="16"/>
                <w:szCs w:val="16"/>
                <w:lang w:eastAsia="en-AU"/>
              </w:rPr>
            </w:pPr>
            <w:r w:rsidRPr="00E10B7B">
              <w:rPr>
                <w:rFonts w:eastAsia="Times New Roman" w:cstheme="minorHAnsi"/>
                <w:sz w:val="16"/>
                <w:szCs w:val="16"/>
                <w:lang w:eastAsia="en-AU"/>
              </w:rPr>
              <w:t>(a) All</w:t>
            </w:r>
          </w:p>
        </w:tc>
        <w:tc>
          <w:tcPr>
            <w:tcW w:w="734" w:type="pct"/>
            <w:shd w:val="clear" w:color="auto" w:fill="FFFFFF" w:themeFill="background1"/>
            <w:noWrap/>
            <w:hideMark/>
          </w:tcPr>
          <w:p w14:paraId="2819D519" w14:textId="77777777" w:rsidR="00FB11EE" w:rsidRPr="00E10B7B" w:rsidRDefault="00FB11EE" w:rsidP="005C7AC1">
            <w:pPr>
              <w:spacing w:before="0"/>
              <w:ind w:right="170"/>
              <w:jc w:val="right"/>
              <w:rPr>
                <w:rFonts w:eastAsia="Times New Roman" w:cstheme="minorHAnsi"/>
                <w:sz w:val="16"/>
                <w:szCs w:val="16"/>
                <w:lang w:eastAsia="en-AU"/>
              </w:rPr>
            </w:pPr>
            <w:r w:rsidRPr="00E10B7B">
              <w:rPr>
                <w:rFonts w:cstheme="minorHAnsi"/>
                <w:sz w:val="16"/>
                <w:szCs w:val="16"/>
              </w:rPr>
              <w:t>81</w:t>
            </w:r>
          </w:p>
        </w:tc>
      </w:tr>
      <w:tr w:rsidR="00FB11EE" w:rsidRPr="00D9192A" w14:paraId="0B8FF8B4" w14:textId="77777777" w:rsidTr="0032225E">
        <w:trPr>
          <w:trHeight w:val="241"/>
        </w:trPr>
        <w:tc>
          <w:tcPr>
            <w:tcW w:w="809" w:type="pct"/>
            <w:shd w:val="clear" w:color="auto" w:fill="3B0083" w:themeFill="accent1"/>
            <w:noWrap/>
            <w:hideMark/>
          </w:tcPr>
          <w:p w14:paraId="5E2E7CFA" w14:textId="77777777" w:rsidR="00FB11EE" w:rsidRPr="0032225E" w:rsidRDefault="00FB11EE" w:rsidP="005C7AC1">
            <w:pPr>
              <w:spacing w:before="0" w:after="0"/>
              <w:jc w:val="center"/>
              <w:rPr>
                <w:rFonts w:eastAsia="Times New Roman" w:cstheme="minorHAnsi"/>
                <w:b/>
                <w:sz w:val="16"/>
                <w:szCs w:val="16"/>
                <w:lang w:eastAsia="en-AU"/>
              </w:rPr>
            </w:pPr>
            <w:r w:rsidRPr="0032225E">
              <w:rPr>
                <w:rFonts w:eastAsia="Times New Roman" w:cstheme="minorHAnsi"/>
                <w:b/>
                <w:sz w:val="16"/>
                <w:szCs w:val="16"/>
                <w:lang w:eastAsia="en-AU"/>
              </w:rPr>
              <w:t>Total</w:t>
            </w:r>
          </w:p>
        </w:tc>
        <w:tc>
          <w:tcPr>
            <w:tcW w:w="1323" w:type="pct"/>
            <w:shd w:val="clear" w:color="auto" w:fill="3B0083" w:themeFill="accent1"/>
            <w:noWrap/>
            <w:hideMark/>
          </w:tcPr>
          <w:p w14:paraId="387D6BF3" w14:textId="77777777" w:rsidR="00FB11EE" w:rsidRPr="00E10B7B" w:rsidRDefault="00FB11EE" w:rsidP="005C7AC1">
            <w:pPr>
              <w:spacing w:before="0"/>
              <w:rPr>
                <w:rFonts w:eastAsia="Times New Roman" w:cstheme="minorHAnsi"/>
                <w:b/>
                <w:bCs/>
                <w:sz w:val="16"/>
                <w:szCs w:val="16"/>
                <w:lang w:eastAsia="en-AU"/>
              </w:rPr>
            </w:pPr>
          </w:p>
        </w:tc>
        <w:tc>
          <w:tcPr>
            <w:tcW w:w="2134" w:type="pct"/>
            <w:shd w:val="clear" w:color="auto" w:fill="3B0083" w:themeFill="accent1"/>
            <w:noWrap/>
            <w:hideMark/>
          </w:tcPr>
          <w:p w14:paraId="3EA30DB0" w14:textId="77777777" w:rsidR="00FB11EE" w:rsidRPr="00E10B7B" w:rsidRDefault="00FB11EE" w:rsidP="005C7AC1">
            <w:pPr>
              <w:spacing w:before="0"/>
              <w:rPr>
                <w:rFonts w:eastAsia="Times New Roman" w:cstheme="minorHAnsi"/>
                <w:b/>
                <w:sz w:val="16"/>
                <w:szCs w:val="16"/>
                <w:lang w:eastAsia="en-AU"/>
              </w:rPr>
            </w:pPr>
          </w:p>
        </w:tc>
        <w:tc>
          <w:tcPr>
            <w:tcW w:w="734" w:type="pct"/>
            <w:shd w:val="clear" w:color="auto" w:fill="3B0083" w:themeFill="accent1"/>
            <w:noWrap/>
            <w:hideMark/>
          </w:tcPr>
          <w:p w14:paraId="1050EC90" w14:textId="77777777" w:rsidR="00FB11EE" w:rsidRPr="00E10B7B" w:rsidRDefault="00FB11EE" w:rsidP="005C7AC1">
            <w:pPr>
              <w:spacing w:before="0"/>
              <w:ind w:right="170"/>
              <w:jc w:val="right"/>
              <w:rPr>
                <w:rFonts w:eastAsia="Times New Roman" w:cstheme="minorHAnsi"/>
                <w:b/>
                <w:bCs/>
                <w:sz w:val="16"/>
                <w:szCs w:val="16"/>
                <w:lang w:eastAsia="en-AU"/>
              </w:rPr>
            </w:pPr>
            <w:r w:rsidRPr="00E10B7B">
              <w:rPr>
                <w:rFonts w:cstheme="minorHAnsi"/>
                <w:b/>
                <w:bCs/>
                <w:sz w:val="16"/>
                <w:szCs w:val="16"/>
              </w:rPr>
              <w:t>3,577</w:t>
            </w:r>
          </w:p>
        </w:tc>
      </w:tr>
    </w:tbl>
    <w:p w14:paraId="2D44C132" w14:textId="77777777" w:rsidR="00FB11EE" w:rsidRPr="00667FDB" w:rsidRDefault="00FB11EE" w:rsidP="00FB11EE">
      <w:pPr>
        <w:pStyle w:val="BodyText"/>
        <w:rPr>
          <w:sz w:val="16"/>
          <w:szCs w:val="16"/>
        </w:rPr>
      </w:pPr>
      <w:r w:rsidRPr="00667FDB">
        <w:rPr>
          <w:sz w:val="16"/>
          <w:szCs w:val="16"/>
        </w:rPr>
        <w:t>Source: Stoma Appliance Schedule. 1 October 2023.</w:t>
      </w:r>
      <w:r w:rsidRPr="00473E45">
        <w:rPr>
          <w:rStyle w:val="FootnoteReference"/>
          <w:color w:val="auto"/>
          <w:sz w:val="16"/>
          <w:szCs w:val="16"/>
        </w:rPr>
        <w:footnoteReference w:id="44"/>
      </w:r>
    </w:p>
    <w:p w14:paraId="75C55085" w14:textId="77777777" w:rsidR="00FB11EE" w:rsidRPr="00FB11EE" w:rsidRDefault="00FB11EE" w:rsidP="00FB11EE">
      <w:pPr>
        <w:pStyle w:val="BodyText"/>
      </w:pPr>
    </w:p>
    <w:p w14:paraId="41DC665E" w14:textId="66BEC364" w:rsidR="0059393C" w:rsidRDefault="003838E7" w:rsidP="006D53CF">
      <w:pPr>
        <w:pStyle w:val="Heading7"/>
        <w:rPr>
          <w:color w:val="C60C30" w:themeColor="accent2"/>
        </w:rPr>
      </w:pPr>
      <w:bookmarkStart w:id="110" w:name="_Toc161743099"/>
      <w:r>
        <w:rPr>
          <w:color w:val="C60C30" w:themeColor="accent2"/>
        </w:rPr>
        <w:lastRenderedPageBreak/>
        <w:t>Overview of</w:t>
      </w:r>
      <w:r w:rsidR="0059393C">
        <w:rPr>
          <w:color w:val="C60C30" w:themeColor="accent2"/>
        </w:rPr>
        <w:t xml:space="preserve"> SPAP</w:t>
      </w:r>
      <w:bookmarkEnd w:id="108"/>
      <w:bookmarkEnd w:id="110"/>
    </w:p>
    <w:p w14:paraId="0B30BB99" w14:textId="77777777" w:rsidR="0059393C" w:rsidRPr="00A00646" w:rsidRDefault="0059393C" w:rsidP="0059393C">
      <w:pPr>
        <w:pStyle w:val="BodyText"/>
      </w:pPr>
      <w:r w:rsidRPr="00A00646">
        <w:t>The Department established the SPAP in 2002 and restructured it following a 2009-2010 review to improve its independence and ability to assess economic evidence. The SPAP comprises nine members:</w:t>
      </w:r>
      <w:r>
        <w:t xml:space="preserve"> </w:t>
      </w:r>
      <w:r w:rsidRPr="00A00646">
        <w:t>an independent chair</w:t>
      </w:r>
      <w:r>
        <w:t xml:space="preserve">; </w:t>
      </w:r>
      <w:r w:rsidRPr="00A00646">
        <w:t>clinical and economic experts</w:t>
      </w:r>
      <w:r>
        <w:t xml:space="preserve">; </w:t>
      </w:r>
      <w:r w:rsidRPr="00A00646">
        <w:t>a consumer representative</w:t>
      </w:r>
      <w:r>
        <w:t xml:space="preserve">; and </w:t>
      </w:r>
      <w:r w:rsidRPr="00A00646">
        <w:t>non-voting representatives from the ACSA and industry.</w:t>
      </w:r>
    </w:p>
    <w:p w14:paraId="6799A0B1" w14:textId="77777777" w:rsidR="0059393C" w:rsidRPr="00A00646" w:rsidRDefault="0059393C" w:rsidP="0059393C">
      <w:pPr>
        <w:pStyle w:val="BodyText"/>
      </w:pPr>
      <w:r w:rsidRPr="00A00646">
        <w:t>At the conclusion of each SPAP meeting, the SPAP’s recommendations are provided to sponsors for their respective applications and the SPAP recommendation is then provided to Government for approval.</w:t>
      </w:r>
    </w:p>
    <w:p w14:paraId="0BB6846A" w14:textId="77777777" w:rsidR="0059393C" w:rsidRPr="00A00646" w:rsidRDefault="0059393C" w:rsidP="0059393C">
      <w:pPr>
        <w:pStyle w:val="BodyText"/>
      </w:pPr>
      <w:r w:rsidRPr="00A00646">
        <w:t>A recommendation will include:</w:t>
      </w:r>
    </w:p>
    <w:p w14:paraId="74028F60" w14:textId="77777777" w:rsidR="0059393C" w:rsidRPr="00A00646" w:rsidRDefault="0059393C" w:rsidP="0059393C">
      <w:pPr>
        <w:pStyle w:val="ListBullet"/>
      </w:pPr>
      <w:r w:rsidRPr="00A00646">
        <w:t>whether the product should be listed on the Schedule</w:t>
      </w:r>
    </w:p>
    <w:p w14:paraId="214350E9" w14:textId="77777777" w:rsidR="0059393C" w:rsidRPr="00A00646" w:rsidRDefault="0059393C" w:rsidP="0059393C">
      <w:pPr>
        <w:pStyle w:val="ListBullet"/>
      </w:pPr>
      <w:r w:rsidRPr="00A00646">
        <w:t>an explanation of SPAP recommendations.</w:t>
      </w:r>
    </w:p>
    <w:p w14:paraId="2E83B803" w14:textId="77777777" w:rsidR="0059393C" w:rsidRPr="00A00646" w:rsidRDefault="0059393C" w:rsidP="0059393C">
      <w:pPr>
        <w:pStyle w:val="BodyText"/>
      </w:pPr>
      <w:r w:rsidRPr="00A00646">
        <w:t>If SPAP recommends that the product should be considered for listing on the Schedule, it will also provide the following information:</w:t>
      </w:r>
    </w:p>
    <w:p w14:paraId="0E371BDE" w14:textId="77777777" w:rsidR="0059393C" w:rsidRPr="00A00646" w:rsidRDefault="0059393C" w:rsidP="0059393C">
      <w:pPr>
        <w:pStyle w:val="ListBullet"/>
      </w:pPr>
      <w:r w:rsidRPr="00A00646">
        <w:t>Monthly (or annual) maximum quantity for the product</w:t>
      </w:r>
    </w:p>
    <w:p w14:paraId="7334BFC7" w14:textId="77777777" w:rsidR="0059393C" w:rsidRPr="00A00646" w:rsidRDefault="0059393C" w:rsidP="0059393C">
      <w:pPr>
        <w:pStyle w:val="ListBullet"/>
      </w:pPr>
      <w:r w:rsidRPr="00A00646">
        <w:t xml:space="preserve">The price at which the product should be </w:t>
      </w:r>
      <w:proofErr w:type="gramStart"/>
      <w:r w:rsidRPr="00A00646">
        <w:t>listed</w:t>
      </w:r>
      <w:proofErr w:type="gramEnd"/>
    </w:p>
    <w:p w14:paraId="49AE34F8" w14:textId="77777777" w:rsidR="0059393C" w:rsidRPr="00A00646" w:rsidRDefault="0059393C" w:rsidP="0059393C">
      <w:pPr>
        <w:pStyle w:val="ListBullet"/>
      </w:pPr>
      <w:r w:rsidRPr="00A00646">
        <w:t>Any usage restrictions, if relevant.</w:t>
      </w:r>
    </w:p>
    <w:p w14:paraId="3B32FBB7" w14:textId="0860359C" w:rsidR="0059393C" w:rsidRPr="00A00646" w:rsidRDefault="0059393C" w:rsidP="0059393C">
      <w:pPr>
        <w:pStyle w:val="BodyText"/>
      </w:pPr>
      <w:r w:rsidRPr="00A00646">
        <w:t>The SPAP determines if products on the Schedule will be subject to restrictions. Where a product is subject to a restriction, the restriction group will be identified as part of the product description on the Schedule.</w:t>
      </w:r>
    </w:p>
    <w:p w14:paraId="2DEF6B5B" w14:textId="77777777" w:rsidR="0059393C" w:rsidRPr="00A00646" w:rsidRDefault="0059393C" w:rsidP="0059393C">
      <w:pPr>
        <w:pStyle w:val="BodyText"/>
      </w:pPr>
      <w:r w:rsidRPr="00A00646">
        <w:t>Sponsors can request a meeting with the SPAP Secretariat to discuss the outcomes of the SPAP meeting.</w:t>
      </w:r>
    </w:p>
    <w:p w14:paraId="54F64DA9" w14:textId="6DF55E5C" w:rsidR="0059393C" w:rsidRDefault="0059393C" w:rsidP="0059393C">
      <w:pPr>
        <w:pStyle w:val="BodyText"/>
      </w:pPr>
      <w:r w:rsidRPr="00A00646">
        <w:t>The Secretariat prepares Public Summary Documents (PSDs) which are ratified by the SPAP and sent to sponsors for comment. The ratified PSDs with sponsor comments are published on the Department's website, usually within two months after the SPAP meeting.</w:t>
      </w:r>
    </w:p>
    <w:p w14:paraId="3E3934AF" w14:textId="77777777" w:rsidR="003838E7" w:rsidRDefault="003838E7" w:rsidP="008D4818">
      <w:pPr>
        <w:pStyle w:val="BodyText"/>
        <w:sectPr w:rsidR="003838E7" w:rsidSect="00361225">
          <w:pgSz w:w="11906" w:h="16838" w:code="9"/>
          <w:pgMar w:top="1134" w:right="1134" w:bottom="1134" w:left="1134" w:header="709" w:footer="454" w:gutter="0"/>
          <w:cols w:space="708"/>
          <w:docGrid w:linePitch="360"/>
        </w:sectPr>
      </w:pPr>
    </w:p>
    <w:p w14:paraId="76956884" w14:textId="1B7DBD85" w:rsidR="00431518" w:rsidRPr="006C6DFD" w:rsidRDefault="00431518" w:rsidP="006D53CF">
      <w:pPr>
        <w:pStyle w:val="Heading7"/>
        <w:rPr>
          <w:color w:val="C60C30" w:themeColor="accent2"/>
        </w:rPr>
      </w:pPr>
      <w:bookmarkStart w:id="111" w:name="_Toc161743100"/>
      <w:r w:rsidRPr="006C6DFD">
        <w:rPr>
          <w:color w:val="C60C30" w:themeColor="accent2"/>
        </w:rPr>
        <w:lastRenderedPageBreak/>
        <w:t>Comparator Schemes</w:t>
      </w:r>
      <w:bookmarkEnd w:id="102"/>
      <w:bookmarkEnd w:id="103"/>
      <w:bookmarkEnd w:id="111"/>
    </w:p>
    <w:p w14:paraId="5CD77794" w14:textId="3DC688E8" w:rsidR="00431518" w:rsidRDefault="005B4625" w:rsidP="00431518">
      <w:pPr>
        <w:pStyle w:val="Caption"/>
      </w:pPr>
      <w:bookmarkStart w:id="112" w:name="_Ref157610637"/>
      <w:bookmarkStart w:id="113" w:name="_Toc161743122"/>
      <w:r>
        <w:t>Table</w:t>
      </w:r>
      <w:r w:rsidR="00431518">
        <w:t xml:space="preserve"> </w:t>
      </w:r>
      <w:r>
        <w:fldChar w:fldCharType="begin"/>
      </w:r>
      <w:r>
        <w:instrText xml:space="preserve"> SEQ Table \* ARABIC </w:instrText>
      </w:r>
      <w:r>
        <w:fldChar w:fldCharType="separate"/>
      </w:r>
      <w:r w:rsidR="00FE1418">
        <w:rPr>
          <w:noProof/>
        </w:rPr>
        <w:t>19</w:t>
      </w:r>
      <w:r>
        <w:rPr>
          <w:noProof/>
        </w:rPr>
        <w:fldChar w:fldCharType="end"/>
      </w:r>
      <w:bookmarkEnd w:id="112"/>
      <w:r w:rsidR="00431518">
        <w:t xml:space="preserve">: </w:t>
      </w:r>
      <w:r w:rsidR="007A5941">
        <w:t>Summary of j</w:t>
      </w:r>
      <w:r w:rsidR="00431518">
        <w:t>urisdictional schemes compar</w:t>
      </w:r>
      <w:r w:rsidR="00ED061D">
        <w:t>ed</w:t>
      </w:r>
      <w:r w:rsidR="00431518">
        <w:t xml:space="preserve"> with the </w:t>
      </w:r>
      <w:proofErr w:type="gramStart"/>
      <w:r w:rsidR="00C316C3">
        <w:t>Scheme</w:t>
      </w:r>
      <w:bookmarkEnd w:id="113"/>
      <w:proofErr w:type="gramEnd"/>
    </w:p>
    <w:p w14:paraId="41708BD3" w14:textId="196C3463" w:rsidR="005760C5" w:rsidRPr="005760C5" w:rsidRDefault="005760C5" w:rsidP="005760C5">
      <w:pPr>
        <w:pStyle w:val="BodyText"/>
      </w:pPr>
      <w:r>
        <w:rPr>
          <w:noProof/>
        </w:rPr>
        <w:drawing>
          <wp:inline distT="0" distB="0" distL="0" distR="0" wp14:anchorId="4F675B20" wp14:editId="706756CB">
            <wp:extent cx="9029982" cy="2862449"/>
            <wp:effectExtent l="0" t="0" r="0" b="0"/>
            <wp:docPr id="1464316754" name="Picture 5" descr="Table 19: Summary of jurisdictional schemes compared with the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16754" name="Picture 5" descr="Table 19: Summary of jurisdictional schemes compared with the Scheme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076224" cy="2877108"/>
                    </a:xfrm>
                    <a:prstGeom prst="rect">
                      <a:avLst/>
                    </a:prstGeom>
                    <a:noFill/>
                  </pic:spPr>
                </pic:pic>
              </a:graphicData>
            </a:graphic>
          </wp:inline>
        </w:drawing>
      </w:r>
    </w:p>
    <w:p w14:paraId="6CAE7441" w14:textId="77777777" w:rsidR="00230BA1" w:rsidRDefault="00230BA1">
      <w:pPr>
        <w:rPr>
          <w:rFonts w:asciiTheme="majorHAnsi" w:hAnsiTheme="majorHAnsi"/>
          <w:iCs/>
          <w:color w:val="3B0083" w:themeColor="accent1"/>
          <w:sz w:val="18"/>
        </w:rPr>
      </w:pPr>
      <w:r>
        <w:br w:type="page"/>
      </w:r>
    </w:p>
    <w:p w14:paraId="0597C80B" w14:textId="7262F660" w:rsidR="00431518" w:rsidRDefault="006A5D1A" w:rsidP="006A5D1A">
      <w:pPr>
        <w:pStyle w:val="Caption"/>
      </w:pPr>
      <w:bookmarkStart w:id="114" w:name="_Toc161743123"/>
      <w:r>
        <w:lastRenderedPageBreak/>
        <w:t xml:space="preserve">Table </w:t>
      </w:r>
      <w:r>
        <w:fldChar w:fldCharType="begin"/>
      </w:r>
      <w:r>
        <w:instrText xml:space="preserve"> SEQ Table \* ARABIC </w:instrText>
      </w:r>
      <w:r>
        <w:fldChar w:fldCharType="separate"/>
      </w:r>
      <w:r w:rsidR="00FE1418">
        <w:rPr>
          <w:noProof/>
        </w:rPr>
        <w:t>20</w:t>
      </w:r>
      <w:r>
        <w:rPr>
          <w:noProof/>
        </w:rPr>
        <w:fldChar w:fldCharType="end"/>
      </w:r>
      <w:r>
        <w:t xml:space="preserve">: </w:t>
      </w:r>
      <w:r w:rsidR="007A5941">
        <w:t>Description of jurisdictional c</w:t>
      </w:r>
      <w:r>
        <w:t>omparator Schemes</w:t>
      </w:r>
      <w:bookmarkEnd w:id="114"/>
    </w:p>
    <w:tbl>
      <w:tblPr>
        <w:tblStyle w:val="TableHealthConsultPurple"/>
        <w:tblW w:w="5000" w:type="pct"/>
        <w:tblLayout w:type="fixed"/>
        <w:tblLook w:val="04A0" w:firstRow="1" w:lastRow="0" w:firstColumn="1" w:lastColumn="0" w:noHBand="0" w:noVBand="1"/>
      </w:tblPr>
      <w:tblGrid>
        <w:gridCol w:w="1273"/>
        <w:gridCol w:w="1093"/>
        <w:gridCol w:w="1524"/>
        <w:gridCol w:w="1527"/>
        <w:gridCol w:w="1524"/>
        <w:gridCol w:w="1527"/>
        <w:gridCol w:w="1524"/>
        <w:gridCol w:w="1527"/>
        <w:gridCol w:w="1524"/>
        <w:gridCol w:w="1527"/>
      </w:tblGrid>
      <w:tr w:rsidR="00132D06" w:rsidRPr="009434AE" w14:paraId="40EDF7C7" w14:textId="77777777" w:rsidTr="009434AE">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437" w:type="pct"/>
          </w:tcPr>
          <w:p w14:paraId="2AE1F629" w14:textId="77777777" w:rsidR="00431518" w:rsidRPr="009434AE" w:rsidRDefault="00431518" w:rsidP="009434AE">
            <w:pPr>
              <w:spacing w:before="0" w:after="0"/>
              <w:rPr>
                <w:rFonts w:cstheme="minorHAnsi"/>
                <w:color w:val="auto"/>
                <w:sz w:val="14"/>
                <w:szCs w:val="14"/>
              </w:rPr>
            </w:pPr>
            <w:r w:rsidRPr="009434AE">
              <w:rPr>
                <w:rFonts w:cstheme="minorHAnsi"/>
                <w:color w:val="auto"/>
                <w:sz w:val="14"/>
                <w:szCs w:val="14"/>
              </w:rPr>
              <w:t>Element</w:t>
            </w:r>
          </w:p>
        </w:tc>
        <w:tc>
          <w:tcPr>
            <w:tcW w:w="375" w:type="pct"/>
          </w:tcPr>
          <w:p w14:paraId="39AD4428" w14:textId="77777777" w:rsidR="00431518" w:rsidRPr="009434AE" w:rsidRDefault="00431518" w:rsidP="009434AE">
            <w:pPr>
              <w:spacing w:before="0" w:after="0"/>
              <w:cnfStyle w:val="100000000000" w:firstRow="1" w:lastRow="0" w:firstColumn="0" w:lastColumn="0" w:oddVBand="0" w:evenVBand="0" w:oddHBand="0" w:evenHBand="0" w:firstRowFirstColumn="0" w:firstRowLastColumn="0" w:lastRowFirstColumn="0" w:lastRowLastColumn="0"/>
              <w:rPr>
                <w:rFonts w:cstheme="minorHAnsi"/>
                <w:color w:val="auto"/>
                <w:sz w:val="14"/>
                <w:szCs w:val="14"/>
              </w:rPr>
            </w:pPr>
            <w:r w:rsidRPr="009434AE">
              <w:rPr>
                <w:rFonts w:cstheme="minorHAnsi"/>
                <w:color w:val="auto"/>
                <w:sz w:val="14"/>
                <w:szCs w:val="14"/>
              </w:rPr>
              <w:t>Definition</w:t>
            </w:r>
          </w:p>
        </w:tc>
        <w:tc>
          <w:tcPr>
            <w:tcW w:w="523" w:type="pct"/>
          </w:tcPr>
          <w:p w14:paraId="471C9463" w14:textId="77777777" w:rsidR="00431518" w:rsidRPr="009434AE" w:rsidRDefault="00431518" w:rsidP="009434AE">
            <w:pPr>
              <w:spacing w:before="0" w:after="0"/>
              <w:cnfStyle w:val="100000000000" w:firstRow="1" w:lastRow="0" w:firstColumn="0" w:lastColumn="0" w:oddVBand="0" w:evenVBand="0" w:oddHBand="0" w:evenHBand="0" w:firstRowFirstColumn="0" w:firstRowLastColumn="0" w:lastRowFirstColumn="0" w:lastRowLastColumn="0"/>
              <w:rPr>
                <w:rFonts w:cstheme="minorHAnsi"/>
                <w:color w:val="auto"/>
                <w:sz w:val="14"/>
                <w:szCs w:val="14"/>
              </w:rPr>
            </w:pPr>
            <w:r w:rsidRPr="009434AE">
              <w:rPr>
                <w:rFonts w:cstheme="minorHAnsi"/>
                <w:color w:val="auto"/>
                <w:sz w:val="14"/>
                <w:szCs w:val="14"/>
              </w:rPr>
              <w:t>Vic</w:t>
            </w:r>
          </w:p>
        </w:tc>
        <w:tc>
          <w:tcPr>
            <w:tcW w:w="524" w:type="pct"/>
          </w:tcPr>
          <w:p w14:paraId="2E757C59" w14:textId="77777777" w:rsidR="00431518" w:rsidRPr="009434AE" w:rsidRDefault="00431518" w:rsidP="009434AE">
            <w:pPr>
              <w:spacing w:before="0" w:after="0"/>
              <w:cnfStyle w:val="100000000000" w:firstRow="1" w:lastRow="0" w:firstColumn="0" w:lastColumn="0" w:oddVBand="0" w:evenVBand="0" w:oddHBand="0" w:evenHBand="0" w:firstRowFirstColumn="0" w:firstRowLastColumn="0" w:lastRowFirstColumn="0" w:lastRowLastColumn="0"/>
              <w:rPr>
                <w:rFonts w:cstheme="minorHAnsi"/>
                <w:color w:val="auto"/>
                <w:sz w:val="14"/>
                <w:szCs w:val="14"/>
              </w:rPr>
            </w:pPr>
            <w:r w:rsidRPr="009434AE">
              <w:rPr>
                <w:rFonts w:cstheme="minorHAnsi"/>
                <w:color w:val="auto"/>
                <w:sz w:val="14"/>
                <w:szCs w:val="14"/>
              </w:rPr>
              <w:t>NSW</w:t>
            </w:r>
          </w:p>
        </w:tc>
        <w:tc>
          <w:tcPr>
            <w:tcW w:w="523" w:type="pct"/>
          </w:tcPr>
          <w:p w14:paraId="6C3028C3" w14:textId="7C34F1C5" w:rsidR="00431518" w:rsidRPr="009434AE" w:rsidRDefault="000348E6" w:rsidP="009434AE">
            <w:pPr>
              <w:spacing w:before="0" w:after="0"/>
              <w:cnfStyle w:val="100000000000" w:firstRow="1" w:lastRow="0" w:firstColumn="0" w:lastColumn="0" w:oddVBand="0" w:evenVBand="0" w:oddHBand="0" w:evenHBand="0" w:firstRowFirstColumn="0" w:firstRowLastColumn="0" w:lastRowFirstColumn="0" w:lastRowLastColumn="0"/>
              <w:rPr>
                <w:rFonts w:cstheme="minorHAnsi"/>
                <w:color w:val="auto"/>
                <w:sz w:val="14"/>
                <w:szCs w:val="14"/>
              </w:rPr>
            </w:pPr>
            <w:r>
              <w:rPr>
                <w:rFonts w:cstheme="minorHAnsi"/>
                <w:color w:val="auto"/>
                <w:sz w:val="14"/>
                <w:szCs w:val="14"/>
              </w:rPr>
              <w:t>Queensland (QLD)</w:t>
            </w:r>
          </w:p>
        </w:tc>
        <w:tc>
          <w:tcPr>
            <w:tcW w:w="524" w:type="pct"/>
          </w:tcPr>
          <w:p w14:paraId="0E98B728" w14:textId="77777777" w:rsidR="00431518" w:rsidRPr="009434AE" w:rsidRDefault="00431518" w:rsidP="009434AE">
            <w:pPr>
              <w:spacing w:before="0" w:after="0"/>
              <w:cnfStyle w:val="100000000000" w:firstRow="1" w:lastRow="0" w:firstColumn="0" w:lastColumn="0" w:oddVBand="0" w:evenVBand="0" w:oddHBand="0" w:evenHBand="0" w:firstRowFirstColumn="0" w:firstRowLastColumn="0" w:lastRowFirstColumn="0" w:lastRowLastColumn="0"/>
              <w:rPr>
                <w:rFonts w:cstheme="minorHAnsi"/>
                <w:color w:val="auto"/>
                <w:sz w:val="14"/>
                <w:szCs w:val="14"/>
              </w:rPr>
            </w:pPr>
            <w:r w:rsidRPr="009434AE">
              <w:rPr>
                <w:rFonts w:cstheme="minorHAnsi"/>
                <w:color w:val="auto"/>
                <w:sz w:val="14"/>
                <w:szCs w:val="14"/>
              </w:rPr>
              <w:t>SA</w:t>
            </w:r>
          </w:p>
        </w:tc>
        <w:tc>
          <w:tcPr>
            <w:tcW w:w="523" w:type="pct"/>
          </w:tcPr>
          <w:p w14:paraId="13B725D1" w14:textId="2EC9C964" w:rsidR="00431518" w:rsidRPr="009434AE" w:rsidRDefault="008C2D29" w:rsidP="009434AE">
            <w:pPr>
              <w:spacing w:before="0" w:after="0"/>
              <w:cnfStyle w:val="100000000000" w:firstRow="1" w:lastRow="0" w:firstColumn="0" w:lastColumn="0" w:oddVBand="0" w:evenVBand="0" w:oddHBand="0" w:evenHBand="0" w:firstRowFirstColumn="0" w:firstRowLastColumn="0" w:lastRowFirstColumn="0" w:lastRowLastColumn="0"/>
              <w:rPr>
                <w:rFonts w:cstheme="minorHAnsi"/>
                <w:color w:val="auto"/>
                <w:sz w:val="14"/>
                <w:szCs w:val="14"/>
              </w:rPr>
            </w:pPr>
            <w:r>
              <w:rPr>
                <w:rFonts w:cstheme="minorHAnsi"/>
                <w:color w:val="auto"/>
                <w:sz w:val="14"/>
                <w:szCs w:val="14"/>
              </w:rPr>
              <w:t>Western Australia (</w:t>
            </w:r>
            <w:r w:rsidR="00431518" w:rsidRPr="009434AE">
              <w:rPr>
                <w:rFonts w:cstheme="minorHAnsi"/>
                <w:color w:val="auto"/>
                <w:sz w:val="14"/>
                <w:szCs w:val="14"/>
              </w:rPr>
              <w:t>WA</w:t>
            </w:r>
            <w:r>
              <w:rPr>
                <w:rFonts w:cstheme="minorHAnsi"/>
                <w:color w:val="auto"/>
                <w:sz w:val="14"/>
                <w:szCs w:val="14"/>
              </w:rPr>
              <w:t>)</w:t>
            </w:r>
          </w:p>
        </w:tc>
        <w:tc>
          <w:tcPr>
            <w:tcW w:w="524" w:type="pct"/>
          </w:tcPr>
          <w:p w14:paraId="743283D0" w14:textId="0F1B3366" w:rsidR="00431518" w:rsidRPr="009434AE" w:rsidRDefault="0066534A" w:rsidP="009434AE">
            <w:pPr>
              <w:spacing w:before="0" w:after="0"/>
              <w:cnfStyle w:val="100000000000" w:firstRow="1" w:lastRow="0" w:firstColumn="0" w:lastColumn="0" w:oddVBand="0" w:evenVBand="0" w:oddHBand="0" w:evenHBand="0" w:firstRowFirstColumn="0" w:firstRowLastColumn="0" w:lastRowFirstColumn="0" w:lastRowLastColumn="0"/>
              <w:rPr>
                <w:rFonts w:cstheme="minorHAnsi"/>
                <w:color w:val="auto"/>
                <w:sz w:val="14"/>
                <w:szCs w:val="14"/>
              </w:rPr>
            </w:pPr>
            <w:r>
              <w:rPr>
                <w:rFonts w:cstheme="minorHAnsi"/>
                <w:color w:val="auto"/>
                <w:sz w:val="14"/>
                <w:szCs w:val="14"/>
              </w:rPr>
              <w:t>Australian Capital Territory (</w:t>
            </w:r>
            <w:r w:rsidR="00431518" w:rsidRPr="009434AE">
              <w:rPr>
                <w:rFonts w:cstheme="minorHAnsi"/>
                <w:color w:val="auto"/>
                <w:sz w:val="14"/>
                <w:szCs w:val="14"/>
              </w:rPr>
              <w:t>ACT</w:t>
            </w:r>
            <w:r>
              <w:rPr>
                <w:rFonts w:cstheme="minorHAnsi"/>
                <w:color w:val="auto"/>
                <w:sz w:val="14"/>
                <w:szCs w:val="14"/>
              </w:rPr>
              <w:t>)</w:t>
            </w:r>
          </w:p>
        </w:tc>
        <w:tc>
          <w:tcPr>
            <w:tcW w:w="523" w:type="pct"/>
          </w:tcPr>
          <w:p w14:paraId="50F7A7F1" w14:textId="46D47B40" w:rsidR="00431518" w:rsidRPr="009434AE" w:rsidRDefault="000348E6" w:rsidP="009434AE">
            <w:pPr>
              <w:spacing w:before="0" w:after="0"/>
              <w:cnfStyle w:val="100000000000" w:firstRow="1" w:lastRow="0" w:firstColumn="0" w:lastColumn="0" w:oddVBand="0" w:evenVBand="0" w:oddHBand="0" w:evenHBand="0" w:firstRowFirstColumn="0" w:firstRowLastColumn="0" w:lastRowFirstColumn="0" w:lastRowLastColumn="0"/>
              <w:rPr>
                <w:rFonts w:cstheme="minorHAnsi"/>
                <w:color w:val="auto"/>
                <w:sz w:val="14"/>
                <w:szCs w:val="14"/>
              </w:rPr>
            </w:pPr>
            <w:r>
              <w:rPr>
                <w:rFonts w:cstheme="minorHAnsi"/>
                <w:color w:val="auto"/>
                <w:sz w:val="14"/>
                <w:szCs w:val="14"/>
              </w:rPr>
              <w:t>Northern Territory (</w:t>
            </w:r>
            <w:r w:rsidR="00431518" w:rsidRPr="009434AE">
              <w:rPr>
                <w:rFonts w:cstheme="minorHAnsi"/>
                <w:color w:val="auto"/>
                <w:sz w:val="14"/>
                <w:szCs w:val="14"/>
              </w:rPr>
              <w:t>NT</w:t>
            </w:r>
            <w:r>
              <w:rPr>
                <w:rFonts w:cstheme="minorHAnsi"/>
                <w:color w:val="auto"/>
                <w:sz w:val="14"/>
                <w:szCs w:val="14"/>
              </w:rPr>
              <w:t>)</w:t>
            </w:r>
          </w:p>
        </w:tc>
        <w:tc>
          <w:tcPr>
            <w:tcW w:w="524" w:type="pct"/>
          </w:tcPr>
          <w:p w14:paraId="47F29940" w14:textId="77777777" w:rsidR="00431518" w:rsidRPr="009434AE" w:rsidRDefault="00431518" w:rsidP="009434AE">
            <w:pPr>
              <w:spacing w:before="0" w:after="0"/>
              <w:cnfStyle w:val="100000000000" w:firstRow="1" w:lastRow="0" w:firstColumn="0" w:lastColumn="0" w:oddVBand="0" w:evenVBand="0" w:oddHBand="0" w:evenHBand="0" w:firstRowFirstColumn="0" w:firstRowLastColumn="0" w:lastRowFirstColumn="0" w:lastRowLastColumn="0"/>
              <w:rPr>
                <w:rFonts w:cstheme="minorHAnsi"/>
                <w:color w:val="auto"/>
                <w:sz w:val="14"/>
                <w:szCs w:val="14"/>
              </w:rPr>
            </w:pPr>
            <w:r w:rsidRPr="009434AE">
              <w:rPr>
                <w:rFonts w:cstheme="minorHAnsi"/>
                <w:color w:val="auto"/>
                <w:sz w:val="14"/>
                <w:szCs w:val="14"/>
              </w:rPr>
              <w:t>Tas</w:t>
            </w:r>
          </w:p>
        </w:tc>
      </w:tr>
      <w:tr w:rsidR="006250DE" w:rsidRPr="009434AE" w14:paraId="1108D110" w14:textId="77777777" w:rsidTr="009434AE">
        <w:tc>
          <w:tcPr>
            <w:cnfStyle w:val="001000000000" w:firstRow="0" w:lastRow="0" w:firstColumn="1" w:lastColumn="0" w:oddVBand="0" w:evenVBand="0" w:oddHBand="0" w:evenHBand="0" w:firstRowFirstColumn="0" w:firstRowLastColumn="0" w:lastRowFirstColumn="0" w:lastRowLastColumn="0"/>
            <w:tcW w:w="437" w:type="pct"/>
          </w:tcPr>
          <w:p w14:paraId="04476ABC" w14:textId="77777777" w:rsidR="00431518" w:rsidRPr="009434AE" w:rsidRDefault="00431518" w:rsidP="009434AE">
            <w:pPr>
              <w:spacing w:before="0" w:after="0"/>
              <w:rPr>
                <w:rFonts w:cstheme="minorHAnsi"/>
                <w:b w:val="0"/>
                <w:bCs/>
                <w:color w:val="auto"/>
                <w:sz w:val="14"/>
                <w:szCs w:val="14"/>
              </w:rPr>
            </w:pPr>
            <w:r w:rsidRPr="009434AE">
              <w:rPr>
                <w:rFonts w:cstheme="minorHAnsi"/>
                <w:bCs/>
                <w:color w:val="auto"/>
                <w:sz w:val="14"/>
                <w:szCs w:val="14"/>
              </w:rPr>
              <w:t>Scheme or program name</w:t>
            </w:r>
          </w:p>
        </w:tc>
        <w:tc>
          <w:tcPr>
            <w:tcW w:w="375" w:type="pct"/>
          </w:tcPr>
          <w:p w14:paraId="42D64ED1"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9434AE">
              <w:rPr>
                <w:rFonts w:cstheme="minorHAnsi"/>
                <w:b/>
                <w:bCs/>
                <w:sz w:val="14"/>
                <w:szCs w:val="14"/>
              </w:rPr>
              <w:t>The formal title under which the initiative operates</w:t>
            </w:r>
          </w:p>
        </w:tc>
        <w:tc>
          <w:tcPr>
            <w:tcW w:w="523" w:type="pct"/>
          </w:tcPr>
          <w:p w14:paraId="329A7B52" w14:textId="3B397A5A"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9434AE">
              <w:rPr>
                <w:rFonts w:cstheme="minorHAnsi"/>
                <w:b/>
                <w:bCs/>
                <w:sz w:val="14"/>
                <w:szCs w:val="14"/>
              </w:rPr>
              <w:t>The Victorian Aids and Equipment Program - State</w:t>
            </w:r>
            <w:r w:rsidR="008A25D6">
              <w:rPr>
                <w:rFonts w:cstheme="minorHAnsi"/>
                <w:b/>
                <w:bCs/>
                <w:sz w:val="14"/>
                <w:szCs w:val="14"/>
              </w:rPr>
              <w:t>wide</w:t>
            </w:r>
            <w:r w:rsidRPr="009434AE">
              <w:rPr>
                <w:rFonts w:cstheme="minorHAnsi"/>
                <w:b/>
                <w:bCs/>
                <w:sz w:val="14"/>
                <w:szCs w:val="14"/>
              </w:rPr>
              <w:t xml:space="preserve"> Equipment Program (SWEP) - Continence Aids (CA)</w:t>
            </w:r>
          </w:p>
        </w:tc>
        <w:tc>
          <w:tcPr>
            <w:tcW w:w="524" w:type="pct"/>
          </w:tcPr>
          <w:p w14:paraId="6B79D8FF"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proofErr w:type="spellStart"/>
            <w:r w:rsidRPr="009434AE">
              <w:rPr>
                <w:rFonts w:cstheme="minorHAnsi"/>
                <w:b/>
                <w:bCs/>
                <w:sz w:val="14"/>
                <w:szCs w:val="14"/>
              </w:rPr>
              <w:t>EnableNSW</w:t>
            </w:r>
            <w:proofErr w:type="spellEnd"/>
          </w:p>
        </w:tc>
        <w:tc>
          <w:tcPr>
            <w:tcW w:w="523" w:type="pct"/>
          </w:tcPr>
          <w:p w14:paraId="3C86912B"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9434AE">
              <w:rPr>
                <w:rFonts w:cstheme="minorHAnsi"/>
                <w:b/>
                <w:bCs/>
                <w:sz w:val="14"/>
                <w:szCs w:val="14"/>
              </w:rPr>
              <w:t>Queensland Heat Moisture Exchange Subsidy Scheme for Laryngectomy (QHSSL) Medical Aids Subsidy Scheme</w:t>
            </w:r>
          </w:p>
        </w:tc>
        <w:tc>
          <w:tcPr>
            <w:tcW w:w="524" w:type="pct"/>
          </w:tcPr>
          <w:p w14:paraId="117BF312" w14:textId="2404C7A8"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9434AE">
              <w:rPr>
                <w:rFonts w:cstheme="minorHAnsi"/>
                <w:b/>
                <w:bCs/>
                <w:sz w:val="14"/>
                <w:szCs w:val="14"/>
              </w:rPr>
              <w:t>D</w:t>
            </w:r>
            <w:r w:rsidR="004B60AF">
              <w:rPr>
                <w:rFonts w:cstheme="minorHAnsi"/>
                <w:b/>
                <w:bCs/>
                <w:sz w:val="14"/>
                <w:szCs w:val="14"/>
              </w:rPr>
              <w:t>HS</w:t>
            </w:r>
            <w:r w:rsidRPr="009434AE">
              <w:rPr>
                <w:rFonts w:cstheme="minorHAnsi"/>
                <w:b/>
                <w:bCs/>
                <w:sz w:val="14"/>
                <w:szCs w:val="14"/>
              </w:rPr>
              <w:t xml:space="preserve"> Equipment Program (SA)</w:t>
            </w:r>
          </w:p>
        </w:tc>
        <w:tc>
          <w:tcPr>
            <w:tcW w:w="523" w:type="pct"/>
          </w:tcPr>
          <w:p w14:paraId="5B28A1D9" w14:textId="5B08B32C"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9434AE">
              <w:rPr>
                <w:rFonts w:cstheme="minorHAnsi"/>
                <w:b/>
                <w:bCs/>
                <w:sz w:val="14"/>
                <w:szCs w:val="14"/>
              </w:rPr>
              <w:t>C</w:t>
            </w:r>
            <w:r w:rsidR="00CF6B83">
              <w:rPr>
                <w:rFonts w:cstheme="minorHAnsi"/>
                <w:b/>
                <w:bCs/>
                <w:sz w:val="14"/>
                <w:szCs w:val="14"/>
              </w:rPr>
              <w:t>ommunity Aids and Equipment Program (CAEP)</w:t>
            </w:r>
          </w:p>
        </w:tc>
        <w:tc>
          <w:tcPr>
            <w:tcW w:w="524" w:type="pct"/>
          </w:tcPr>
          <w:p w14:paraId="40D5F765"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9434AE">
              <w:rPr>
                <w:rFonts w:cstheme="minorHAnsi"/>
                <w:b/>
                <w:bCs/>
                <w:sz w:val="14"/>
                <w:szCs w:val="14"/>
              </w:rPr>
              <w:t>ACT Equipment Scheme (ACTES)</w:t>
            </w:r>
          </w:p>
        </w:tc>
        <w:tc>
          <w:tcPr>
            <w:tcW w:w="523" w:type="pct"/>
          </w:tcPr>
          <w:p w14:paraId="6B80B74E"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r w:rsidRPr="009434AE">
              <w:rPr>
                <w:rFonts w:cstheme="minorHAnsi"/>
                <w:b/>
                <w:bCs/>
                <w:sz w:val="14"/>
                <w:szCs w:val="14"/>
              </w:rPr>
              <w:t>Territory Equipment Program (TEP)</w:t>
            </w:r>
          </w:p>
        </w:tc>
        <w:tc>
          <w:tcPr>
            <w:tcW w:w="524" w:type="pct"/>
          </w:tcPr>
          <w:p w14:paraId="44050E77"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b/>
                <w:bCs/>
                <w:sz w:val="14"/>
                <w:szCs w:val="14"/>
              </w:rPr>
            </w:pPr>
            <w:proofErr w:type="spellStart"/>
            <w:r w:rsidRPr="009434AE">
              <w:rPr>
                <w:rFonts w:cstheme="minorHAnsi"/>
                <w:b/>
                <w:bCs/>
                <w:sz w:val="14"/>
                <w:szCs w:val="14"/>
              </w:rPr>
              <w:t>TasEquip</w:t>
            </w:r>
            <w:proofErr w:type="spellEnd"/>
          </w:p>
        </w:tc>
      </w:tr>
      <w:tr w:rsidR="006250DE" w:rsidRPr="009434AE" w14:paraId="4D131775" w14:textId="77777777" w:rsidTr="0094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Pr>
          <w:p w14:paraId="1A490085" w14:textId="77777777" w:rsidR="00431518" w:rsidRPr="009434AE" w:rsidRDefault="00431518" w:rsidP="009434AE">
            <w:pPr>
              <w:spacing w:before="0" w:after="0"/>
              <w:rPr>
                <w:rFonts w:cstheme="minorHAnsi"/>
                <w:b w:val="0"/>
                <w:bCs/>
                <w:color w:val="auto"/>
                <w:sz w:val="14"/>
                <w:szCs w:val="14"/>
              </w:rPr>
            </w:pPr>
            <w:r w:rsidRPr="009434AE">
              <w:rPr>
                <w:rFonts w:cstheme="minorHAnsi"/>
                <w:bCs/>
                <w:color w:val="auto"/>
                <w:sz w:val="14"/>
                <w:szCs w:val="14"/>
              </w:rPr>
              <w:t>Overview</w:t>
            </w:r>
          </w:p>
        </w:tc>
        <w:tc>
          <w:tcPr>
            <w:tcW w:w="375" w:type="pct"/>
          </w:tcPr>
          <w:p w14:paraId="7DA5C082"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 brief outline that provides a snapshot of the scheme.</w:t>
            </w:r>
          </w:p>
        </w:tc>
        <w:tc>
          <w:tcPr>
            <w:tcW w:w="523" w:type="pct"/>
          </w:tcPr>
          <w:p w14:paraId="5AD74565"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The Victorian Aids and Equipment Program provides subsidised aids and equipment, </w:t>
            </w:r>
            <w:proofErr w:type="gramStart"/>
            <w:r w:rsidRPr="009434AE">
              <w:rPr>
                <w:rFonts w:cstheme="minorHAnsi"/>
                <w:sz w:val="14"/>
                <w:szCs w:val="14"/>
              </w:rPr>
              <w:t>home</w:t>
            </w:r>
            <w:proofErr w:type="gramEnd"/>
            <w:r w:rsidRPr="009434AE">
              <w:rPr>
                <w:rFonts w:cstheme="minorHAnsi"/>
                <w:sz w:val="14"/>
                <w:szCs w:val="14"/>
              </w:rPr>
              <w:t xml:space="preserve"> and vehicle modifications to help people live safely and independently in their own home. Re-issued items of equipment are also available at no cost to the eligible person.</w:t>
            </w:r>
          </w:p>
        </w:tc>
        <w:tc>
          <w:tcPr>
            <w:tcW w:w="524" w:type="pct"/>
          </w:tcPr>
          <w:p w14:paraId="0F8E0B70"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roofErr w:type="spellStart"/>
            <w:r w:rsidRPr="009434AE">
              <w:rPr>
                <w:rFonts w:cstheme="minorHAnsi"/>
                <w:sz w:val="14"/>
                <w:szCs w:val="14"/>
              </w:rPr>
              <w:t>EnableNSW</w:t>
            </w:r>
            <w:proofErr w:type="spellEnd"/>
            <w:r w:rsidRPr="009434AE">
              <w:rPr>
                <w:rFonts w:cstheme="minorHAnsi"/>
                <w:sz w:val="14"/>
                <w:szCs w:val="14"/>
              </w:rPr>
              <w:t xml:space="preserve"> provides assistive technology and related services to people in NSW with specific, short term or ongoing health needs to assist them to live safely at home.</w:t>
            </w:r>
          </w:p>
        </w:tc>
        <w:tc>
          <w:tcPr>
            <w:tcW w:w="523" w:type="pct"/>
          </w:tcPr>
          <w:p w14:paraId="57596FB3" w14:textId="02BD2D7E"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QHSSL provides people who have undergone laryngectomy surgery with subsidised access to </w:t>
            </w:r>
            <w:r w:rsidR="007B08D1">
              <w:rPr>
                <w:rFonts w:cstheme="minorHAnsi"/>
                <w:sz w:val="14"/>
                <w:szCs w:val="14"/>
              </w:rPr>
              <w:t>Heat and Moisture Exchange (</w:t>
            </w:r>
            <w:r w:rsidRPr="009434AE">
              <w:rPr>
                <w:rFonts w:cstheme="minorHAnsi"/>
                <w:sz w:val="14"/>
                <w:szCs w:val="14"/>
              </w:rPr>
              <w:t>HME</w:t>
            </w:r>
            <w:r w:rsidR="007B08D1">
              <w:rPr>
                <w:rFonts w:cstheme="minorHAnsi"/>
                <w:sz w:val="14"/>
                <w:szCs w:val="14"/>
              </w:rPr>
              <w:t>)</w:t>
            </w:r>
            <w:r w:rsidRPr="009434AE">
              <w:rPr>
                <w:rFonts w:cstheme="minorHAnsi"/>
                <w:sz w:val="14"/>
                <w:szCs w:val="14"/>
              </w:rPr>
              <w:t xml:space="preserve"> consumable devices to enhance pulmonary and respiratory function, voicing and quality of life. All eligible applicants to the scheme will be assessed through an equitable process based on clinical need.</w:t>
            </w:r>
          </w:p>
        </w:tc>
        <w:tc>
          <w:tcPr>
            <w:tcW w:w="524" w:type="pct"/>
          </w:tcPr>
          <w:p w14:paraId="1D1EFFB8"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The DHS Equipment Program funds South Australians who are otherwise ineligible for mobility and support equipment and home modifications, through Commonwealth options (like the NDIS). These are sourced from preferred suppliers.</w:t>
            </w:r>
          </w:p>
        </w:tc>
        <w:tc>
          <w:tcPr>
            <w:tcW w:w="523" w:type="pct"/>
          </w:tcPr>
          <w:p w14:paraId="4944F994" w14:textId="4A4B224D"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The C</w:t>
            </w:r>
            <w:r w:rsidR="00CF6B83">
              <w:rPr>
                <w:rFonts w:cstheme="minorHAnsi"/>
                <w:sz w:val="14"/>
                <w:szCs w:val="14"/>
              </w:rPr>
              <w:t>AEP</w:t>
            </w:r>
            <w:r w:rsidRPr="009434AE">
              <w:rPr>
                <w:rFonts w:cstheme="minorHAnsi"/>
                <w:sz w:val="14"/>
                <w:szCs w:val="14"/>
              </w:rPr>
              <w:t xml:space="preserve"> provides an equitable and accessible scheme for the provision of equipment and home modifications to benefit people with long</w:t>
            </w:r>
            <w:r w:rsidR="0062288C">
              <w:rPr>
                <w:rFonts w:cstheme="minorHAnsi"/>
                <w:sz w:val="14"/>
                <w:szCs w:val="14"/>
              </w:rPr>
              <w:t>-</w:t>
            </w:r>
            <w:r w:rsidRPr="009434AE">
              <w:rPr>
                <w:rFonts w:cstheme="minorHAnsi"/>
                <w:sz w:val="14"/>
                <w:szCs w:val="14"/>
              </w:rPr>
              <w:t xml:space="preserve">term health, disability or </w:t>
            </w:r>
            <w:proofErr w:type="gramStart"/>
            <w:r w:rsidRPr="009434AE">
              <w:rPr>
                <w:rFonts w:cstheme="minorHAnsi"/>
                <w:sz w:val="14"/>
                <w:szCs w:val="14"/>
              </w:rPr>
              <w:t>age</w:t>
            </w:r>
            <w:r w:rsidR="003C5D6E">
              <w:rPr>
                <w:rFonts w:cstheme="minorHAnsi"/>
                <w:sz w:val="14"/>
                <w:szCs w:val="14"/>
              </w:rPr>
              <w:t xml:space="preserve"> </w:t>
            </w:r>
            <w:r w:rsidRPr="009434AE">
              <w:rPr>
                <w:rFonts w:cstheme="minorHAnsi"/>
                <w:sz w:val="14"/>
                <w:szCs w:val="14"/>
              </w:rPr>
              <w:t>related</w:t>
            </w:r>
            <w:proofErr w:type="gramEnd"/>
            <w:r w:rsidRPr="009434AE">
              <w:rPr>
                <w:rFonts w:cstheme="minorHAnsi"/>
                <w:sz w:val="14"/>
                <w:szCs w:val="14"/>
              </w:rPr>
              <w:t xml:space="preserve"> functional impairment living at home.</w:t>
            </w:r>
          </w:p>
        </w:tc>
        <w:tc>
          <w:tcPr>
            <w:tcW w:w="524" w:type="pct"/>
          </w:tcPr>
          <w:p w14:paraId="76278465"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The ACTES provide equipment, </w:t>
            </w:r>
            <w:proofErr w:type="gramStart"/>
            <w:r w:rsidRPr="009434AE">
              <w:rPr>
                <w:rFonts w:cstheme="minorHAnsi"/>
                <w:sz w:val="14"/>
                <w:szCs w:val="14"/>
              </w:rPr>
              <w:t>aids</w:t>
            </w:r>
            <w:proofErr w:type="gramEnd"/>
            <w:r w:rsidRPr="009434AE">
              <w:rPr>
                <w:rFonts w:cstheme="minorHAnsi"/>
                <w:sz w:val="14"/>
                <w:szCs w:val="14"/>
              </w:rPr>
              <w:t xml:space="preserve"> and appliances to eligible people in the ACT who have a life-long or long-term disability.</w:t>
            </w:r>
          </w:p>
        </w:tc>
        <w:tc>
          <w:tcPr>
            <w:tcW w:w="523" w:type="pct"/>
          </w:tcPr>
          <w:p w14:paraId="650F0A87" w14:textId="38A8AE3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The T</w:t>
            </w:r>
            <w:r w:rsidR="00600650">
              <w:rPr>
                <w:rFonts w:cstheme="minorHAnsi"/>
                <w:sz w:val="14"/>
                <w:szCs w:val="14"/>
              </w:rPr>
              <w:t>EP</w:t>
            </w:r>
            <w:r w:rsidRPr="009434AE">
              <w:rPr>
                <w:rFonts w:cstheme="minorHAnsi"/>
                <w:sz w:val="14"/>
                <w:szCs w:val="14"/>
              </w:rPr>
              <w:t>, provides community equipment and aids to children and adults who live in the community and have a functional impairment that requires prescribed equipment, aids and appliances that assist in maintaining and improving their capacity to live and participate in everyday activities.</w:t>
            </w:r>
          </w:p>
        </w:tc>
        <w:tc>
          <w:tcPr>
            <w:tcW w:w="524" w:type="pct"/>
          </w:tcPr>
          <w:p w14:paraId="0D13D65B"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roofErr w:type="spellStart"/>
            <w:r w:rsidRPr="009434AE">
              <w:rPr>
                <w:rFonts w:cstheme="minorHAnsi"/>
                <w:sz w:val="14"/>
                <w:szCs w:val="14"/>
              </w:rPr>
              <w:t>TasEquip</w:t>
            </w:r>
            <w:proofErr w:type="spellEnd"/>
            <w:r w:rsidRPr="009434AE">
              <w:rPr>
                <w:rFonts w:cstheme="minorHAnsi"/>
                <w:sz w:val="14"/>
                <w:szCs w:val="14"/>
              </w:rPr>
              <w:t xml:space="preserve"> provide a range of assistive technology to eligible Tasmanians to improve their ability to safely engage in basic, everyday tasks, to transition home from acute care or to access mandated education settings.</w:t>
            </w:r>
          </w:p>
        </w:tc>
      </w:tr>
      <w:tr w:rsidR="006250DE" w:rsidRPr="009434AE" w14:paraId="581F384A" w14:textId="77777777" w:rsidTr="009434AE">
        <w:tc>
          <w:tcPr>
            <w:cnfStyle w:val="001000000000" w:firstRow="0" w:lastRow="0" w:firstColumn="1" w:lastColumn="0" w:oddVBand="0" w:evenVBand="0" w:oddHBand="0" w:evenHBand="0" w:firstRowFirstColumn="0" w:firstRowLastColumn="0" w:lastRowFirstColumn="0" w:lastRowLastColumn="0"/>
            <w:tcW w:w="437" w:type="pct"/>
          </w:tcPr>
          <w:p w14:paraId="7077B865" w14:textId="77777777" w:rsidR="00431518" w:rsidRPr="009434AE" w:rsidRDefault="00431518" w:rsidP="009434AE">
            <w:pPr>
              <w:spacing w:before="0" w:after="0"/>
              <w:rPr>
                <w:rFonts w:cstheme="minorHAnsi"/>
                <w:b w:val="0"/>
                <w:bCs/>
                <w:color w:val="auto"/>
                <w:sz w:val="14"/>
                <w:szCs w:val="14"/>
              </w:rPr>
            </w:pPr>
            <w:r w:rsidRPr="009434AE">
              <w:rPr>
                <w:rFonts w:cstheme="minorHAnsi"/>
                <w:bCs/>
                <w:color w:val="auto"/>
                <w:sz w:val="14"/>
                <w:szCs w:val="14"/>
              </w:rPr>
              <w:t>Approx funding</w:t>
            </w:r>
          </w:p>
        </w:tc>
        <w:tc>
          <w:tcPr>
            <w:tcW w:w="375" w:type="pct"/>
          </w:tcPr>
          <w:p w14:paraId="3BE9F32D"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23" w:type="pct"/>
          </w:tcPr>
          <w:p w14:paraId="1922E230"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A maximum subsidy level of up to $1200 applies over a twelve-month period to eligible consumers.</w:t>
            </w:r>
          </w:p>
        </w:tc>
        <w:tc>
          <w:tcPr>
            <w:tcW w:w="524" w:type="pct"/>
          </w:tcPr>
          <w:p w14:paraId="6A4C00EF"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proofErr w:type="spellStart"/>
            <w:r w:rsidRPr="009434AE">
              <w:rPr>
                <w:rFonts w:cstheme="minorHAnsi"/>
                <w:sz w:val="14"/>
                <w:szCs w:val="14"/>
              </w:rPr>
              <w:t>EnableNSW</w:t>
            </w:r>
            <w:proofErr w:type="spellEnd"/>
            <w:r w:rsidRPr="009434AE">
              <w:rPr>
                <w:rFonts w:cstheme="minorHAnsi"/>
                <w:sz w:val="14"/>
                <w:szCs w:val="14"/>
              </w:rPr>
              <w:t xml:space="preserve"> has funding criteria for each equipment category, which have been developed in consultation with expert clinicians and are designed to specify when </w:t>
            </w:r>
            <w:r w:rsidRPr="009434AE">
              <w:rPr>
                <w:rFonts w:cstheme="minorHAnsi"/>
                <w:sz w:val="14"/>
                <w:szCs w:val="14"/>
              </w:rPr>
              <w:lastRenderedPageBreak/>
              <w:t xml:space="preserve">equipment will be funded by </w:t>
            </w:r>
            <w:proofErr w:type="spellStart"/>
            <w:r w:rsidRPr="009434AE">
              <w:rPr>
                <w:rFonts w:cstheme="minorHAnsi"/>
                <w:sz w:val="14"/>
                <w:szCs w:val="14"/>
              </w:rPr>
              <w:t>EnableNSW</w:t>
            </w:r>
            <w:proofErr w:type="spellEnd"/>
            <w:r w:rsidRPr="009434AE">
              <w:rPr>
                <w:rFonts w:cstheme="minorHAnsi"/>
                <w:sz w:val="14"/>
                <w:szCs w:val="14"/>
              </w:rPr>
              <w:t xml:space="preserve"> for each category of assistive technology (AT).</w:t>
            </w:r>
          </w:p>
        </w:tc>
        <w:tc>
          <w:tcPr>
            <w:tcW w:w="523" w:type="pct"/>
          </w:tcPr>
          <w:p w14:paraId="00CCC531" w14:textId="6A6A3910"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lastRenderedPageBreak/>
              <w:t xml:space="preserve">Approved applicants are eligible for approved respiratory/HME consumables per applicant per year (12 months), commencing from when the first </w:t>
            </w:r>
            <w:r w:rsidRPr="009434AE">
              <w:rPr>
                <w:rFonts w:cstheme="minorHAnsi"/>
                <w:sz w:val="14"/>
                <w:szCs w:val="14"/>
              </w:rPr>
              <w:lastRenderedPageBreak/>
              <w:t>application for that year is lodged with M</w:t>
            </w:r>
            <w:r w:rsidR="00EF36DF">
              <w:rPr>
                <w:rFonts w:cstheme="minorHAnsi"/>
                <w:sz w:val="14"/>
                <w:szCs w:val="14"/>
              </w:rPr>
              <w:t>edical Aids Subsidy Scheme (</w:t>
            </w:r>
            <w:r w:rsidR="00644311">
              <w:rPr>
                <w:rFonts w:cstheme="minorHAnsi"/>
                <w:sz w:val="14"/>
                <w:szCs w:val="14"/>
              </w:rPr>
              <w:t>MASS).</w:t>
            </w:r>
          </w:p>
        </w:tc>
        <w:tc>
          <w:tcPr>
            <w:tcW w:w="524" w:type="pct"/>
          </w:tcPr>
          <w:p w14:paraId="4AB59FA6"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lastRenderedPageBreak/>
              <w:t>Funding or subsidy amount not specified.</w:t>
            </w:r>
          </w:p>
        </w:tc>
        <w:tc>
          <w:tcPr>
            <w:tcW w:w="523" w:type="pct"/>
          </w:tcPr>
          <w:p w14:paraId="34BA7BA6"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Funding or subsidy amount not specified.</w:t>
            </w:r>
          </w:p>
        </w:tc>
        <w:tc>
          <w:tcPr>
            <w:tcW w:w="524" w:type="pct"/>
          </w:tcPr>
          <w:p w14:paraId="71265429"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Funding or subsidy amount not specified.</w:t>
            </w:r>
          </w:p>
        </w:tc>
        <w:tc>
          <w:tcPr>
            <w:tcW w:w="523" w:type="pct"/>
          </w:tcPr>
          <w:p w14:paraId="6677A653"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Funding or subsidy amount not specified.</w:t>
            </w:r>
          </w:p>
        </w:tc>
        <w:tc>
          <w:tcPr>
            <w:tcW w:w="524" w:type="pct"/>
          </w:tcPr>
          <w:p w14:paraId="17349AB1"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Funding or subsidy amount not specified.</w:t>
            </w:r>
          </w:p>
        </w:tc>
      </w:tr>
      <w:tr w:rsidR="006250DE" w:rsidRPr="009434AE" w14:paraId="5A1415AB" w14:textId="77777777" w:rsidTr="0094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Pr>
          <w:p w14:paraId="40BF4D5E" w14:textId="77777777" w:rsidR="00431518" w:rsidRPr="009434AE" w:rsidRDefault="00431518" w:rsidP="009434AE">
            <w:pPr>
              <w:spacing w:before="0" w:after="0"/>
              <w:rPr>
                <w:rFonts w:cstheme="minorHAnsi"/>
                <w:b w:val="0"/>
                <w:bCs/>
                <w:color w:val="auto"/>
                <w:sz w:val="14"/>
                <w:szCs w:val="14"/>
              </w:rPr>
            </w:pPr>
            <w:r w:rsidRPr="009434AE">
              <w:rPr>
                <w:rFonts w:cstheme="minorHAnsi"/>
                <w:bCs/>
                <w:color w:val="auto"/>
                <w:sz w:val="14"/>
                <w:szCs w:val="14"/>
              </w:rPr>
              <w:t>Eligibility</w:t>
            </w:r>
          </w:p>
        </w:tc>
        <w:tc>
          <w:tcPr>
            <w:tcW w:w="375" w:type="pct"/>
          </w:tcPr>
          <w:p w14:paraId="0607EADD"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The conditions that an individual must meet to qualify for the scheme.</w:t>
            </w:r>
          </w:p>
        </w:tc>
        <w:tc>
          <w:tcPr>
            <w:tcW w:w="523" w:type="pct"/>
          </w:tcPr>
          <w:p w14:paraId="78C9E059"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People with a disability who do not meet NDIS eligibility due to age, residency status or functional impairment level can apply.</w:t>
            </w:r>
          </w:p>
          <w:p w14:paraId="73B09BC8"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CA eligible for funding if:</w:t>
            </w:r>
          </w:p>
          <w:p w14:paraId="595545C2"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Are a permanent Victorian Resident or hold a temporary or permanent protection Visa or are an asylum </w:t>
            </w:r>
            <w:proofErr w:type="gramStart"/>
            <w:r w:rsidRPr="009434AE">
              <w:rPr>
                <w:rFonts w:cstheme="minorHAnsi"/>
                <w:sz w:val="14"/>
                <w:szCs w:val="14"/>
              </w:rPr>
              <w:t>seeker</w:t>
            </w:r>
            <w:proofErr w:type="gramEnd"/>
          </w:p>
          <w:p w14:paraId="3762184A" w14:textId="63D0074A"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Have a long</w:t>
            </w:r>
            <w:r w:rsidR="0062288C">
              <w:rPr>
                <w:rFonts w:cstheme="minorHAnsi"/>
                <w:sz w:val="14"/>
                <w:szCs w:val="14"/>
              </w:rPr>
              <w:t>-</w:t>
            </w:r>
            <w:r w:rsidRPr="009434AE">
              <w:rPr>
                <w:rFonts w:cstheme="minorHAnsi"/>
                <w:sz w:val="14"/>
                <w:szCs w:val="14"/>
              </w:rPr>
              <w:t xml:space="preserve">term disability and/or are frail </w:t>
            </w:r>
            <w:proofErr w:type="gramStart"/>
            <w:r w:rsidRPr="009434AE">
              <w:rPr>
                <w:rFonts w:cstheme="minorHAnsi"/>
                <w:sz w:val="14"/>
                <w:szCs w:val="14"/>
              </w:rPr>
              <w:t>aged</w:t>
            </w:r>
            <w:proofErr w:type="gramEnd"/>
          </w:p>
          <w:p w14:paraId="494AAF8A"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Are not an in-patient of a public or private hospital or permanent residential care </w:t>
            </w:r>
            <w:proofErr w:type="gramStart"/>
            <w:r w:rsidRPr="009434AE">
              <w:rPr>
                <w:rFonts w:cstheme="minorHAnsi"/>
                <w:sz w:val="14"/>
                <w:szCs w:val="14"/>
              </w:rPr>
              <w:t>facility</w:t>
            </w:r>
            <w:proofErr w:type="gramEnd"/>
          </w:p>
          <w:p w14:paraId="513D271C"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Cannot claim continence items through </w:t>
            </w:r>
            <w:r w:rsidRPr="009434AE">
              <w:rPr>
                <w:rFonts w:cstheme="minorHAnsi"/>
                <w:sz w:val="14"/>
                <w:szCs w:val="14"/>
              </w:rPr>
              <w:lastRenderedPageBreak/>
              <w:t xml:space="preserve">private health insurance </w:t>
            </w:r>
            <w:proofErr w:type="gramStart"/>
            <w:r w:rsidRPr="009434AE">
              <w:rPr>
                <w:rFonts w:cstheme="minorHAnsi"/>
                <w:sz w:val="14"/>
                <w:szCs w:val="14"/>
              </w:rPr>
              <w:t>policy</w:t>
            </w:r>
            <w:proofErr w:type="gramEnd"/>
          </w:p>
          <w:p w14:paraId="32123F2E"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Have not been released from hospital or an extended care centre within 30 days, where continence items required is related to the hospital admission</w:t>
            </w:r>
          </w:p>
        </w:tc>
        <w:tc>
          <w:tcPr>
            <w:tcW w:w="524" w:type="pct"/>
          </w:tcPr>
          <w:p w14:paraId="010E91AB" w14:textId="45CFAF1C"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lastRenderedPageBreak/>
              <w:t xml:space="preserve">A person is eligible for </w:t>
            </w:r>
            <w:proofErr w:type="spellStart"/>
            <w:r w:rsidRPr="009434AE">
              <w:rPr>
                <w:rFonts w:cstheme="minorHAnsi"/>
                <w:sz w:val="14"/>
                <w:szCs w:val="14"/>
              </w:rPr>
              <w:t>EnableNSW</w:t>
            </w:r>
            <w:proofErr w:type="spellEnd"/>
            <w:r w:rsidRPr="009434AE">
              <w:rPr>
                <w:rFonts w:cstheme="minorHAnsi"/>
                <w:sz w:val="14"/>
                <w:szCs w:val="14"/>
              </w:rPr>
              <w:t xml:space="preserve"> </w:t>
            </w:r>
            <w:r w:rsidR="00023694">
              <w:rPr>
                <w:rFonts w:cstheme="minorHAnsi"/>
                <w:sz w:val="14"/>
                <w:szCs w:val="14"/>
              </w:rPr>
              <w:t>AT</w:t>
            </w:r>
            <w:r w:rsidRPr="009434AE">
              <w:rPr>
                <w:rFonts w:cstheme="minorHAnsi"/>
                <w:sz w:val="14"/>
                <w:szCs w:val="14"/>
              </w:rPr>
              <w:t xml:space="preserve"> programs if:</w:t>
            </w:r>
          </w:p>
          <w:p w14:paraId="26F70B50" w14:textId="7931F491"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they are a resident of NSW or Lord Howe Island, or are an asylum seeker, refugee or</w:t>
            </w:r>
          </w:p>
          <w:p w14:paraId="6E79CCC2" w14:textId="0C80565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humanitarian visa holder residing in NSW or Lord Howe </w:t>
            </w:r>
            <w:proofErr w:type="gramStart"/>
            <w:r w:rsidRPr="009434AE">
              <w:rPr>
                <w:rFonts w:cstheme="minorHAnsi"/>
                <w:sz w:val="14"/>
                <w:szCs w:val="14"/>
              </w:rPr>
              <w:t>Island;</w:t>
            </w:r>
            <w:proofErr w:type="gramEnd"/>
          </w:p>
          <w:p w14:paraId="51B12BDE" w14:textId="327CFE3B"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they are enrolled with </w:t>
            </w:r>
            <w:proofErr w:type="gramStart"/>
            <w:r w:rsidRPr="009434AE">
              <w:rPr>
                <w:rFonts w:cstheme="minorHAnsi"/>
                <w:sz w:val="14"/>
                <w:szCs w:val="14"/>
              </w:rPr>
              <w:t>Medicare</w:t>
            </w:r>
            <w:proofErr w:type="gramEnd"/>
          </w:p>
          <w:p w14:paraId="14ECCFC6" w14:textId="2DCB61F2"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the </w:t>
            </w:r>
            <w:r w:rsidR="00023694">
              <w:rPr>
                <w:rFonts w:cstheme="minorHAnsi"/>
                <w:sz w:val="14"/>
                <w:szCs w:val="14"/>
              </w:rPr>
              <w:t>AT</w:t>
            </w:r>
            <w:r w:rsidRPr="009434AE">
              <w:rPr>
                <w:rFonts w:cstheme="minorHAnsi"/>
                <w:sz w:val="14"/>
                <w:szCs w:val="14"/>
              </w:rPr>
              <w:t xml:space="preserve"> is prescribed to support a health need; and,</w:t>
            </w:r>
          </w:p>
          <w:p w14:paraId="5BEB9686" w14:textId="0031E0E0"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they are not receiving or eligible for </w:t>
            </w:r>
            <w:r w:rsidR="00023694">
              <w:rPr>
                <w:rFonts w:cstheme="minorHAnsi"/>
                <w:sz w:val="14"/>
                <w:szCs w:val="14"/>
              </w:rPr>
              <w:t>AT</w:t>
            </w:r>
            <w:r w:rsidRPr="009434AE">
              <w:rPr>
                <w:rFonts w:cstheme="minorHAnsi"/>
                <w:sz w:val="14"/>
                <w:szCs w:val="14"/>
              </w:rPr>
              <w:t xml:space="preserve"> through a </w:t>
            </w:r>
            <w:proofErr w:type="gramStart"/>
            <w:r w:rsidRPr="009434AE">
              <w:rPr>
                <w:rFonts w:cstheme="minorHAnsi"/>
                <w:sz w:val="14"/>
                <w:szCs w:val="14"/>
              </w:rPr>
              <w:t>third party</w:t>
            </w:r>
            <w:proofErr w:type="gramEnd"/>
            <w:r w:rsidRPr="009434AE">
              <w:rPr>
                <w:rFonts w:cstheme="minorHAnsi"/>
                <w:sz w:val="14"/>
                <w:szCs w:val="14"/>
              </w:rPr>
              <w:t xml:space="preserve"> insurance or</w:t>
            </w:r>
          </w:p>
          <w:p w14:paraId="77FA8A56"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other Commonwealth, </w:t>
            </w:r>
            <w:proofErr w:type="gramStart"/>
            <w:r w:rsidRPr="009434AE">
              <w:rPr>
                <w:rFonts w:cstheme="minorHAnsi"/>
                <w:sz w:val="14"/>
                <w:szCs w:val="14"/>
              </w:rPr>
              <w:t>state</w:t>
            </w:r>
            <w:proofErr w:type="gramEnd"/>
            <w:r w:rsidRPr="009434AE">
              <w:rPr>
                <w:rFonts w:cstheme="minorHAnsi"/>
                <w:sz w:val="14"/>
                <w:szCs w:val="14"/>
              </w:rPr>
              <w:t xml:space="preserve"> or territory government schemes for the </w:t>
            </w:r>
            <w:r w:rsidRPr="009434AE">
              <w:rPr>
                <w:rFonts w:cstheme="minorHAnsi"/>
                <w:sz w:val="14"/>
                <w:szCs w:val="14"/>
              </w:rPr>
              <w:lastRenderedPageBreak/>
              <w:t>identified health need.</w:t>
            </w:r>
          </w:p>
          <w:p w14:paraId="619A0884"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Possible alternative funding sources are:</w:t>
            </w:r>
          </w:p>
          <w:p w14:paraId="6D4592C8" w14:textId="72D898CE"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N</w:t>
            </w:r>
            <w:r w:rsidR="004B60AF">
              <w:rPr>
                <w:rFonts w:cstheme="minorHAnsi"/>
                <w:sz w:val="14"/>
                <w:szCs w:val="14"/>
              </w:rPr>
              <w:t>DIS</w:t>
            </w:r>
          </w:p>
          <w:p w14:paraId="211CF2E7" w14:textId="148C90C6"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Department of Veterans’ Affairs</w:t>
            </w:r>
          </w:p>
          <w:p w14:paraId="6E9F3F4A"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Australian Government aged care services</w:t>
            </w:r>
          </w:p>
          <w:p w14:paraId="6E4BDCA3" w14:textId="12750172"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Compensation or damages for the condition requiring </w:t>
            </w:r>
            <w:r w:rsidR="00023694">
              <w:rPr>
                <w:rFonts w:cstheme="minorHAnsi"/>
                <w:sz w:val="14"/>
                <w:szCs w:val="14"/>
              </w:rPr>
              <w:t>AT</w:t>
            </w:r>
            <w:r w:rsidRPr="009434AE">
              <w:rPr>
                <w:rFonts w:cstheme="minorHAnsi"/>
                <w:sz w:val="14"/>
                <w:szCs w:val="14"/>
              </w:rPr>
              <w:t xml:space="preserve"> (e.g. worker’s compensation).</w:t>
            </w:r>
          </w:p>
        </w:tc>
        <w:tc>
          <w:tcPr>
            <w:tcW w:w="523" w:type="pct"/>
          </w:tcPr>
          <w:p w14:paraId="6F5C42A3"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lastRenderedPageBreak/>
              <w:t>In addition to meeting administrative eligibility and to be clinically eligible for assistance from QHSSL, the applicant must also have:</w:t>
            </w:r>
          </w:p>
          <w:p w14:paraId="417556EF"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Undergone a surgical procedure for laryngectomy; and</w:t>
            </w:r>
          </w:p>
          <w:p w14:paraId="4D94E212"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Completed an appropriate trial of laryngectomy respiratory consumables for a minimum of 4-weeks; or</w:t>
            </w:r>
          </w:p>
          <w:p w14:paraId="63B19ECF"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Provided evidence (e.g. receipts, clinician statement) that the applicant is currently using laryngectomy respiratory consumables; or</w:t>
            </w:r>
          </w:p>
          <w:p w14:paraId="302655F9"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lastRenderedPageBreak/>
              <w:t>Successfully trialled in the last 12 months but not used laryngectomy respiratory consumables due to lack of affordability.</w:t>
            </w:r>
          </w:p>
          <w:p w14:paraId="49BD0514"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Note: The laryngectomy respiratory consumables used during these trials are not funded through QHSSL.</w:t>
            </w:r>
          </w:p>
        </w:tc>
        <w:tc>
          <w:tcPr>
            <w:tcW w:w="524" w:type="pct"/>
          </w:tcPr>
          <w:p w14:paraId="73789F03"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lastRenderedPageBreak/>
              <w:t>There are multiple program streams with different eligibility requirements.</w:t>
            </w:r>
          </w:p>
          <w:p w14:paraId="7579329E"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The Adults with Chronic Conditions funding stream (most relevant to ostomates) is available for:</w:t>
            </w:r>
          </w:p>
          <w:p w14:paraId="4597D368"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Adults aged between 18 and 65 years (50 ATSI)</w:t>
            </w:r>
          </w:p>
          <w:p w14:paraId="6C9607EF"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Living in Metropolitan Adelaide</w:t>
            </w:r>
          </w:p>
          <w:p w14:paraId="52BB3CC8"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Identified as having a chronic medical condition that has been, or is likely to be, present for at least 6 months or is terminal.</w:t>
            </w:r>
          </w:p>
          <w:p w14:paraId="7417A04A"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Is not eligible to receive equipment through an alternate funding </w:t>
            </w:r>
            <w:proofErr w:type="gramStart"/>
            <w:r w:rsidRPr="009434AE">
              <w:rPr>
                <w:rFonts w:cstheme="minorHAnsi"/>
                <w:sz w:val="14"/>
                <w:szCs w:val="14"/>
              </w:rPr>
              <w:t>source</w:t>
            </w:r>
            <w:proofErr w:type="gramEnd"/>
          </w:p>
          <w:p w14:paraId="496D3CB4" w14:textId="77777777" w:rsidR="00431518" w:rsidRPr="009434AE" w:rsidRDefault="00431518" w:rsidP="00E442CB">
            <w:pPr>
              <w:pStyle w:val="ListParagraph"/>
              <w:numPr>
                <w:ilvl w:val="0"/>
                <w:numId w:val="45"/>
              </w:numPr>
              <w:spacing w:before="0" w:after="0"/>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lastRenderedPageBreak/>
              <w:t>Meets Program Key Criteria.</w:t>
            </w:r>
          </w:p>
        </w:tc>
        <w:tc>
          <w:tcPr>
            <w:tcW w:w="523" w:type="pct"/>
          </w:tcPr>
          <w:p w14:paraId="7EBEAF1C"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lastRenderedPageBreak/>
              <w:t>To be eligible for CAEP participant must have:</w:t>
            </w:r>
          </w:p>
          <w:p w14:paraId="7450D0AF" w14:textId="2ED8646A"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 long</w:t>
            </w:r>
            <w:r w:rsidR="0062288C">
              <w:rPr>
                <w:rFonts w:cstheme="minorHAnsi"/>
                <w:sz w:val="14"/>
                <w:szCs w:val="14"/>
              </w:rPr>
              <w:t>-</w:t>
            </w:r>
            <w:r w:rsidRPr="009434AE">
              <w:rPr>
                <w:rFonts w:cstheme="minorHAnsi"/>
                <w:sz w:val="14"/>
                <w:szCs w:val="14"/>
              </w:rPr>
              <w:t xml:space="preserve">term health, disability, or </w:t>
            </w:r>
            <w:proofErr w:type="gramStart"/>
            <w:r w:rsidRPr="009434AE">
              <w:rPr>
                <w:rFonts w:cstheme="minorHAnsi"/>
                <w:sz w:val="14"/>
                <w:szCs w:val="14"/>
              </w:rPr>
              <w:t>age related</w:t>
            </w:r>
            <w:proofErr w:type="gramEnd"/>
            <w:r w:rsidRPr="009434AE">
              <w:rPr>
                <w:rFonts w:cstheme="minorHAnsi"/>
                <w:sz w:val="14"/>
                <w:szCs w:val="14"/>
              </w:rPr>
              <w:t xml:space="preserve"> functional impairment,</w:t>
            </w:r>
          </w:p>
          <w:p w14:paraId="5B62D22B"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live at home in the community most of the time,</w:t>
            </w:r>
          </w:p>
          <w:p w14:paraId="79259A8D"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have a Pensioner Concession Card, Health Care </w:t>
            </w:r>
            <w:proofErr w:type="gramStart"/>
            <w:r w:rsidRPr="009434AE">
              <w:rPr>
                <w:rFonts w:cstheme="minorHAnsi"/>
                <w:sz w:val="14"/>
                <w:szCs w:val="14"/>
              </w:rPr>
              <w:t>Card</w:t>
            </w:r>
            <w:proofErr w:type="gramEnd"/>
            <w:r w:rsidRPr="009434AE">
              <w:rPr>
                <w:rFonts w:cstheme="minorHAnsi"/>
                <w:sz w:val="14"/>
                <w:szCs w:val="14"/>
              </w:rPr>
              <w:t xml:space="preserve"> or Commonwealth Seniors Health Card, or be a </w:t>
            </w:r>
            <w:proofErr w:type="spellStart"/>
            <w:r w:rsidRPr="009434AE">
              <w:rPr>
                <w:rFonts w:cstheme="minorHAnsi"/>
                <w:sz w:val="14"/>
                <w:szCs w:val="14"/>
              </w:rPr>
              <w:t>carer</w:t>
            </w:r>
            <w:proofErr w:type="spellEnd"/>
            <w:r w:rsidRPr="009434AE">
              <w:rPr>
                <w:rFonts w:cstheme="minorHAnsi"/>
                <w:sz w:val="14"/>
                <w:szCs w:val="14"/>
              </w:rPr>
              <w:t xml:space="preserve"> of a child with a permanent disability in receipt of a Carer Payment or be able to demonstrate financial hardship.</w:t>
            </w:r>
          </w:p>
          <w:p w14:paraId="32A718BF"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c>
          <w:tcPr>
            <w:tcW w:w="524" w:type="pct"/>
          </w:tcPr>
          <w:p w14:paraId="4F6D253D"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ACTES provide equipment to people who:</w:t>
            </w:r>
          </w:p>
          <w:p w14:paraId="293A6470"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are a permanent resident of </w:t>
            </w:r>
            <w:proofErr w:type="gramStart"/>
            <w:r w:rsidRPr="009434AE">
              <w:rPr>
                <w:rFonts w:cstheme="minorHAnsi"/>
                <w:sz w:val="14"/>
                <w:szCs w:val="14"/>
              </w:rPr>
              <w:t>Australia</w:t>
            </w:r>
            <w:proofErr w:type="gramEnd"/>
          </w:p>
          <w:p w14:paraId="402BD6E8"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have lived in the ACT for at least six </w:t>
            </w:r>
            <w:proofErr w:type="gramStart"/>
            <w:r w:rsidRPr="009434AE">
              <w:rPr>
                <w:rFonts w:cstheme="minorHAnsi"/>
                <w:sz w:val="14"/>
                <w:szCs w:val="14"/>
              </w:rPr>
              <w:t>months</w:t>
            </w:r>
            <w:proofErr w:type="gramEnd"/>
          </w:p>
          <w:p w14:paraId="6CE0614A"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have had a permanent disability for more than two </w:t>
            </w:r>
            <w:proofErr w:type="gramStart"/>
            <w:r w:rsidRPr="009434AE">
              <w:rPr>
                <w:rFonts w:cstheme="minorHAnsi"/>
                <w:sz w:val="14"/>
                <w:szCs w:val="14"/>
              </w:rPr>
              <w:t>years</w:t>
            </w:r>
            <w:proofErr w:type="gramEnd"/>
          </w:p>
          <w:p w14:paraId="77013A02" w14:textId="0E8B243C"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hold a current Centrelink Pension or Low-Income Health Care Card in their name. Please note, this does not include the Senior Health Care Card or a Mobility Allowance (MO).</w:t>
            </w:r>
          </w:p>
          <w:p w14:paraId="051B4EC0"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ACTES cannot provide equipment to people who:</w:t>
            </w:r>
          </w:p>
          <w:p w14:paraId="03A8BE25" w14:textId="4FA43B0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lastRenderedPageBreak/>
              <w:t>receive the equipment through a Department of Health H</w:t>
            </w:r>
            <w:r w:rsidR="00C545F7">
              <w:rPr>
                <w:rFonts w:cstheme="minorHAnsi"/>
                <w:sz w:val="14"/>
                <w:szCs w:val="14"/>
              </w:rPr>
              <w:t>CP</w:t>
            </w:r>
          </w:p>
          <w:p w14:paraId="7B93533A" w14:textId="7A1A83E5"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receive the equipment from other government</w:t>
            </w:r>
            <w:r w:rsidR="003601DD">
              <w:rPr>
                <w:rFonts w:cstheme="minorHAnsi"/>
                <w:sz w:val="14"/>
                <w:szCs w:val="14"/>
              </w:rPr>
              <w:t>-</w:t>
            </w:r>
            <w:r w:rsidRPr="009434AE">
              <w:rPr>
                <w:rFonts w:cstheme="minorHAnsi"/>
                <w:sz w:val="14"/>
                <w:szCs w:val="14"/>
              </w:rPr>
              <w:t xml:space="preserve">funded schemes including the </w:t>
            </w:r>
            <w:proofErr w:type="gramStart"/>
            <w:r w:rsidRPr="009434AE">
              <w:rPr>
                <w:rFonts w:cstheme="minorHAnsi"/>
                <w:sz w:val="14"/>
                <w:szCs w:val="14"/>
              </w:rPr>
              <w:t>N</w:t>
            </w:r>
            <w:r w:rsidR="004B60AF">
              <w:rPr>
                <w:rFonts w:cstheme="minorHAnsi"/>
                <w:sz w:val="14"/>
                <w:szCs w:val="14"/>
              </w:rPr>
              <w:t>DIS</w:t>
            </w:r>
            <w:proofErr w:type="gramEnd"/>
          </w:p>
          <w:p w14:paraId="5DECC457"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claim the cost of the aid or equipment back through a private health fund insurance policy.</w:t>
            </w:r>
          </w:p>
        </w:tc>
        <w:tc>
          <w:tcPr>
            <w:tcW w:w="523" w:type="pct"/>
          </w:tcPr>
          <w:p w14:paraId="5F352993"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lastRenderedPageBreak/>
              <w:t>The TEP is eligible for persons who:</w:t>
            </w:r>
          </w:p>
          <w:p w14:paraId="1588E2CB" w14:textId="59532FDF"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Have a functional impairment of a permanent or long</w:t>
            </w:r>
            <w:r w:rsidR="0062288C">
              <w:rPr>
                <w:rFonts w:cstheme="minorHAnsi"/>
                <w:sz w:val="14"/>
                <w:szCs w:val="14"/>
              </w:rPr>
              <w:t>-</w:t>
            </w:r>
            <w:r w:rsidRPr="009434AE">
              <w:rPr>
                <w:rFonts w:cstheme="minorHAnsi"/>
                <w:sz w:val="14"/>
                <w:szCs w:val="14"/>
              </w:rPr>
              <w:t>term duration; and</w:t>
            </w:r>
          </w:p>
          <w:p w14:paraId="3F7138EC"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Are a permanent resident of the NT; and</w:t>
            </w:r>
          </w:p>
          <w:p w14:paraId="75A191E5"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Are living in or returning to the community, and are not a resident of a Residential Aged Care facility; and</w:t>
            </w:r>
          </w:p>
          <w:p w14:paraId="5266E810" w14:textId="00DDDB66"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Require access to prescribed items of </w:t>
            </w:r>
            <w:r w:rsidR="00023694">
              <w:rPr>
                <w:rFonts w:cstheme="minorHAnsi"/>
                <w:sz w:val="14"/>
                <w:szCs w:val="14"/>
              </w:rPr>
              <w:t>AT</w:t>
            </w:r>
            <w:r w:rsidRPr="009434AE">
              <w:rPr>
                <w:rFonts w:cstheme="minorHAnsi"/>
                <w:sz w:val="14"/>
                <w:szCs w:val="14"/>
              </w:rPr>
              <w:t xml:space="preserve"> on a permanent or long</w:t>
            </w:r>
            <w:r w:rsidR="0062288C">
              <w:rPr>
                <w:rFonts w:cstheme="minorHAnsi"/>
                <w:sz w:val="14"/>
                <w:szCs w:val="14"/>
              </w:rPr>
              <w:t>-</w:t>
            </w:r>
            <w:r w:rsidRPr="009434AE">
              <w:rPr>
                <w:rFonts w:cstheme="minorHAnsi"/>
                <w:sz w:val="14"/>
                <w:szCs w:val="14"/>
              </w:rPr>
              <w:t>term basis; and</w:t>
            </w:r>
          </w:p>
          <w:p w14:paraId="50E1A0FA" w14:textId="7948F570"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Are not eligible to receive the item of </w:t>
            </w:r>
            <w:r w:rsidR="00023694">
              <w:rPr>
                <w:rFonts w:cstheme="minorHAnsi"/>
                <w:sz w:val="14"/>
                <w:szCs w:val="14"/>
              </w:rPr>
              <w:t>AT</w:t>
            </w:r>
            <w:r w:rsidRPr="009434AE">
              <w:rPr>
                <w:rFonts w:cstheme="minorHAnsi"/>
                <w:sz w:val="14"/>
                <w:szCs w:val="14"/>
              </w:rPr>
              <w:t xml:space="preserve"> under any other government</w:t>
            </w:r>
            <w:r w:rsidR="003601DD">
              <w:rPr>
                <w:rFonts w:cstheme="minorHAnsi"/>
                <w:sz w:val="14"/>
                <w:szCs w:val="14"/>
              </w:rPr>
              <w:t>-</w:t>
            </w:r>
            <w:r w:rsidRPr="009434AE">
              <w:rPr>
                <w:rFonts w:cstheme="minorHAnsi"/>
                <w:sz w:val="14"/>
                <w:szCs w:val="14"/>
              </w:rPr>
              <w:lastRenderedPageBreak/>
              <w:t>funded program; and</w:t>
            </w:r>
          </w:p>
          <w:p w14:paraId="7AE977A0" w14:textId="6F9AB386"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Are not eligible to receive compensation in respect of the functional impairment for which the item of </w:t>
            </w:r>
            <w:r w:rsidR="00023694">
              <w:rPr>
                <w:rFonts w:cstheme="minorHAnsi"/>
                <w:sz w:val="14"/>
                <w:szCs w:val="14"/>
              </w:rPr>
              <w:t>AT</w:t>
            </w:r>
            <w:r w:rsidRPr="009434AE">
              <w:rPr>
                <w:rFonts w:cstheme="minorHAnsi"/>
                <w:sz w:val="14"/>
                <w:szCs w:val="14"/>
              </w:rPr>
              <w:t xml:space="preserve"> has been </w:t>
            </w:r>
            <w:proofErr w:type="gramStart"/>
            <w:r w:rsidRPr="009434AE">
              <w:rPr>
                <w:rFonts w:cstheme="minorHAnsi"/>
                <w:sz w:val="14"/>
                <w:szCs w:val="14"/>
              </w:rPr>
              <w:t>prescribed;</w:t>
            </w:r>
            <w:proofErr w:type="gramEnd"/>
          </w:p>
          <w:p w14:paraId="699F2909"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Are beneficiaries of a Centrelink Disability Support or Age </w:t>
            </w:r>
            <w:proofErr w:type="gramStart"/>
            <w:r w:rsidRPr="009434AE">
              <w:rPr>
                <w:rFonts w:cstheme="minorHAnsi"/>
                <w:sz w:val="14"/>
                <w:szCs w:val="14"/>
              </w:rPr>
              <w:t>Pension;</w:t>
            </w:r>
            <w:proofErr w:type="gramEnd"/>
          </w:p>
          <w:p w14:paraId="19F63E79"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Children up to the age of 16-years with a long-term functional impairment are eligible for TEP regardless of parental </w:t>
            </w:r>
            <w:proofErr w:type="gramStart"/>
            <w:r w:rsidRPr="009434AE">
              <w:rPr>
                <w:rFonts w:cstheme="minorHAnsi"/>
                <w:sz w:val="14"/>
                <w:szCs w:val="14"/>
              </w:rPr>
              <w:t>income;</w:t>
            </w:r>
            <w:proofErr w:type="gramEnd"/>
          </w:p>
          <w:p w14:paraId="16C779A2"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Special consideration may apply for those experiencing financial hardship or require assistance with </w:t>
            </w:r>
            <w:proofErr w:type="gramStart"/>
            <w:r w:rsidRPr="009434AE">
              <w:rPr>
                <w:rFonts w:cstheme="minorHAnsi"/>
                <w:sz w:val="14"/>
                <w:szCs w:val="14"/>
              </w:rPr>
              <w:t>high cost</w:t>
            </w:r>
            <w:proofErr w:type="gramEnd"/>
            <w:r w:rsidRPr="009434AE">
              <w:rPr>
                <w:rFonts w:cstheme="minorHAnsi"/>
                <w:sz w:val="14"/>
                <w:szCs w:val="14"/>
              </w:rPr>
              <w:t xml:space="preserve"> items.</w:t>
            </w:r>
          </w:p>
        </w:tc>
        <w:tc>
          <w:tcPr>
            <w:tcW w:w="524" w:type="pct"/>
          </w:tcPr>
          <w:p w14:paraId="7D91EEE0"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roofErr w:type="spellStart"/>
            <w:r w:rsidRPr="009434AE">
              <w:rPr>
                <w:rFonts w:cstheme="minorHAnsi"/>
                <w:sz w:val="14"/>
                <w:szCs w:val="14"/>
              </w:rPr>
              <w:lastRenderedPageBreak/>
              <w:t>TasEquip</w:t>
            </w:r>
            <w:proofErr w:type="spellEnd"/>
            <w:r w:rsidRPr="009434AE">
              <w:rPr>
                <w:rFonts w:cstheme="minorHAnsi"/>
                <w:sz w:val="14"/>
                <w:szCs w:val="14"/>
              </w:rPr>
              <w:t xml:space="preserve"> provides equipment to:</w:t>
            </w:r>
          </w:p>
          <w:p w14:paraId="6285FBF6"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permanent Tasmanian residents</w:t>
            </w:r>
          </w:p>
          <w:p w14:paraId="491FFE7C"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who have proven financial need for assistance to access the range of equipment we offer.</w:t>
            </w:r>
          </w:p>
          <w:p w14:paraId="6B72A706"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To be eligible, clients need to be:</w:t>
            </w:r>
          </w:p>
          <w:p w14:paraId="287E7210"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 Centrelink benefit recipient – Health Care, Pensioner Concession, and</w:t>
            </w:r>
          </w:p>
          <w:p w14:paraId="15EAA469"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Living in the community, and</w:t>
            </w:r>
          </w:p>
          <w:p w14:paraId="65B20664" w14:textId="7698A26B"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Ineligible if living in Residential Aged Care Facility, on Homecare Package level 3 or 4, NDIS participant, </w:t>
            </w:r>
            <w:r w:rsidR="008E126B">
              <w:rPr>
                <w:rFonts w:cstheme="minorHAnsi"/>
                <w:sz w:val="14"/>
                <w:szCs w:val="14"/>
              </w:rPr>
              <w:t xml:space="preserve">Department of Veterans' Affairs </w:t>
            </w:r>
            <w:r w:rsidR="008E126B">
              <w:rPr>
                <w:rFonts w:cstheme="minorHAnsi"/>
                <w:sz w:val="14"/>
                <w:szCs w:val="14"/>
              </w:rPr>
              <w:lastRenderedPageBreak/>
              <w:t>(</w:t>
            </w:r>
            <w:r w:rsidRPr="009434AE">
              <w:rPr>
                <w:rFonts w:cstheme="minorHAnsi"/>
                <w:sz w:val="14"/>
                <w:szCs w:val="14"/>
              </w:rPr>
              <w:t>DVA</w:t>
            </w:r>
            <w:r w:rsidR="008E126B">
              <w:rPr>
                <w:rFonts w:cstheme="minorHAnsi"/>
                <w:sz w:val="14"/>
                <w:szCs w:val="14"/>
              </w:rPr>
              <w:t>)</w:t>
            </w:r>
            <w:r w:rsidRPr="009434AE">
              <w:rPr>
                <w:rFonts w:cstheme="minorHAnsi"/>
                <w:sz w:val="14"/>
                <w:szCs w:val="14"/>
              </w:rPr>
              <w:t xml:space="preserve"> (gold card holder), receiving funding from </w:t>
            </w:r>
            <w:r w:rsidR="000348E6">
              <w:rPr>
                <w:rFonts w:cstheme="minorHAnsi"/>
                <w:sz w:val="14"/>
                <w:szCs w:val="14"/>
              </w:rPr>
              <w:t>Motor Accidents Insurance Board</w:t>
            </w:r>
            <w:r w:rsidRPr="009434AE">
              <w:rPr>
                <w:rFonts w:cstheme="minorHAnsi"/>
                <w:sz w:val="14"/>
                <w:szCs w:val="14"/>
              </w:rPr>
              <w:t xml:space="preserve"> or from Workers Compensation</w:t>
            </w:r>
          </w:p>
          <w:p w14:paraId="79AC17A5" w14:textId="77777777" w:rsidR="00431518" w:rsidRPr="009434AE" w:rsidRDefault="00431518" w:rsidP="00E442CB">
            <w:pPr>
              <w:pStyle w:val="ListParagraph"/>
              <w:numPr>
                <w:ilvl w:val="0"/>
                <w:numId w:val="45"/>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Those who do not meet the above eligibility criteria may, in certain restricted circumstances still be able to access equipment through </w:t>
            </w:r>
            <w:proofErr w:type="spellStart"/>
            <w:r w:rsidRPr="009434AE">
              <w:rPr>
                <w:rFonts w:cstheme="minorHAnsi"/>
                <w:sz w:val="14"/>
                <w:szCs w:val="14"/>
              </w:rPr>
              <w:t>TasEquip</w:t>
            </w:r>
            <w:proofErr w:type="spellEnd"/>
            <w:r w:rsidRPr="009434AE">
              <w:rPr>
                <w:rFonts w:cstheme="minorHAnsi"/>
                <w:sz w:val="14"/>
                <w:szCs w:val="14"/>
              </w:rPr>
              <w:t>.</w:t>
            </w:r>
          </w:p>
        </w:tc>
      </w:tr>
      <w:tr w:rsidR="006250DE" w:rsidRPr="009434AE" w14:paraId="302BDE65" w14:textId="77777777" w:rsidTr="009434AE">
        <w:tc>
          <w:tcPr>
            <w:cnfStyle w:val="001000000000" w:firstRow="0" w:lastRow="0" w:firstColumn="1" w:lastColumn="0" w:oddVBand="0" w:evenVBand="0" w:oddHBand="0" w:evenHBand="0" w:firstRowFirstColumn="0" w:firstRowLastColumn="0" w:lastRowFirstColumn="0" w:lastRowLastColumn="0"/>
            <w:tcW w:w="437" w:type="pct"/>
          </w:tcPr>
          <w:p w14:paraId="4F901D5B" w14:textId="77777777" w:rsidR="00431518" w:rsidRPr="009434AE" w:rsidRDefault="00431518" w:rsidP="009434AE">
            <w:pPr>
              <w:spacing w:before="0" w:after="0"/>
              <w:rPr>
                <w:rFonts w:cstheme="minorHAnsi"/>
                <w:b w:val="0"/>
                <w:bCs/>
                <w:color w:val="auto"/>
                <w:sz w:val="14"/>
                <w:szCs w:val="14"/>
              </w:rPr>
            </w:pPr>
            <w:r w:rsidRPr="009434AE">
              <w:rPr>
                <w:rFonts w:cstheme="minorHAnsi"/>
                <w:bCs/>
                <w:color w:val="auto"/>
                <w:sz w:val="14"/>
                <w:szCs w:val="14"/>
              </w:rPr>
              <w:lastRenderedPageBreak/>
              <w:t>Range of products and supports</w:t>
            </w:r>
          </w:p>
        </w:tc>
        <w:tc>
          <w:tcPr>
            <w:tcW w:w="375" w:type="pct"/>
          </w:tcPr>
          <w:p w14:paraId="66C31CE6"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Types and diversity of stoma-related products offered through the scheme.</w:t>
            </w:r>
          </w:p>
        </w:tc>
        <w:tc>
          <w:tcPr>
            <w:tcW w:w="523" w:type="pct"/>
          </w:tcPr>
          <w:p w14:paraId="66389285" w14:textId="4B9404F6"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C</w:t>
            </w:r>
            <w:r w:rsidR="00D97135">
              <w:rPr>
                <w:rFonts w:cstheme="minorHAnsi"/>
                <w:sz w:val="14"/>
                <w:szCs w:val="14"/>
              </w:rPr>
              <w:t>A</w:t>
            </w:r>
            <w:r w:rsidRPr="009434AE">
              <w:rPr>
                <w:rFonts w:cstheme="minorHAnsi"/>
                <w:sz w:val="14"/>
                <w:szCs w:val="14"/>
              </w:rPr>
              <w:t xml:space="preserve"> </w:t>
            </w:r>
            <w:proofErr w:type="gramStart"/>
            <w:r w:rsidRPr="009434AE">
              <w:rPr>
                <w:rFonts w:cstheme="minorHAnsi"/>
                <w:sz w:val="14"/>
                <w:szCs w:val="14"/>
              </w:rPr>
              <w:t>is able to</w:t>
            </w:r>
            <w:proofErr w:type="gramEnd"/>
            <w:r w:rsidRPr="009434AE">
              <w:rPr>
                <w:rFonts w:cstheme="minorHAnsi"/>
                <w:sz w:val="14"/>
                <w:szCs w:val="14"/>
              </w:rPr>
              <w:t xml:space="preserve"> help fund the following items:</w:t>
            </w:r>
          </w:p>
          <w:p w14:paraId="2359F8E5" w14:textId="77777777" w:rsidR="00431518" w:rsidRPr="009434AE" w:rsidRDefault="00431518" w:rsidP="00E442CB">
            <w:pPr>
              <w:pStyle w:val="ListParagraph"/>
              <w:numPr>
                <w:ilvl w:val="0"/>
                <w:numId w:val="33"/>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Anal plugs</w:t>
            </w:r>
          </w:p>
          <w:p w14:paraId="4DAE3757" w14:textId="77777777" w:rsidR="00431518" w:rsidRPr="009434AE" w:rsidRDefault="00431518" w:rsidP="00E442CB">
            <w:pPr>
              <w:pStyle w:val="ListParagraph"/>
              <w:numPr>
                <w:ilvl w:val="0"/>
                <w:numId w:val="33"/>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Anal irrigation systems</w:t>
            </w:r>
          </w:p>
          <w:p w14:paraId="2F8DEFC1" w14:textId="5A968BE4" w:rsidR="00431518" w:rsidRPr="009434AE" w:rsidRDefault="00431518" w:rsidP="00E442CB">
            <w:pPr>
              <w:pStyle w:val="ListParagraph"/>
              <w:numPr>
                <w:ilvl w:val="0"/>
                <w:numId w:val="33"/>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Catheters (long</w:t>
            </w:r>
            <w:r w:rsidR="0062288C">
              <w:rPr>
                <w:rFonts w:cstheme="minorHAnsi"/>
                <w:sz w:val="14"/>
                <w:szCs w:val="14"/>
              </w:rPr>
              <w:t>-</w:t>
            </w:r>
            <w:r w:rsidRPr="009434AE">
              <w:rPr>
                <w:rFonts w:cstheme="minorHAnsi"/>
                <w:sz w:val="14"/>
                <w:szCs w:val="14"/>
              </w:rPr>
              <w:t>term and intermittent)</w:t>
            </w:r>
          </w:p>
          <w:p w14:paraId="73338F35" w14:textId="77777777" w:rsidR="00431518" w:rsidRPr="009434AE" w:rsidRDefault="00431518" w:rsidP="00E442CB">
            <w:pPr>
              <w:pStyle w:val="ListParagraph"/>
              <w:numPr>
                <w:ilvl w:val="0"/>
                <w:numId w:val="33"/>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Catheter drainage tubing, connectors, </w:t>
            </w:r>
            <w:proofErr w:type="gramStart"/>
            <w:r w:rsidRPr="009434AE">
              <w:rPr>
                <w:rFonts w:cstheme="minorHAnsi"/>
                <w:sz w:val="14"/>
                <w:szCs w:val="14"/>
              </w:rPr>
              <w:t>straps</w:t>
            </w:r>
            <w:proofErr w:type="gramEnd"/>
            <w:r w:rsidRPr="009434AE">
              <w:rPr>
                <w:rFonts w:cstheme="minorHAnsi"/>
                <w:sz w:val="14"/>
                <w:szCs w:val="14"/>
              </w:rPr>
              <w:t xml:space="preserve"> and valves</w:t>
            </w:r>
          </w:p>
          <w:p w14:paraId="1C09EB21" w14:textId="77777777" w:rsidR="00431518" w:rsidRPr="009434AE" w:rsidRDefault="00431518" w:rsidP="00E442CB">
            <w:pPr>
              <w:pStyle w:val="ListParagraph"/>
              <w:numPr>
                <w:ilvl w:val="0"/>
                <w:numId w:val="33"/>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Condom drainage systems</w:t>
            </w:r>
          </w:p>
          <w:p w14:paraId="438E02AA" w14:textId="77777777" w:rsidR="00431518" w:rsidRPr="009434AE" w:rsidRDefault="00431518" w:rsidP="00E442CB">
            <w:pPr>
              <w:pStyle w:val="ListParagraph"/>
              <w:numPr>
                <w:ilvl w:val="0"/>
                <w:numId w:val="33"/>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Drainage bags</w:t>
            </w:r>
          </w:p>
          <w:p w14:paraId="3A091E02" w14:textId="77777777" w:rsidR="00431518" w:rsidRPr="009434AE" w:rsidRDefault="00431518" w:rsidP="00E442CB">
            <w:pPr>
              <w:pStyle w:val="ListParagraph"/>
              <w:numPr>
                <w:ilvl w:val="0"/>
                <w:numId w:val="33"/>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Drainage bottles and connectors</w:t>
            </w:r>
          </w:p>
          <w:p w14:paraId="0AD0FBEF" w14:textId="77777777" w:rsidR="00431518" w:rsidRPr="009434AE" w:rsidRDefault="00431518" w:rsidP="00E442CB">
            <w:pPr>
              <w:pStyle w:val="ListParagraph"/>
              <w:numPr>
                <w:ilvl w:val="0"/>
                <w:numId w:val="33"/>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Intra vaginal bladder </w:t>
            </w:r>
            <w:proofErr w:type="gramStart"/>
            <w:r w:rsidRPr="009434AE">
              <w:rPr>
                <w:rFonts w:cstheme="minorHAnsi"/>
                <w:sz w:val="14"/>
                <w:szCs w:val="14"/>
              </w:rPr>
              <w:t>supports</w:t>
            </w:r>
            <w:proofErr w:type="gramEnd"/>
          </w:p>
          <w:p w14:paraId="0E5DC510" w14:textId="77777777" w:rsidR="00431518" w:rsidRPr="009434AE" w:rsidRDefault="00431518" w:rsidP="00E442CB">
            <w:pPr>
              <w:pStyle w:val="ListParagraph"/>
              <w:numPr>
                <w:ilvl w:val="0"/>
                <w:numId w:val="33"/>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Washable bedding and chair pads</w:t>
            </w:r>
          </w:p>
          <w:p w14:paraId="3E5DA3FF" w14:textId="77777777" w:rsidR="00431518" w:rsidRPr="009434AE" w:rsidRDefault="00431518" w:rsidP="00E442CB">
            <w:pPr>
              <w:pStyle w:val="ListParagraph"/>
              <w:numPr>
                <w:ilvl w:val="0"/>
                <w:numId w:val="33"/>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Washable briefs and pads</w:t>
            </w:r>
          </w:p>
        </w:tc>
        <w:tc>
          <w:tcPr>
            <w:tcW w:w="524" w:type="pct"/>
          </w:tcPr>
          <w:p w14:paraId="2969356B" w14:textId="1CE621B6"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Continence - Consumable items including</w:t>
            </w:r>
          </w:p>
          <w:p w14:paraId="44332429" w14:textId="43A7FCBD"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catheters; drainage bags and</w:t>
            </w:r>
          </w:p>
          <w:p w14:paraId="78FF0E03" w14:textId="1E97AC4A"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associated accessories; and</w:t>
            </w:r>
          </w:p>
          <w:p w14:paraId="6BC9701D" w14:textId="573F2F59"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pads</w:t>
            </w:r>
            <w:r w:rsidR="00217943">
              <w:rPr>
                <w:rFonts w:cstheme="minorHAnsi"/>
                <w:sz w:val="14"/>
                <w:szCs w:val="14"/>
              </w:rPr>
              <w:t>.</w:t>
            </w:r>
          </w:p>
          <w:p w14:paraId="29DEFF73" w14:textId="3BB94D41"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Excludes: Underwear, gloves, cleaning</w:t>
            </w:r>
          </w:p>
          <w:p w14:paraId="6AFA9C71" w14:textId="4ED57D32" w:rsidR="00431518" w:rsidRPr="009434AE" w:rsidRDefault="00431518" w:rsidP="00E442CB">
            <w:pPr>
              <w:pStyle w:val="ListParagraph"/>
              <w:numPr>
                <w:ilvl w:val="0"/>
                <w:numId w:val="35"/>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solutions, gels, creams</w:t>
            </w:r>
          </w:p>
          <w:p w14:paraId="2B5087B3" w14:textId="6F30C50C" w:rsidR="00431518" w:rsidRPr="009434AE" w:rsidRDefault="00431518" w:rsidP="00E442CB">
            <w:pPr>
              <w:pStyle w:val="ListParagraph"/>
              <w:numPr>
                <w:ilvl w:val="0"/>
                <w:numId w:val="35"/>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dressings, enemas, dressing</w:t>
            </w:r>
          </w:p>
          <w:p w14:paraId="4B72A030" w14:textId="77777777" w:rsidR="00431518" w:rsidRPr="009434AE" w:rsidRDefault="00431518" w:rsidP="00E442CB">
            <w:pPr>
              <w:pStyle w:val="ListParagraph"/>
              <w:numPr>
                <w:ilvl w:val="0"/>
                <w:numId w:val="35"/>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packs, stoma products</w:t>
            </w:r>
          </w:p>
          <w:p w14:paraId="07783A31"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Voice Prosthesis and Laryngectomy consumables includes:</w:t>
            </w:r>
          </w:p>
          <w:p w14:paraId="2A5D1ABB" w14:textId="77777777" w:rsidR="00431518" w:rsidRPr="009434AE" w:rsidRDefault="00431518" w:rsidP="00E442CB">
            <w:pPr>
              <w:pStyle w:val="ListParagraph"/>
              <w:numPr>
                <w:ilvl w:val="0"/>
                <w:numId w:val="48"/>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Voice prosthesis and accessories</w:t>
            </w:r>
          </w:p>
          <w:p w14:paraId="50D742DC" w14:textId="3D044E0D" w:rsidR="00431518" w:rsidRPr="009434AE" w:rsidRDefault="00431518" w:rsidP="00E442CB">
            <w:pPr>
              <w:pStyle w:val="ListParagraph"/>
              <w:numPr>
                <w:ilvl w:val="0"/>
                <w:numId w:val="48"/>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Laryngectomy tubes and other associated consumables</w:t>
            </w:r>
          </w:p>
          <w:p w14:paraId="6D2CE456" w14:textId="7A596D98" w:rsidR="00431518" w:rsidRPr="009434AE" w:rsidRDefault="00431518" w:rsidP="00E442CB">
            <w:pPr>
              <w:pStyle w:val="ListParagraph"/>
              <w:numPr>
                <w:ilvl w:val="0"/>
                <w:numId w:val="48"/>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Tracheostoma/hands</w:t>
            </w:r>
            <w:r w:rsidR="003E646C">
              <w:rPr>
                <w:rFonts w:cstheme="minorHAnsi"/>
                <w:sz w:val="14"/>
                <w:szCs w:val="14"/>
              </w:rPr>
              <w:t>-</w:t>
            </w:r>
            <w:r w:rsidRPr="009434AE">
              <w:rPr>
                <w:rFonts w:cstheme="minorHAnsi"/>
                <w:sz w:val="14"/>
                <w:szCs w:val="14"/>
              </w:rPr>
              <w:t>free speech valve kits</w:t>
            </w:r>
          </w:p>
          <w:p w14:paraId="6E409F17"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Excludes: lug inserts for voice prostheses; cloth stoma covers; shower covers; silicone adhesive; adhesive barrier </w:t>
            </w:r>
            <w:r w:rsidRPr="009434AE">
              <w:rPr>
                <w:rFonts w:cstheme="minorHAnsi"/>
                <w:sz w:val="14"/>
                <w:szCs w:val="14"/>
              </w:rPr>
              <w:lastRenderedPageBreak/>
              <w:t>and remover products; lubricant</w:t>
            </w:r>
          </w:p>
        </w:tc>
        <w:tc>
          <w:tcPr>
            <w:tcW w:w="523" w:type="pct"/>
          </w:tcPr>
          <w:p w14:paraId="40242C44"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lastRenderedPageBreak/>
              <w:t>HME cassette - 450/year HME cassettes</w:t>
            </w:r>
          </w:p>
          <w:p w14:paraId="46C310BB"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Foam stoma cover - 370/year foam stoma </w:t>
            </w:r>
            <w:proofErr w:type="gramStart"/>
            <w:r w:rsidRPr="009434AE">
              <w:rPr>
                <w:rFonts w:cstheme="minorHAnsi"/>
                <w:sz w:val="14"/>
                <w:szCs w:val="14"/>
              </w:rPr>
              <w:t>covers</w:t>
            </w:r>
            <w:proofErr w:type="gramEnd"/>
          </w:p>
          <w:p w14:paraId="4465C294"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Cloth stoma cover - 12 boxes/year OR 12 individual/year</w:t>
            </w:r>
          </w:p>
          <w:p w14:paraId="0EE69025"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Tracheostoma button and Laryngectomy tube or button - 3 buttons or tubes/year</w:t>
            </w:r>
          </w:p>
          <w:p w14:paraId="3E348FE4"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Standard adhesive and Non-standard adhesive - 365 standard adhesives/year OR 180 non-standard adhesives/year</w:t>
            </w:r>
          </w:p>
          <w:p w14:paraId="0180FD5E"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Hands-free device - 1 every 3 years</w:t>
            </w:r>
          </w:p>
          <w:p w14:paraId="4C84A2F7"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Securing device for tracheostoma button or laryngectomy tube e.g. neck strap or </w:t>
            </w:r>
            <w:proofErr w:type="spellStart"/>
            <w:r w:rsidRPr="009434AE">
              <w:rPr>
                <w:rFonts w:cstheme="minorHAnsi"/>
                <w:sz w:val="14"/>
                <w:szCs w:val="14"/>
              </w:rPr>
              <w:t>LaryClip</w:t>
            </w:r>
            <w:proofErr w:type="spellEnd"/>
            <w:r w:rsidRPr="009434AE">
              <w:rPr>
                <w:rFonts w:cstheme="minorHAnsi"/>
                <w:sz w:val="14"/>
                <w:szCs w:val="14"/>
              </w:rPr>
              <w:t xml:space="preserve"> - 12 boxes/year OR 12 individual/year</w:t>
            </w:r>
          </w:p>
          <w:p w14:paraId="176CB0D4"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lastRenderedPageBreak/>
              <w:t>Skin care (i.e. skin preparation and adhesive removal products) - 14 boxes/year</w:t>
            </w:r>
          </w:p>
          <w:p w14:paraId="3FC884D1"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Silicone glue – 4/year</w:t>
            </w:r>
          </w:p>
          <w:p w14:paraId="0A9C0A90"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Shower Aid – 1/year</w:t>
            </w:r>
          </w:p>
        </w:tc>
        <w:tc>
          <w:tcPr>
            <w:tcW w:w="524" w:type="pct"/>
          </w:tcPr>
          <w:p w14:paraId="1F4DF87A" w14:textId="6433E8D6"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lastRenderedPageBreak/>
              <w:t>C</w:t>
            </w:r>
            <w:r w:rsidR="00C341AB">
              <w:rPr>
                <w:rFonts w:cstheme="minorHAnsi"/>
                <w:sz w:val="14"/>
                <w:szCs w:val="14"/>
              </w:rPr>
              <w:t>A</w:t>
            </w:r>
            <w:r w:rsidRPr="009434AE">
              <w:rPr>
                <w:rFonts w:cstheme="minorHAnsi"/>
                <w:sz w:val="14"/>
                <w:szCs w:val="14"/>
              </w:rPr>
              <w:t>:</w:t>
            </w:r>
          </w:p>
          <w:p w14:paraId="0D4222B6" w14:textId="77777777" w:rsidR="00431518" w:rsidRPr="009434AE" w:rsidRDefault="00431518" w:rsidP="00E442CB">
            <w:pPr>
              <w:pStyle w:val="ListParagraph"/>
              <w:numPr>
                <w:ilvl w:val="0"/>
                <w:numId w:val="35"/>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Bed Pan</w:t>
            </w:r>
          </w:p>
          <w:p w14:paraId="3D3A510C" w14:textId="77777777" w:rsidR="00431518" w:rsidRPr="009434AE" w:rsidRDefault="00431518" w:rsidP="00E442CB">
            <w:pPr>
              <w:pStyle w:val="ListParagraph"/>
              <w:numPr>
                <w:ilvl w:val="0"/>
                <w:numId w:val="35"/>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Bedding Protector</w:t>
            </w:r>
          </w:p>
          <w:p w14:paraId="0144044B" w14:textId="77777777" w:rsidR="00431518" w:rsidRPr="009434AE" w:rsidRDefault="00431518" w:rsidP="00E442CB">
            <w:pPr>
              <w:pStyle w:val="ListParagraph"/>
              <w:numPr>
                <w:ilvl w:val="0"/>
                <w:numId w:val="35"/>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Urinal (Male and Female)</w:t>
            </w:r>
          </w:p>
          <w:p w14:paraId="296556F0" w14:textId="77777777" w:rsidR="00431518" w:rsidRPr="009434AE" w:rsidRDefault="00431518" w:rsidP="00E442CB">
            <w:pPr>
              <w:pStyle w:val="ListParagraph"/>
              <w:numPr>
                <w:ilvl w:val="0"/>
                <w:numId w:val="35"/>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Urinal Bottle Holder</w:t>
            </w:r>
            <w:r w:rsidRPr="009434AE">
              <w:rPr>
                <w:rFonts w:cstheme="minorHAnsi"/>
                <w:sz w:val="14"/>
                <w:szCs w:val="14"/>
              </w:rPr>
              <w:tab/>
            </w:r>
            <w:r w:rsidRPr="009434AE">
              <w:rPr>
                <w:rFonts w:cstheme="minorHAnsi"/>
                <w:sz w:val="14"/>
                <w:szCs w:val="14"/>
              </w:rPr>
              <w:tab/>
            </w:r>
            <w:r w:rsidRPr="009434AE">
              <w:rPr>
                <w:rFonts w:cstheme="minorHAnsi"/>
                <w:sz w:val="14"/>
                <w:szCs w:val="14"/>
              </w:rPr>
              <w:tab/>
            </w:r>
            <w:r w:rsidRPr="009434AE">
              <w:rPr>
                <w:rFonts w:cstheme="minorHAnsi"/>
                <w:sz w:val="14"/>
                <w:szCs w:val="14"/>
              </w:rPr>
              <w:tab/>
            </w:r>
          </w:p>
        </w:tc>
        <w:tc>
          <w:tcPr>
            <w:tcW w:w="523" w:type="pct"/>
          </w:tcPr>
          <w:p w14:paraId="2FC4F6AD"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Access to CAEP funded equipment is guided by the CAEP Manual and </w:t>
            </w:r>
            <w:proofErr w:type="spellStart"/>
            <w:r w:rsidRPr="009434AE">
              <w:rPr>
                <w:rFonts w:cstheme="minorHAnsi"/>
                <w:sz w:val="14"/>
                <w:szCs w:val="14"/>
              </w:rPr>
              <w:t>Imprest</w:t>
            </w:r>
            <w:proofErr w:type="spellEnd"/>
            <w:r w:rsidRPr="009434AE">
              <w:rPr>
                <w:rFonts w:cstheme="minorHAnsi"/>
                <w:sz w:val="14"/>
                <w:szCs w:val="14"/>
              </w:rPr>
              <w:t xml:space="preserve"> Lis (not available online).</w:t>
            </w:r>
          </w:p>
          <w:p w14:paraId="323826C0"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p>
          <w:p w14:paraId="2F33520E"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The CAEP essential criteria to be addressed are:</w:t>
            </w:r>
          </w:p>
          <w:p w14:paraId="5EDFAB0E" w14:textId="77777777" w:rsidR="00431518" w:rsidRPr="009434AE" w:rsidRDefault="00431518" w:rsidP="00E442CB">
            <w:pPr>
              <w:pStyle w:val="ListParagraph"/>
              <w:numPr>
                <w:ilvl w:val="0"/>
                <w:numId w:val="35"/>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equipment is essential for independent functioning and functional care at </w:t>
            </w:r>
            <w:proofErr w:type="gramStart"/>
            <w:r w:rsidRPr="009434AE">
              <w:rPr>
                <w:rFonts w:cstheme="minorHAnsi"/>
                <w:sz w:val="14"/>
                <w:szCs w:val="14"/>
              </w:rPr>
              <w:t>home</w:t>
            </w:r>
            <w:proofErr w:type="gramEnd"/>
          </w:p>
          <w:p w14:paraId="45B2109D" w14:textId="77777777" w:rsidR="00431518" w:rsidRPr="009434AE" w:rsidRDefault="00431518" w:rsidP="00E442CB">
            <w:pPr>
              <w:pStyle w:val="ListParagraph"/>
              <w:numPr>
                <w:ilvl w:val="0"/>
                <w:numId w:val="35"/>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equipment must be the most basic model/type that meets the clinical </w:t>
            </w:r>
            <w:proofErr w:type="gramStart"/>
            <w:r w:rsidRPr="009434AE">
              <w:rPr>
                <w:rFonts w:cstheme="minorHAnsi"/>
                <w:sz w:val="14"/>
                <w:szCs w:val="14"/>
              </w:rPr>
              <w:t>need</w:t>
            </w:r>
            <w:proofErr w:type="gramEnd"/>
          </w:p>
          <w:p w14:paraId="5B3434FE" w14:textId="77777777" w:rsidR="00431518" w:rsidRPr="009434AE" w:rsidRDefault="00431518" w:rsidP="00E442CB">
            <w:pPr>
              <w:pStyle w:val="ListParagraph"/>
              <w:numPr>
                <w:ilvl w:val="0"/>
                <w:numId w:val="35"/>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equipment must be for personal use only, that is not communal </w:t>
            </w:r>
            <w:proofErr w:type="gramStart"/>
            <w:r w:rsidRPr="009434AE">
              <w:rPr>
                <w:rFonts w:cstheme="minorHAnsi"/>
                <w:sz w:val="14"/>
                <w:szCs w:val="14"/>
              </w:rPr>
              <w:t>use</w:t>
            </w:r>
            <w:proofErr w:type="gramEnd"/>
          </w:p>
          <w:p w14:paraId="7CE1EBEE" w14:textId="77777777" w:rsidR="00431518" w:rsidRPr="009434AE" w:rsidRDefault="00431518" w:rsidP="00E442CB">
            <w:pPr>
              <w:pStyle w:val="ListParagraph"/>
              <w:numPr>
                <w:ilvl w:val="0"/>
                <w:numId w:val="35"/>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equipment is required for use in the person’s primary </w:t>
            </w:r>
            <w:proofErr w:type="gramStart"/>
            <w:r w:rsidRPr="009434AE">
              <w:rPr>
                <w:rFonts w:cstheme="minorHAnsi"/>
                <w:sz w:val="14"/>
                <w:szCs w:val="14"/>
              </w:rPr>
              <w:t>residence</w:t>
            </w:r>
            <w:proofErr w:type="gramEnd"/>
          </w:p>
          <w:p w14:paraId="02250CBD" w14:textId="77777777" w:rsidR="00431518" w:rsidRPr="009434AE" w:rsidRDefault="00431518" w:rsidP="00E442CB">
            <w:pPr>
              <w:pStyle w:val="ListParagraph"/>
              <w:numPr>
                <w:ilvl w:val="0"/>
                <w:numId w:val="35"/>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the item costs more than $50</w:t>
            </w:r>
          </w:p>
          <w:p w14:paraId="62666B20" w14:textId="77777777" w:rsidR="00431518" w:rsidRPr="009434AE" w:rsidRDefault="00431518" w:rsidP="00E442CB">
            <w:pPr>
              <w:pStyle w:val="ListParagraph"/>
              <w:numPr>
                <w:ilvl w:val="0"/>
                <w:numId w:val="35"/>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equipment is required for safety and behavioural </w:t>
            </w:r>
            <w:r w:rsidRPr="009434AE">
              <w:rPr>
                <w:rFonts w:cstheme="minorHAnsi"/>
                <w:sz w:val="14"/>
                <w:szCs w:val="14"/>
              </w:rPr>
              <w:lastRenderedPageBreak/>
              <w:t>purposes where applicable.</w:t>
            </w:r>
          </w:p>
        </w:tc>
        <w:tc>
          <w:tcPr>
            <w:tcW w:w="524" w:type="pct"/>
          </w:tcPr>
          <w:p w14:paraId="0E289AE0"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lastRenderedPageBreak/>
              <w:t>ACTES will fully fund the following types of equipment:</w:t>
            </w:r>
          </w:p>
          <w:p w14:paraId="46CA2B3D"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Bariatric equipment</w:t>
            </w:r>
          </w:p>
          <w:p w14:paraId="54E98EE9"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Bathroom aids</w:t>
            </w:r>
          </w:p>
          <w:p w14:paraId="1F1C72FD"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Compression garments</w:t>
            </w:r>
          </w:p>
          <w:p w14:paraId="21740E6E" w14:textId="4116F67C"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C</w:t>
            </w:r>
            <w:r w:rsidR="00C341AB">
              <w:rPr>
                <w:rFonts w:cstheme="minorHAnsi"/>
                <w:sz w:val="14"/>
                <w:szCs w:val="14"/>
              </w:rPr>
              <w:t>A</w:t>
            </w:r>
          </w:p>
          <w:p w14:paraId="7C5A667A"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Hoist/Slings</w:t>
            </w:r>
          </w:p>
          <w:p w14:paraId="331A5254"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Hospital beds</w:t>
            </w:r>
          </w:p>
          <w:p w14:paraId="13D52BAC"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Manual wheelchairs</w:t>
            </w:r>
          </w:p>
          <w:p w14:paraId="73F92013"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Medical grade/custom footwear</w:t>
            </w:r>
          </w:p>
          <w:p w14:paraId="37507AC1"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Mobility aids</w:t>
            </w:r>
          </w:p>
          <w:p w14:paraId="25820FB6"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Foot orthoses</w:t>
            </w:r>
          </w:p>
          <w:p w14:paraId="09A18B8B"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Powered wheelchairs</w:t>
            </w:r>
          </w:p>
          <w:p w14:paraId="1572FF7B"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Pressure care </w:t>
            </w:r>
            <w:proofErr w:type="gramStart"/>
            <w:r w:rsidRPr="009434AE">
              <w:rPr>
                <w:rFonts w:cstheme="minorHAnsi"/>
                <w:sz w:val="14"/>
                <w:szCs w:val="14"/>
              </w:rPr>
              <w:t>cushions</w:t>
            </w:r>
            <w:proofErr w:type="gramEnd"/>
          </w:p>
          <w:p w14:paraId="77BFDD0F"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Pressure care </w:t>
            </w:r>
            <w:proofErr w:type="gramStart"/>
            <w:r w:rsidRPr="009434AE">
              <w:rPr>
                <w:rFonts w:cstheme="minorHAnsi"/>
                <w:sz w:val="14"/>
                <w:szCs w:val="14"/>
              </w:rPr>
              <w:t>mattresses</w:t>
            </w:r>
            <w:proofErr w:type="gramEnd"/>
          </w:p>
          <w:p w14:paraId="16907E50"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Standers</w:t>
            </w:r>
          </w:p>
          <w:p w14:paraId="404A9243"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Utility/</w:t>
            </w:r>
            <w:proofErr w:type="spellStart"/>
            <w:r w:rsidRPr="009434AE">
              <w:rPr>
                <w:rFonts w:cstheme="minorHAnsi"/>
                <w:sz w:val="14"/>
                <w:szCs w:val="14"/>
              </w:rPr>
              <w:t>Hilite</w:t>
            </w:r>
            <w:proofErr w:type="spellEnd"/>
            <w:r w:rsidRPr="009434AE">
              <w:rPr>
                <w:rFonts w:cstheme="minorHAnsi"/>
                <w:sz w:val="14"/>
                <w:szCs w:val="14"/>
              </w:rPr>
              <w:t xml:space="preserve"> chairs</w:t>
            </w:r>
          </w:p>
          <w:p w14:paraId="07D9EDF5"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Wigs</w:t>
            </w:r>
          </w:p>
        </w:tc>
        <w:tc>
          <w:tcPr>
            <w:tcW w:w="523" w:type="pct"/>
          </w:tcPr>
          <w:p w14:paraId="4E8A8CC5"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Level 2 General Equipment</w:t>
            </w:r>
          </w:p>
          <w:p w14:paraId="34474752"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Catheters (Intermittent Catheters and Indwelling Catheters)</w:t>
            </w:r>
          </w:p>
          <w:p w14:paraId="2D87E1E4"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proofErr w:type="spellStart"/>
            <w:r w:rsidRPr="009434AE">
              <w:rPr>
                <w:rFonts w:cstheme="minorHAnsi"/>
                <w:sz w:val="14"/>
                <w:szCs w:val="14"/>
              </w:rPr>
              <w:t>Uridomes</w:t>
            </w:r>
            <w:proofErr w:type="spellEnd"/>
          </w:p>
          <w:p w14:paraId="50F1BE25"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Drainage Bags</w:t>
            </w:r>
          </w:p>
          <w:p w14:paraId="651874DF"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Reusable Pads</w:t>
            </w:r>
          </w:p>
          <w:p w14:paraId="76486A45"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Disposable Pads</w:t>
            </w:r>
          </w:p>
          <w:p w14:paraId="5321E269"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Miscellaneous:</w:t>
            </w:r>
          </w:p>
          <w:p w14:paraId="55F7AE09"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O Gloves</w:t>
            </w:r>
          </w:p>
          <w:p w14:paraId="19DC6B95"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O KY Gel /Lubricating Gel</w:t>
            </w:r>
          </w:p>
          <w:p w14:paraId="38180494"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O </w:t>
            </w:r>
            <w:proofErr w:type="spellStart"/>
            <w:r w:rsidRPr="009434AE">
              <w:rPr>
                <w:rFonts w:cstheme="minorHAnsi"/>
                <w:sz w:val="14"/>
                <w:szCs w:val="14"/>
              </w:rPr>
              <w:t>Urosol</w:t>
            </w:r>
            <w:proofErr w:type="spellEnd"/>
          </w:p>
          <w:p w14:paraId="0C746641"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O </w:t>
            </w:r>
            <w:proofErr w:type="spellStart"/>
            <w:r w:rsidRPr="009434AE">
              <w:rPr>
                <w:rFonts w:cstheme="minorHAnsi"/>
                <w:sz w:val="14"/>
                <w:szCs w:val="14"/>
              </w:rPr>
              <w:t>Prantal</w:t>
            </w:r>
            <w:proofErr w:type="spellEnd"/>
            <w:r w:rsidRPr="009434AE">
              <w:rPr>
                <w:rFonts w:cstheme="minorHAnsi"/>
                <w:sz w:val="14"/>
                <w:szCs w:val="14"/>
              </w:rPr>
              <w:t xml:space="preserve"> Powder</w:t>
            </w:r>
          </w:p>
          <w:p w14:paraId="68837FD6"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O </w:t>
            </w:r>
            <w:proofErr w:type="spellStart"/>
            <w:r w:rsidRPr="009434AE">
              <w:rPr>
                <w:rFonts w:cstheme="minorHAnsi"/>
                <w:sz w:val="14"/>
                <w:szCs w:val="14"/>
              </w:rPr>
              <w:t>Urocare</w:t>
            </w:r>
            <w:proofErr w:type="spellEnd"/>
            <w:r w:rsidRPr="009434AE">
              <w:rPr>
                <w:rFonts w:cstheme="minorHAnsi"/>
                <w:sz w:val="14"/>
                <w:szCs w:val="14"/>
              </w:rPr>
              <w:t xml:space="preserve"> Night Drainage Bottles</w:t>
            </w:r>
          </w:p>
          <w:p w14:paraId="17CC25BD"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O </w:t>
            </w:r>
            <w:proofErr w:type="spellStart"/>
            <w:r w:rsidRPr="009434AE">
              <w:rPr>
                <w:rFonts w:cstheme="minorHAnsi"/>
                <w:sz w:val="14"/>
                <w:szCs w:val="14"/>
              </w:rPr>
              <w:t>Urocare</w:t>
            </w:r>
            <w:proofErr w:type="spellEnd"/>
            <w:r w:rsidRPr="009434AE">
              <w:rPr>
                <w:rFonts w:cstheme="minorHAnsi"/>
                <w:sz w:val="14"/>
                <w:szCs w:val="14"/>
              </w:rPr>
              <w:t xml:space="preserve"> Adhesive Remover Pads</w:t>
            </w:r>
          </w:p>
          <w:p w14:paraId="0DD073D8"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O Skin Bond Cement</w:t>
            </w:r>
          </w:p>
          <w:p w14:paraId="10F8D115"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O Ansell Non-Lubricating Condoms</w:t>
            </w:r>
          </w:p>
          <w:p w14:paraId="3479BB2B"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O Shepherd </w:t>
            </w:r>
            <w:proofErr w:type="spellStart"/>
            <w:r w:rsidRPr="009434AE">
              <w:rPr>
                <w:rFonts w:cstheme="minorHAnsi"/>
                <w:sz w:val="14"/>
                <w:szCs w:val="14"/>
              </w:rPr>
              <w:t>Sporan</w:t>
            </w:r>
            <w:proofErr w:type="spellEnd"/>
            <w:r w:rsidRPr="009434AE">
              <w:rPr>
                <w:rFonts w:cstheme="minorHAnsi"/>
                <w:sz w:val="14"/>
                <w:szCs w:val="14"/>
              </w:rPr>
              <w:t xml:space="preserve"> Bag</w:t>
            </w:r>
          </w:p>
          <w:p w14:paraId="3D0E1E5D"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O Xylocaine / Lignocaine Syringe</w:t>
            </w:r>
          </w:p>
          <w:p w14:paraId="61AFA309"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O Triple Care Cleanser</w:t>
            </w:r>
          </w:p>
          <w:p w14:paraId="2A0E7486"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O </w:t>
            </w:r>
            <w:proofErr w:type="spellStart"/>
            <w:r w:rsidRPr="009434AE">
              <w:rPr>
                <w:rFonts w:cstheme="minorHAnsi"/>
                <w:sz w:val="14"/>
                <w:szCs w:val="14"/>
              </w:rPr>
              <w:t>Urocare</w:t>
            </w:r>
            <w:proofErr w:type="spellEnd"/>
            <w:r w:rsidRPr="009434AE">
              <w:rPr>
                <w:rFonts w:cstheme="minorHAnsi"/>
                <w:sz w:val="14"/>
                <w:szCs w:val="14"/>
              </w:rPr>
              <w:t xml:space="preserve"> Catheter Valve</w:t>
            </w:r>
          </w:p>
          <w:p w14:paraId="079913DF"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O </w:t>
            </w:r>
            <w:proofErr w:type="spellStart"/>
            <w:r w:rsidRPr="009434AE">
              <w:rPr>
                <w:rFonts w:cstheme="minorHAnsi"/>
                <w:sz w:val="14"/>
                <w:szCs w:val="14"/>
              </w:rPr>
              <w:t>Urocare</w:t>
            </w:r>
            <w:proofErr w:type="spellEnd"/>
            <w:r w:rsidRPr="009434AE">
              <w:rPr>
                <w:rFonts w:cstheme="minorHAnsi"/>
                <w:sz w:val="14"/>
                <w:szCs w:val="14"/>
              </w:rPr>
              <w:t xml:space="preserve"> Tubing Connector</w:t>
            </w:r>
          </w:p>
        </w:tc>
        <w:tc>
          <w:tcPr>
            <w:tcW w:w="524" w:type="pct"/>
          </w:tcPr>
          <w:p w14:paraId="169C07AA"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Adjustable height chair</w:t>
            </w:r>
          </w:p>
          <w:p w14:paraId="7ADEBA54"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Bath transfer bench</w:t>
            </w:r>
          </w:p>
          <w:p w14:paraId="4D9F23D9"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proofErr w:type="spellStart"/>
            <w:r w:rsidRPr="009434AE">
              <w:rPr>
                <w:rFonts w:cstheme="minorHAnsi"/>
                <w:sz w:val="14"/>
                <w:szCs w:val="14"/>
              </w:rPr>
              <w:t>Bathboard</w:t>
            </w:r>
            <w:proofErr w:type="spellEnd"/>
          </w:p>
          <w:p w14:paraId="6D2F1512"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Bedside commode</w:t>
            </w:r>
          </w:p>
          <w:p w14:paraId="42483A31"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Over toilet frame</w:t>
            </w:r>
          </w:p>
          <w:p w14:paraId="67ED3DF1"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Shower chair/</w:t>
            </w:r>
            <w:proofErr w:type="gramStart"/>
            <w:r w:rsidRPr="009434AE">
              <w:rPr>
                <w:rFonts w:cstheme="minorHAnsi"/>
                <w:sz w:val="14"/>
                <w:szCs w:val="14"/>
              </w:rPr>
              <w:t>stool</w:t>
            </w:r>
            <w:proofErr w:type="gramEnd"/>
          </w:p>
          <w:p w14:paraId="136E4615"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Swivel </w:t>
            </w:r>
            <w:proofErr w:type="gramStart"/>
            <w:r w:rsidRPr="009434AE">
              <w:rPr>
                <w:rFonts w:cstheme="minorHAnsi"/>
                <w:sz w:val="14"/>
                <w:szCs w:val="14"/>
              </w:rPr>
              <w:t>bather</w:t>
            </w:r>
            <w:proofErr w:type="gramEnd"/>
          </w:p>
          <w:p w14:paraId="08834CF4"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Swivel chair</w:t>
            </w:r>
          </w:p>
        </w:tc>
      </w:tr>
      <w:tr w:rsidR="006250DE" w:rsidRPr="009434AE" w14:paraId="1574978F" w14:textId="77777777" w:rsidTr="0094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Pr>
          <w:p w14:paraId="1DFF938C" w14:textId="77777777" w:rsidR="00431518" w:rsidRPr="009434AE" w:rsidRDefault="00431518" w:rsidP="009434AE">
            <w:pPr>
              <w:spacing w:before="0" w:after="0"/>
              <w:rPr>
                <w:rFonts w:cstheme="minorHAnsi"/>
                <w:b w:val="0"/>
                <w:bCs/>
                <w:color w:val="auto"/>
                <w:sz w:val="14"/>
                <w:szCs w:val="14"/>
              </w:rPr>
            </w:pPr>
            <w:r w:rsidRPr="009434AE">
              <w:rPr>
                <w:rFonts w:cstheme="minorHAnsi"/>
                <w:bCs/>
                <w:color w:val="auto"/>
                <w:sz w:val="14"/>
                <w:szCs w:val="14"/>
              </w:rPr>
              <w:t>Financial support</w:t>
            </w:r>
          </w:p>
        </w:tc>
        <w:tc>
          <w:tcPr>
            <w:tcW w:w="375" w:type="pct"/>
          </w:tcPr>
          <w:p w14:paraId="70CC26F1"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Level and type of financial assistance provided, including subsidies, grants, etc.</w:t>
            </w:r>
          </w:p>
        </w:tc>
        <w:tc>
          <w:tcPr>
            <w:tcW w:w="523" w:type="pct"/>
          </w:tcPr>
          <w:p w14:paraId="62FED785"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There is a maximum annual subsidy level for continence items. Supply is based on consumer need, recommended by a Continence AT Practitioner. A maximum subsidy level of up to $1200 applies over a twelve-month period to eligible consumers. If the subsidy does not cover the full cost of the continence item, you or a third party will need to pay the remainder.</w:t>
            </w:r>
          </w:p>
        </w:tc>
        <w:tc>
          <w:tcPr>
            <w:tcW w:w="524" w:type="pct"/>
          </w:tcPr>
          <w:p w14:paraId="659EFFC7" w14:textId="693329C1"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People accessing </w:t>
            </w:r>
            <w:proofErr w:type="spellStart"/>
            <w:r w:rsidRPr="009434AE">
              <w:rPr>
                <w:rFonts w:cstheme="minorHAnsi"/>
                <w:sz w:val="14"/>
                <w:szCs w:val="14"/>
              </w:rPr>
              <w:t>EnableNSW</w:t>
            </w:r>
            <w:proofErr w:type="spellEnd"/>
            <w:r w:rsidRPr="009434AE">
              <w:rPr>
                <w:rFonts w:cstheme="minorHAnsi"/>
                <w:sz w:val="14"/>
                <w:szCs w:val="14"/>
              </w:rPr>
              <w:t xml:space="preserve"> are required to pay a co-payment each financial year they receive </w:t>
            </w:r>
            <w:r w:rsidR="00023694">
              <w:rPr>
                <w:rFonts w:cstheme="minorHAnsi"/>
                <w:sz w:val="14"/>
                <w:szCs w:val="14"/>
              </w:rPr>
              <w:t>AT</w:t>
            </w:r>
            <w:r w:rsidRPr="009434AE">
              <w:rPr>
                <w:rFonts w:cstheme="minorHAnsi"/>
                <w:sz w:val="14"/>
                <w:szCs w:val="14"/>
              </w:rPr>
              <w:t>, consumable re-orders or repairs and maintenance.</w:t>
            </w:r>
          </w:p>
          <w:p w14:paraId="1FC755CE" w14:textId="5BA8E0EB"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The co-payment is based on income bands and allowances, with adjustments for increases in the Australian C</w:t>
            </w:r>
            <w:r w:rsidR="00C341AB">
              <w:rPr>
                <w:rFonts w:cstheme="minorHAnsi"/>
                <w:sz w:val="14"/>
                <w:szCs w:val="14"/>
              </w:rPr>
              <w:t>PI</w:t>
            </w:r>
            <w:r w:rsidRPr="009434AE">
              <w:rPr>
                <w:rFonts w:cstheme="minorHAnsi"/>
                <w:sz w:val="14"/>
                <w:szCs w:val="14"/>
              </w:rPr>
              <w:t xml:space="preserve"> since December 1998. No changes have been made to the level of consumer co-payments.</w:t>
            </w:r>
          </w:p>
        </w:tc>
        <w:tc>
          <w:tcPr>
            <w:tcW w:w="523" w:type="pct"/>
          </w:tcPr>
          <w:p w14:paraId="3D337184" w14:textId="222927E5"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Prescribers complete a prescription for the applicant’s laryngectomy respiratory consumables and </w:t>
            </w:r>
            <w:r w:rsidR="004A5BAD" w:rsidRPr="009434AE">
              <w:rPr>
                <w:rFonts w:cstheme="minorHAnsi"/>
                <w:sz w:val="14"/>
                <w:szCs w:val="14"/>
              </w:rPr>
              <w:t>apply</w:t>
            </w:r>
            <w:r w:rsidRPr="009434AE">
              <w:rPr>
                <w:rFonts w:cstheme="minorHAnsi"/>
                <w:sz w:val="14"/>
                <w:szCs w:val="14"/>
              </w:rPr>
              <w:t xml:space="preserve"> on behalf of the applicant to QHSSL for processing pending availability of sufficient funds within the applicant’s annual allocation.</w:t>
            </w:r>
          </w:p>
        </w:tc>
        <w:tc>
          <w:tcPr>
            <w:tcW w:w="524" w:type="pct"/>
          </w:tcPr>
          <w:p w14:paraId="799698D6" w14:textId="41E825F5" w:rsidR="00431518" w:rsidRPr="009434AE" w:rsidRDefault="00EC6A7F" w:rsidP="00EC6A7F">
            <w:pPr>
              <w:tabs>
                <w:tab w:val="left" w:pos="936"/>
              </w:tabs>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EC6A7F">
              <w:rPr>
                <w:rFonts w:cstheme="minorHAnsi"/>
                <w:sz w:val="14"/>
                <w:szCs w:val="14"/>
              </w:rPr>
              <w:t>Information not available</w:t>
            </w:r>
            <w:r>
              <w:rPr>
                <w:rFonts w:cstheme="minorHAnsi"/>
                <w:sz w:val="14"/>
                <w:szCs w:val="14"/>
              </w:rPr>
              <w:t>.</w:t>
            </w:r>
          </w:p>
        </w:tc>
        <w:tc>
          <w:tcPr>
            <w:tcW w:w="523" w:type="pct"/>
          </w:tcPr>
          <w:p w14:paraId="21723950" w14:textId="77777777" w:rsidR="00431518" w:rsidRPr="009434AE" w:rsidRDefault="00EC6A7F"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Pr>
                <w:rFonts w:cstheme="minorHAnsi"/>
                <w:sz w:val="14"/>
                <w:szCs w:val="14"/>
              </w:rPr>
              <w:t>N/A</w:t>
            </w:r>
            <w:r w:rsidR="00431518" w:rsidRPr="009434AE">
              <w:rPr>
                <w:rFonts w:cstheme="minorHAnsi"/>
                <w:sz w:val="14"/>
                <w:szCs w:val="14"/>
              </w:rPr>
              <w:t>.</w:t>
            </w:r>
          </w:p>
        </w:tc>
        <w:tc>
          <w:tcPr>
            <w:tcW w:w="524" w:type="pct"/>
          </w:tcPr>
          <w:p w14:paraId="360D775F" w14:textId="77777777" w:rsidR="00431518" w:rsidRPr="009434AE" w:rsidRDefault="00EC6A7F"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Pr>
                <w:rFonts w:cstheme="minorHAnsi"/>
                <w:sz w:val="14"/>
                <w:szCs w:val="14"/>
              </w:rPr>
              <w:t>N/A</w:t>
            </w:r>
            <w:r w:rsidR="00431518" w:rsidRPr="009434AE">
              <w:rPr>
                <w:rFonts w:cstheme="minorHAnsi"/>
                <w:sz w:val="14"/>
                <w:szCs w:val="14"/>
              </w:rPr>
              <w:t>.</w:t>
            </w:r>
          </w:p>
        </w:tc>
        <w:tc>
          <w:tcPr>
            <w:tcW w:w="523" w:type="pct"/>
          </w:tcPr>
          <w:p w14:paraId="3DA95207" w14:textId="77777777" w:rsidR="00431518" w:rsidRPr="009434AE" w:rsidRDefault="00EC6A7F"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Pr>
                <w:rFonts w:cstheme="minorHAnsi"/>
                <w:sz w:val="14"/>
                <w:szCs w:val="14"/>
              </w:rPr>
              <w:t>N/A</w:t>
            </w:r>
            <w:r w:rsidR="00431518" w:rsidRPr="009434AE">
              <w:rPr>
                <w:rFonts w:cstheme="minorHAnsi"/>
                <w:sz w:val="14"/>
                <w:szCs w:val="14"/>
              </w:rPr>
              <w:t>.</w:t>
            </w:r>
          </w:p>
        </w:tc>
        <w:tc>
          <w:tcPr>
            <w:tcW w:w="524" w:type="pct"/>
          </w:tcPr>
          <w:p w14:paraId="23BC9A35" w14:textId="77777777" w:rsidR="00431518" w:rsidRPr="009434AE" w:rsidRDefault="00EC6A7F"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Pr>
                <w:rFonts w:cstheme="minorHAnsi"/>
                <w:sz w:val="14"/>
                <w:szCs w:val="14"/>
              </w:rPr>
              <w:t>N/A</w:t>
            </w:r>
            <w:r w:rsidR="00431518" w:rsidRPr="009434AE">
              <w:rPr>
                <w:rFonts w:cstheme="minorHAnsi"/>
                <w:sz w:val="14"/>
                <w:szCs w:val="14"/>
              </w:rPr>
              <w:t>.</w:t>
            </w:r>
          </w:p>
        </w:tc>
      </w:tr>
      <w:tr w:rsidR="006250DE" w:rsidRPr="009434AE" w14:paraId="692F4DFD" w14:textId="77777777" w:rsidTr="009434AE">
        <w:tc>
          <w:tcPr>
            <w:cnfStyle w:val="001000000000" w:firstRow="0" w:lastRow="0" w:firstColumn="1" w:lastColumn="0" w:oddVBand="0" w:evenVBand="0" w:oddHBand="0" w:evenHBand="0" w:firstRowFirstColumn="0" w:firstRowLastColumn="0" w:lastRowFirstColumn="0" w:lastRowLastColumn="0"/>
            <w:tcW w:w="437" w:type="pct"/>
          </w:tcPr>
          <w:p w14:paraId="637BB43F" w14:textId="77777777" w:rsidR="00431518" w:rsidRPr="009434AE" w:rsidRDefault="00431518" w:rsidP="009434AE">
            <w:pPr>
              <w:spacing w:before="0" w:after="0"/>
              <w:rPr>
                <w:rFonts w:cstheme="minorHAnsi"/>
                <w:b w:val="0"/>
                <w:bCs/>
                <w:color w:val="auto"/>
                <w:sz w:val="14"/>
                <w:szCs w:val="14"/>
              </w:rPr>
            </w:pPr>
            <w:r w:rsidRPr="009434AE">
              <w:rPr>
                <w:rFonts w:cstheme="minorHAnsi"/>
                <w:bCs/>
                <w:color w:val="auto"/>
                <w:sz w:val="14"/>
                <w:szCs w:val="14"/>
              </w:rPr>
              <w:t>Requirements for Providers</w:t>
            </w:r>
          </w:p>
        </w:tc>
        <w:tc>
          <w:tcPr>
            <w:tcW w:w="375" w:type="pct"/>
          </w:tcPr>
          <w:p w14:paraId="1BBEB1F3"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Criteria and responsibilities that providers of the scheme must fulfill, including eligibility and </w:t>
            </w:r>
            <w:r w:rsidRPr="009434AE">
              <w:rPr>
                <w:rFonts w:cstheme="minorHAnsi"/>
                <w:sz w:val="14"/>
                <w:szCs w:val="14"/>
              </w:rPr>
              <w:lastRenderedPageBreak/>
              <w:t>dispute resolution.</w:t>
            </w:r>
          </w:p>
        </w:tc>
        <w:tc>
          <w:tcPr>
            <w:tcW w:w="523" w:type="pct"/>
          </w:tcPr>
          <w:p w14:paraId="7DBD81AD" w14:textId="6AD5B391"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lastRenderedPageBreak/>
              <w:t>All applicants must be referred by a registered Continence AT Practitioner.</w:t>
            </w:r>
          </w:p>
          <w:p w14:paraId="6A24D836"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The Continence Practitioner Standard provides </w:t>
            </w:r>
            <w:r w:rsidRPr="009434AE">
              <w:rPr>
                <w:rFonts w:cstheme="minorHAnsi"/>
                <w:sz w:val="14"/>
                <w:szCs w:val="14"/>
              </w:rPr>
              <w:lastRenderedPageBreak/>
              <w:t>an objective means of structuring, measuring and authorising AT Practitioners to deliver AT solutions.</w:t>
            </w:r>
          </w:p>
        </w:tc>
        <w:tc>
          <w:tcPr>
            <w:tcW w:w="524" w:type="pct"/>
          </w:tcPr>
          <w:p w14:paraId="22876DF4"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lastRenderedPageBreak/>
              <w:t xml:space="preserve">To be eligible for AT, </w:t>
            </w:r>
            <w:proofErr w:type="spellStart"/>
            <w:r w:rsidRPr="009434AE">
              <w:rPr>
                <w:rFonts w:cstheme="minorHAnsi"/>
                <w:sz w:val="14"/>
                <w:szCs w:val="14"/>
              </w:rPr>
              <w:t>EnableNSW</w:t>
            </w:r>
            <w:proofErr w:type="spellEnd"/>
            <w:r w:rsidRPr="009434AE">
              <w:rPr>
                <w:rFonts w:cstheme="minorHAnsi"/>
                <w:sz w:val="14"/>
                <w:szCs w:val="14"/>
              </w:rPr>
              <w:t xml:space="preserve"> requires an equipment application to be completed by an eligible prescriber. The funding criteria outlines the </w:t>
            </w:r>
            <w:r w:rsidRPr="009434AE">
              <w:rPr>
                <w:rFonts w:cstheme="minorHAnsi"/>
                <w:sz w:val="14"/>
                <w:szCs w:val="14"/>
              </w:rPr>
              <w:lastRenderedPageBreak/>
              <w:t>required qualification and level of experience for health professionals to be considered as eligible prescribers. Where required, prescribers must be registered through the Australian Health Practitioner Regulation Agency (AHPRA).</w:t>
            </w:r>
          </w:p>
        </w:tc>
        <w:tc>
          <w:tcPr>
            <w:tcW w:w="523" w:type="pct"/>
          </w:tcPr>
          <w:p w14:paraId="4091F76B"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lastRenderedPageBreak/>
              <w:t>Eligible prescribers for QHSSL include:</w:t>
            </w:r>
          </w:p>
          <w:p w14:paraId="3ACD8C2D"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Otolaryngologists registered with AHPRA.</w:t>
            </w:r>
          </w:p>
          <w:p w14:paraId="7A877F0C" w14:textId="77777777"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Speech pathologists with a minimum three </w:t>
            </w:r>
            <w:r w:rsidRPr="009434AE">
              <w:rPr>
                <w:rFonts w:cstheme="minorHAnsi"/>
                <w:sz w:val="14"/>
                <w:szCs w:val="14"/>
              </w:rPr>
              <w:lastRenderedPageBreak/>
              <w:t>years of experience in working with laryngectomy care and eligible for certified practising membership with Speech Pathology Australia (SPA).</w:t>
            </w:r>
          </w:p>
          <w:p w14:paraId="3B21F45C" w14:textId="1441A1B9" w:rsidR="00431518" w:rsidRPr="009434AE" w:rsidRDefault="00431518" w:rsidP="00E442CB">
            <w:pPr>
              <w:pStyle w:val="ListParagraph"/>
              <w:numPr>
                <w:ilvl w:val="0"/>
                <w:numId w:val="34"/>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Speech pathologists with less than three years’ clinical experience eligible for certified practising membership with SPA in consultation with an eligible speech pathology prescriber or otolaryngologist</w:t>
            </w:r>
            <w:r w:rsidR="00344D31">
              <w:rPr>
                <w:rFonts w:cstheme="minorHAnsi"/>
                <w:sz w:val="14"/>
                <w:szCs w:val="14"/>
              </w:rPr>
              <w:t>.</w:t>
            </w:r>
          </w:p>
        </w:tc>
        <w:tc>
          <w:tcPr>
            <w:tcW w:w="524" w:type="pct"/>
          </w:tcPr>
          <w:p w14:paraId="20A830C9"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lastRenderedPageBreak/>
              <w:t xml:space="preserve">Equipment and home modification requests must be completed by a suitably qualified Allied Health Professional who will submit all </w:t>
            </w:r>
            <w:r w:rsidRPr="009434AE">
              <w:rPr>
                <w:rFonts w:cstheme="minorHAnsi"/>
                <w:sz w:val="14"/>
                <w:szCs w:val="14"/>
              </w:rPr>
              <w:lastRenderedPageBreak/>
              <w:t>paperwork direct to the Equipment Program.</w:t>
            </w:r>
          </w:p>
          <w:p w14:paraId="6F644DCF" w14:textId="163F1709"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The Equipment and Home Modification In</w:t>
            </w:r>
            <w:r w:rsidR="001153AC">
              <w:rPr>
                <w:rFonts w:cstheme="minorHAnsi"/>
                <w:sz w:val="14"/>
                <w:szCs w:val="14"/>
              </w:rPr>
              <w:t xml:space="preserve"> </w:t>
            </w:r>
            <w:r w:rsidRPr="009434AE">
              <w:rPr>
                <w:rFonts w:cstheme="minorHAnsi"/>
                <w:sz w:val="14"/>
                <w:szCs w:val="14"/>
              </w:rPr>
              <w:t>scope lists identify which discipline can prescribe for each item type.</w:t>
            </w:r>
          </w:p>
        </w:tc>
        <w:tc>
          <w:tcPr>
            <w:tcW w:w="523" w:type="pct"/>
          </w:tcPr>
          <w:p w14:paraId="7609E047" w14:textId="2356B571"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lastRenderedPageBreak/>
              <w:t>A referral is required from a recognised Referrer for initial specification of aids and equipment.</w:t>
            </w:r>
          </w:p>
          <w:p w14:paraId="73EDFB27"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The referrer advises the person on the </w:t>
            </w:r>
            <w:r w:rsidRPr="009434AE">
              <w:rPr>
                <w:rFonts w:cstheme="minorHAnsi"/>
                <w:sz w:val="14"/>
                <w:szCs w:val="14"/>
              </w:rPr>
              <w:lastRenderedPageBreak/>
              <w:t>CAEP process and refers them to the relevant CAEP service provider/budget holder and organises an appropriate specifier for the person.</w:t>
            </w:r>
          </w:p>
          <w:p w14:paraId="0BC8EEA6"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The specifier assesses the person and recommends the appropriate item of equipment to meet their functional need.</w:t>
            </w:r>
          </w:p>
          <w:p w14:paraId="367803F0"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The specifier contacts the service provider /budget holder and applies for funding.</w:t>
            </w:r>
          </w:p>
          <w:p w14:paraId="353BD96B"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The service provider/budget holder approves funding and orders equipment prescribed.</w:t>
            </w:r>
          </w:p>
        </w:tc>
        <w:tc>
          <w:tcPr>
            <w:tcW w:w="524" w:type="pct"/>
          </w:tcPr>
          <w:p w14:paraId="54109F6F" w14:textId="507B7BF4"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lastRenderedPageBreak/>
              <w:t xml:space="preserve">Participants can apply to be part of this scheme by asking their primary health therapist, </w:t>
            </w:r>
            <w:proofErr w:type="gramStart"/>
            <w:r w:rsidRPr="009434AE">
              <w:rPr>
                <w:rFonts w:cstheme="minorHAnsi"/>
                <w:sz w:val="14"/>
                <w:szCs w:val="14"/>
              </w:rPr>
              <w:t>GP</w:t>
            </w:r>
            <w:proofErr w:type="gramEnd"/>
            <w:r w:rsidRPr="009434AE">
              <w:rPr>
                <w:rFonts w:cstheme="minorHAnsi"/>
                <w:sz w:val="14"/>
                <w:szCs w:val="14"/>
              </w:rPr>
              <w:t xml:space="preserve"> or specialist to complete the ACTES application form.</w:t>
            </w:r>
          </w:p>
          <w:p w14:paraId="1CC13CB1"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523" w:type="pct"/>
          </w:tcPr>
          <w:p w14:paraId="3C422433"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lastRenderedPageBreak/>
              <w:t xml:space="preserve">All allied health professionals and specialist nurses must be registered as Approved Prescribers with the TEP </w:t>
            </w:r>
            <w:proofErr w:type="gramStart"/>
            <w:r w:rsidRPr="009434AE">
              <w:rPr>
                <w:rFonts w:cstheme="minorHAnsi"/>
                <w:sz w:val="14"/>
                <w:szCs w:val="14"/>
              </w:rPr>
              <w:t>in order to</w:t>
            </w:r>
            <w:proofErr w:type="gramEnd"/>
            <w:r w:rsidRPr="009434AE">
              <w:rPr>
                <w:rFonts w:cstheme="minorHAnsi"/>
                <w:sz w:val="14"/>
                <w:szCs w:val="14"/>
              </w:rPr>
              <w:t xml:space="preserve"> </w:t>
            </w:r>
            <w:r w:rsidRPr="009434AE">
              <w:rPr>
                <w:rFonts w:cstheme="minorHAnsi"/>
                <w:sz w:val="14"/>
                <w:szCs w:val="14"/>
              </w:rPr>
              <w:lastRenderedPageBreak/>
              <w:t>prescribe TEP aids and equipment.</w:t>
            </w:r>
          </w:p>
          <w:p w14:paraId="50738075"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Prescribers must have the stipulated professional qualification and experience to prescribe from different TEP Equipment Types, as detailed in the TEP Clinical Guidelines.</w:t>
            </w:r>
          </w:p>
          <w:p w14:paraId="7A13F0BA" w14:textId="081C0CA2"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Equipment groups and professional criteria determine the equipment level at which a prescriber may prescribe</w:t>
            </w:r>
            <w:r w:rsidR="00644311">
              <w:rPr>
                <w:rFonts w:cstheme="minorHAnsi"/>
                <w:sz w:val="14"/>
                <w:szCs w:val="14"/>
              </w:rPr>
              <w:t>.</w:t>
            </w:r>
          </w:p>
        </w:tc>
        <w:tc>
          <w:tcPr>
            <w:tcW w:w="524" w:type="pct"/>
          </w:tcPr>
          <w:p w14:paraId="6A0702CF"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lastRenderedPageBreak/>
              <w:t xml:space="preserve">Authorised Prescribers are health professionals who have undertaken the required </w:t>
            </w:r>
            <w:proofErr w:type="spellStart"/>
            <w:r w:rsidRPr="009434AE">
              <w:rPr>
                <w:rFonts w:cstheme="minorHAnsi"/>
                <w:sz w:val="14"/>
                <w:szCs w:val="14"/>
              </w:rPr>
              <w:t>TasEquip</w:t>
            </w:r>
            <w:proofErr w:type="spellEnd"/>
            <w:r w:rsidRPr="009434AE">
              <w:rPr>
                <w:rFonts w:cstheme="minorHAnsi"/>
                <w:sz w:val="14"/>
                <w:szCs w:val="14"/>
              </w:rPr>
              <w:t xml:space="preserve"> training, who prescribe </w:t>
            </w:r>
            <w:r w:rsidRPr="009434AE">
              <w:rPr>
                <w:rFonts w:cstheme="minorHAnsi"/>
                <w:sz w:val="14"/>
                <w:szCs w:val="14"/>
              </w:rPr>
              <w:lastRenderedPageBreak/>
              <w:t>within their professional scope.</w:t>
            </w:r>
          </w:p>
          <w:p w14:paraId="2A03A720"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Clinical decision making when prescribing equipment is the responsibility of the prescriber.</w:t>
            </w:r>
          </w:p>
        </w:tc>
      </w:tr>
      <w:tr w:rsidR="006250DE" w:rsidRPr="009434AE" w14:paraId="4FBCAD3B" w14:textId="77777777" w:rsidTr="0094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Pr>
          <w:p w14:paraId="56CFDB2B" w14:textId="77777777" w:rsidR="00431518" w:rsidRPr="009434AE" w:rsidRDefault="00431518" w:rsidP="009434AE">
            <w:pPr>
              <w:spacing w:before="0" w:after="0"/>
              <w:rPr>
                <w:rFonts w:cstheme="minorHAnsi"/>
                <w:b w:val="0"/>
                <w:bCs/>
                <w:color w:val="auto"/>
                <w:sz w:val="14"/>
                <w:szCs w:val="14"/>
              </w:rPr>
            </w:pPr>
            <w:r w:rsidRPr="009434AE">
              <w:rPr>
                <w:rFonts w:cstheme="minorHAnsi"/>
                <w:bCs/>
                <w:color w:val="auto"/>
                <w:sz w:val="14"/>
                <w:szCs w:val="14"/>
              </w:rPr>
              <w:lastRenderedPageBreak/>
              <w:t>Requirements for Participants</w:t>
            </w:r>
          </w:p>
        </w:tc>
        <w:tc>
          <w:tcPr>
            <w:tcW w:w="375" w:type="pct"/>
          </w:tcPr>
          <w:p w14:paraId="7F17EEE9"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Conditions and procedures that individual participants must adhere to for successful enrolment </w:t>
            </w:r>
            <w:r w:rsidRPr="009434AE">
              <w:rPr>
                <w:rFonts w:cstheme="minorHAnsi"/>
                <w:sz w:val="14"/>
                <w:szCs w:val="14"/>
              </w:rPr>
              <w:lastRenderedPageBreak/>
              <w:t>and ongoing participation.</w:t>
            </w:r>
          </w:p>
        </w:tc>
        <w:tc>
          <w:tcPr>
            <w:tcW w:w="523" w:type="pct"/>
          </w:tcPr>
          <w:p w14:paraId="54356F3B" w14:textId="4DE6EA1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lastRenderedPageBreak/>
              <w:t xml:space="preserve">Applicants are responsible for accepting the terms and conditions of the supply of the recommended AT and must advise the service provider of any change to their eligibility </w:t>
            </w:r>
            <w:r w:rsidRPr="009434AE">
              <w:rPr>
                <w:rFonts w:cstheme="minorHAnsi"/>
                <w:sz w:val="14"/>
                <w:szCs w:val="14"/>
              </w:rPr>
              <w:lastRenderedPageBreak/>
              <w:t xml:space="preserve">status. This </w:t>
            </w:r>
            <w:proofErr w:type="gramStart"/>
            <w:r w:rsidRPr="009434AE">
              <w:rPr>
                <w:rFonts w:cstheme="minorHAnsi"/>
                <w:sz w:val="14"/>
                <w:szCs w:val="14"/>
              </w:rPr>
              <w:t>includes:</w:t>
            </w:r>
            <w:proofErr w:type="gramEnd"/>
            <w:r w:rsidRPr="009434AE">
              <w:rPr>
                <w:rFonts w:cstheme="minorHAnsi"/>
                <w:sz w:val="14"/>
                <w:szCs w:val="14"/>
              </w:rPr>
              <w:t xml:space="preserve"> becoming an NDIS participant or recipient of other government schemes that fund </w:t>
            </w:r>
            <w:r w:rsidR="00023694">
              <w:rPr>
                <w:rFonts w:cstheme="minorHAnsi"/>
                <w:sz w:val="14"/>
                <w:szCs w:val="14"/>
              </w:rPr>
              <w:t>AT</w:t>
            </w:r>
            <w:r w:rsidRPr="009434AE">
              <w:rPr>
                <w:rFonts w:cstheme="minorHAnsi"/>
                <w:sz w:val="14"/>
                <w:szCs w:val="14"/>
              </w:rPr>
              <w:t>; becoming a recipient of a Commonwealth Government H</w:t>
            </w:r>
            <w:r w:rsidR="00C545F7">
              <w:rPr>
                <w:rFonts w:cstheme="minorHAnsi"/>
                <w:sz w:val="14"/>
                <w:szCs w:val="14"/>
              </w:rPr>
              <w:t>CP</w:t>
            </w:r>
            <w:r w:rsidRPr="009434AE">
              <w:rPr>
                <w:rFonts w:cstheme="minorHAnsi"/>
                <w:sz w:val="14"/>
                <w:szCs w:val="14"/>
              </w:rPr>
              <w:t xml:space="preserve"> or entering residential aged care; receiving compensation for </w:t>
            </w:r>
            <w:r w:rsidR="00023694">
              <w:rPr>
                <w:rFonts w:cstheme="minorHAnsi"/>
                <w:sz w:val="14"/>
                <w:szCs w:val="14"/>
              </w:rPr>
              <w:t>AT</w:t>
            </w:r>
            <w:r w:rsidRPr="009434AE">
              <w:rPr>
                <w:rFonts w:cstheme="minorHAnsi"/>
                <w:sz w:val="14"/>
                <w:szCs w:val="14"/>
              </w:rPr>
              <w:t xml:space="preserve"> from any other source; and moving interstate or overseas.</w:t>
            </w:r>
          </w:p>
        </w:tc>
        <w:tc>
          <w:tcPr>
            <w:tcW w:w="524" w:type="pct"/>
          </w:tcPr>
          <w:p w14:paraId="20F91DC0" w14:textId="2C0696FE" w:rsidR="00431518" w:rsidRPr="009434AE" w:rsidRDefault="00EC6A7F"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Pr>
                <w:rFonts w:cstheme="minorHAnsi"/>
                <w:sz w:val="14"/>
                <w:szCs w:val="14"/>
              </w:rPr>
              <w:lastRenderedPageBreak/>
              <w:t>Information not available</w:t>
            </w:r>
            <w:r w:rsidR="00431518" w:rsidRPr="009434AE">
              <w:rPr>
                <w:rFonts w:cstheme="minorHAnsi"/>
                <w:sz w:val="14"/>
                <w:szCs w:val="14"/>
              </w:rPr>
              <w:t>.</w:t>
            </w:r>
          </w:p>
        </w:tc>
        <w:tc>
          <w:tcPr>
            <w:tcW w:w="523" w:type="pct"/>
          </w:tcPr>
          <w:p w14:paraId="0FF71722" w14:textId="2C4F198E"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An applicant must continue to meet eligibility requirements to receive on</w:t>
            </w:r>
            <w:r w:rsidR="008A25D6">
              <w:rPr>
                <w:rFonts w:cstheme="minorHAnsi"/>
                <w:sz w:val="14"/>
                <w:szCs w:val="14"/>
              </w:rPr>
              <w:t>going</w:t>
            </w:r>
            <w:r w:rsidRPr="009434AE">
              <w:rPr>
                <w:rFonts w:cstheme="minorHAnsi"/>
                <w:sz w:val="14"/>
                <w:szCs w:val="14"/>
              </w:rPr>
              <w:t xml:space="preserve"> funding and assistance and is responsible for advising their eligible prescriber and QHSSL of any </w:t>
            </w:r>
            <w:r w:rsidRPr="009434AE">
              <w:rPr>
                <w:rFonts w:cstheme="minorHAnsi"/>
                <w:sz w:val="14"/>
                <w:szCs w:val="14"/>
              </w:rPr>
              <w:lastRenderedPageBreak/>
              <w:t>change to their eligibility status, contact details (including if they move interstate or overseas), change in nominated contact person’s details and physical condition such as change or decrease in functional or cognitive ability.</w:t>
            </w:r>
          </w:p>
          <w:p w14:paraId="153F38AA"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roofErr w:type="gramStart"/>
            <w:r w:rsidRPr="009434AE">
              <w:rPr>
                <w:rFonts w:cstheme="minorHAnsi"/>
                <w:sz w:val="14"/>
                <w:szCs w:val="14"/>
              </w:rPr>
              <w:t>In order to</w:t>
            </w:r>
            <w:proofErr w:type="gramEnd"/>
            <w:r w:rsidRPr="009434AE">
              <w:rPr>
                <w:rFonts w:cstheme="minorHAnsi"/>
                <w:sz w:val="14"/>
                <w:szCs w:val="14"/>
              </w:rPr>
              <w:t xml:space="preserve"> meet clinical eligibility requirements for ongoing support through QHSSL, applicants are required to undergo a minimum 12-month clinical review with an eligible prescriber.</w:t>
            </w:r>
          </w:p>
        </w:tc>
        <w:tc>
          <w:tcPr>
            <w:tcW w:w="524" w:type="pct"/>
          </w:tcPr>
          <w:p w14:paraId="356D85E9" w14:textId="5E9E471A" w:rsidR="00431518" w:rsidRPr="009434AE" w:rsidRDefault="00EC6A7F"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Pr>
                <w:rFonts w:cstheme="minorHAnsi"/>
                <w:sz w:val="14"/>
                <w:szCs w:val="14"/>
              </w:rPr>
              <w:lastRenderedPageBreak/>
              <w:t>Information not available</w:t>
            </w:r>
            <w:r w:rsidR="00431518" w:rsidRPr="009434AE">
              <w:rPr>
                <w:rFonts w:cstheme="minorHAnsi"/>
                <w:sz w:val="14"/>
                <w:szCs w:val="14"/>
              </w:rPr>
              <w:t>.</w:t>
            </w:r>
          </w:p>
        </w:tc>
        <w:tc>
          <w:tcPr>
            <w:tcW w:w="523" w:type="pct"/>
          </w:tcPr>
          <w:p w14:paraId="45B6FF4E"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CAEP equipment is provided to people as a long-term loan until no longer needed.</w:t>
            </w:r>
          </w:p>
          <w:p w14:paraId="186D2E00"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When people no longer need the equipment, they should advise the prescribing therapist.</w:t>
            </w:r>
          </w:p>
        </w:tc>
        <w:tc>
          <w:tcPr>
            <w:tcW w:w="524" w:type="pct"/>
          </w:tcPr>
          <w:p w14:paraId="2F8A8799"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Participants must return equipment to ACTES if they no longer need the equipment provided; move to a high-level residential care facility; and/or plan to move out of the ACT.</w:t>
            </w:r>
          </w:p>
        </w:tc>
        <w:tc>
          <w:tcPr>
            <w:tcW w:w="523" w:type="pct"/>
          </w:tcPr>
          <w:p w14:paraId="7080CB00" w14:textId="71943539"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The regular review of allocated items of </w:t>
            </w:r>
            <w:r w:rsidR="00023694">
              <w:rPr>
                <w:rFonts w:cstheme="minorHAnsi"/>
                <w:sz w:val="14"/>
                <w:szCs w:val="14"/>
              </w:rPr>
              <w:t>AT</w:t>
            </w:r>
            <w:r w:rsidRPr="009434AE">
              <w:rPr>
                <w:rFonts w:cstheme="minorHAnsi"/>
                <w:sz w:val="14"/>
                <w:szCs w:val="14"/>
              </w:rPr>
              <w:t xml:space="preserve"> is required to ensure items are still required, meet the client’s needs and are not in need of replacement or repair.</w:t>
            </w:r>
          </w:p>
          <w:p w14:paraId="17F8B7B6" w14:textId="7A88500E"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Generally, an initial review will be </w:t>
            </w:r>
            <w:r w:rsidRPr="009434AE">
              <w:rPr>
                <w:rFonts w:cstheme="minorHAnsi"/>
                <w:sz w:val="14"/>
                <w:szCs w:val="14"/>
              </w:rPr>
              <w:lastRenderedPageBreak/>
              <w:t xml:space="preserve">conducted by the </w:t>
            </w:r>
            <w:r w:rsidR="00D12938">
              <w:rPr>
                <w:rFonts w:cstheme="minorHAnsi"/>
                <w:sz w:val="14"/>
                <w:szCs w:val="14"/>
              </w:rPr>
              <w:t>a</w:t>
            </w:r>
            <w:r w:rsidRPr="009434AE">
              <w:rPr>
                <w:rFonts w:cstheme="minorHAnsi"/>
                <w:sz w:val="14"/>
                <w:szCs w:val="14"/>
              </w:rPr>
              <w:t xml:space="preserve">pproved </w:t>
            </w:r>
            <w:r w:rsidR="00D12938">
              <w:rPr>
                <w:rFonts w:cstheme="minorHAnsi"/>
                <w:sz w:val="14"/>
                <w:szCs w:val="14"/>
              </w:rPr>
              <w:t>p</w:t>
            </w:r>
            <w:r w:rsidRPr="009434AE">
              <w:rPr>
                <w:rFonts w:cstheme="minorHAnsi"/>
                <w:sz w:val="14"/>
                <w:szCs w:val="14"/>
              </w:rPr>
              <w:t xml:space="preserve">rescriber at the time of delivery or within four weeks of issue. Subsequent reviews are then carried out between four to 12 weeks and at 12 months or as identified in the relevant </w:t>
            </w:r>
            <w:r w:rsidR="002741E9">
              <w:rPr>
                <w:rFonts w:cstheme="minorHAnsi"/>
                <w:sz w:val="14"/>
                <w:szCs w:val="14"/>
              </w:rPr>
              <w:t>c</w:t>
            </w:r>
            <w:r w:rsidRPr="009434AE">
              <w:rPr>
                <w:rFonts w:cstheme="minorHAnsi"/>
                <w:sz w:val="14"/>
                <w:szCs w:val="14"/>
              </w:rPr>
              <w:t xml:space="preserve">linical </w:t>
            </w:r>
            <w:r w:rsidR="002741E9">
              <w:rPr>
                <w:rFonts w:cstheme="minorHAnsi"/>
                <w:sz w:val="14"/>
                <w:szCs w:val="14"/>
              </w:rPr>
              <w:t>g</w:t>
            </w:r>
            <w:r w:rsidRPr="009434AE">
              <w:rPr>
                <w:rFonts w:cstheme="minorHAnsi"/>
                <w:sz w:val="14"/>
                <w:szCs w:val="14"/>
              </w:rPr>
              <w:t>uidelines.</w:t>
            </w:r>
          </w:p>
        </w:tc>
        <w:tc>
          <w:tcPr>
            <w:tcW w:w="524" w:type="pct"/>
          </w:tcPr>
          <w:p w14:paraId="3BAC8C92" w14:textId="5DCAC756"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lastRenderedPageBreak/>
              <w:t>When the participant no longer requires the equipment, it must be cleaned and returned to one of the warehouses in Tasmania.</w:t>
            </w:r>
          </w:p>
          <w:p w14:paraId="65999381"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If the participant is admitted to an Aged Care Facility, </w:t>
            </w:r>
            <w:r w:rsidRPr="009434AE">
              <w:rPr>
                <w:rFonts w:cstheme="minorHAnsi"/>
                <w:sz w:val="14"/>
                <w:szCs w:val="14"/>
              </w:rPr>
              <w:lastRenderedPageBreak/>
              <w:t>the equipment must be returned.</w:t>
            </w:r>
          </w:p>
        </w:tc>
      </w:tr>
      <w:tr w:rsidR="006250DE" w:rsidRPr="009434AE" w14:paraId="1709A665" w14:textId="77777777" w:rsidTr="009434AE">
        <w:tc>
          <w:tcPr>
            <w:cnfStyle w:val="001000000000" w:firstRow="0" w:lastRow="0" w:firstColumn="1" w:lastColumn="0" w:oddVBand="0" w:evenVBand="0" w:oddHBand="0" w:evenHBand="0" w:firstRowFirstColumn="0" w:firstRowLastColumn="0" w:lastRowFirstColumn="0" w:lastRowLastColumn="0"/>
            <w:tcW w:w="437" w:type="pct"/>
          </w:tcPr>
          <w:p w14:paraId="144E8375" w14:textId="77777777" w:rsidR="00431518" w:rsidRPr="009434AE" w:rsidRDefault="00431518" w:rsidP="009434AE">
            <w:pPr>
              <w:spacing w:before="0" w:after="0"/>
              <w:rPr>
                <w:rFonts w:cstheme="minorHAnsi"/>
                <w:b w:val="0"/>
                <w:bCs/>
                <w:color w:val="auto"/>
                <w:sz w:val="14"/>
                <w:szCs w:val="14"/>
              </w:rPr>
            </w:pPr>
            <w:r w:rsidRPr="009434AE">
              <w:rPr>
                <w:rFonts w:cstheme="minorHAnsi"/>
                <w:bCs/>
                <w:color w:val="auto"/>
                <w:sz w:val="14"/>
                <w:szCs w:val="14"/>
              </w:rPr>
              <w:lastRenderedPageBreak/>
              <w:t>Fees and Charges</w:t>
            </w:r>
          </w:p>
        </w:tc>
        <w:tc>
          <w:tcPr>
            <w:tcW w:w="375" w:type="pct"/>
          </w:tcPr>
          <w:p w14:paraId="2315DCDF"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Details on any access or membership fees associated with participating in the scheme.</w:t>
            </w:r>
          </w:p>
        </w:tc>
        <w:tc>
          <w:tcPr>
            <w:tcW w:w="523" w:type="pct"/>
          </w:tcPr>
          <w:p w14:paraId="18C727CA"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N/A.</w:t>
            </w:r>
          </w:p>
        </w:tc>
        <w:tc>
          <w:tcPr>
            <w:tcW w:w="524" w:type="pct"/>
          </w:tcPr>
          <w:p w14:paraId="2B4E1C84"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$100 each year for Band 1 and 2 taxable income and $800 per year for Band 3 taxable income</w:t>
            </w:r>
          </w:p>
          <w:p w14:paraId="6EA8CD44" w14:textId="63E353B9"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N.B. People in Band 3 are not eligible for </w:t>
            </w:r>
            <w:r w:rsidR="00023694">
              <w:rPr>
                <w:rFonts w:cstheme="minorHAnsi"/>
                <w:sz w:val="14"/>
                <w:szCs w:val="14"/>
              </w:rPr>
              <w:t>AT</w:t>
            </w:r>
            <w:r w:rsidRPr="009434AE">
              <w:rPr>
                <w:rFonts w:cstheme="minorHAnsi"/>
                <w:sz w:val="14"/>
                <w:szCs w:val="14"/>
              </w:rPr>
              <w:t xml:space="preserve"> under $800.</w:t>
            </w:r>
          </w:p>
        </w:tc>
        <w:tc>
          <w:tcPr>
            <w:tcW w:w="523" w:type="pct"/>
          </w:tcPr>
          <w:p w14:paraId="5CD79752"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N/A.</w:t>
            </w:r>
          </w:p>
        </w:tc>
        <w:tc>
          <w:tcPr>
            <w:tcW w:w="524" w:type="pct"/>
          </w:tcPr>
          <w:p w14:paraId="55D51B1A"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If eligible for the DHS Equipment Program, participants do not need to pay for the equipment received.</w:t>
            </w:r>
          </w:p>
        </w:tc>
        <w:tc>
          <w:tcPr>
            <w:tcW w:w="523" w:type="pct"/>
          </w:tcPr>
          <w:p w14:paraId="6B7D8704"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N/A.</w:t>
            </w:r>
          </w:p>
        </w:tc>
        <w:tc>
          <w:tcPr>
            <w:tcW w:w="524" w:type="pct"/>
          </w:tcPr>
          <w:p w14:paraId="49B184BC"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N/A.</w:t>
            </w:r>
          </w:p>
        </w:tc>
        <w:tc>
          <w:tcPr>
            <w:tcW w:w="523" w:type="pct"/>
          </w:tcPr>
          <w:p w14:paraId="3A3E09DF" w14:textId="2DE28A3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TEP only require client contributions for major home modifications and/or when the cost of the item of </w:t>
            </w:r>
            <w:r w:rsidR="00023694">
              <w:rPr>
                <w:rFonts w:cstheme="minorHAnsi"/>
                <w:sz w:val="14"/>
                <w:szCs w:val="14"/>
              </w:rPr>
              <w:t>AT</w:t>
            </w:r>
            <w:r w:rsidRPr="009434AE">
              <w:rPr>
                <w:rFonts w:cstheme="minorHAnsi"/>
                <w:sz w:val="14"/>
                <w:szCs w:val="14"/>
              </w:rPr>
              <w:t xml:space="preserve"> is beyond the specifications prescribed and is selected by client preference. Clients required to contribute in excess of $2 000 can apply for Special </w:t>
            </w:r>
            <w:r w:rsidRPr="009434AE">
              <w:rPr>
                <w:rFonts w:cstheme="minorHAnsi"/>
                <w:sz w:val="14"/>
                <w:szCs w:val="14"/>
              </w:rPr>
              <w:lastRenderedPageBreak/>
              <w:t xml:space="preserve">Consideration for </w:t>
            </w:r>
            <w:proofErr w:type="gramStart"/>
            <w:r w:rsidRPr="009434AE">
              <w:rPr>
                <w:rFonts w:cstheme="minorHAnsi"/>
                <w:sz w:val="14"/>
                <w:szCs w:val="14"/>
              </w:rPr>
              <w:t>High Cost</w:t>
            </w:r>
            <w:proofErr w:type="gramEnd"/>
            <w:r w:rsidRPr="009434AE">
              <w:rPr>
                <w:rFonts w:cstheme="minorHAnsi"/>
                <w:sz w:val="14"/>
                <w:szCs w:val="14"/>
              </w:rPr>
              <w:t xml:space="preserve"> Items.</w:t>
            </w:r>
          </w:p>
        </w:tc>
        <w:tc>
          <w:tcPr>
            <w:tcW w:w="524" w:type="pct"/>
          </w:tcPr>
          <w:p w14:paraId="790D873A"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lastRenderedPageBreak/>
              <w:t>There is a loan fee of $50 for one or more items for any period up to a year.</w:t>
            </w:r>
          </w:p>
        </w:tc>
      </w:tr>
      <w:tr w:rsidR="006250DE" w:rsidRPr="009434AE" w14:paraId="2C0F4FC6" w14:textId="77777777" w:rsidTr="0094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Pr>
          <w:p w14:paraId="684140F0" w14:textId="77777777" w:rsidR="00431518" w:rsidRPr="009434AE" w:rsidRDefault="00431518" w:rsidP="009434AE">
            <w:pPr>
              <w:spacing w:before="0" w:after="0"/>
              <w:rPr>
                <w:rFonts w:cstheme="minorHAnsi"/>
                <w:b w:val="0"/>
                <w:bCs/>
                <w:color w:val="auto"/>
                <w:sz w:val="14"/>
                <w:szCs w:val="14"/>
              </w:rPr>
            </w:pPr>
            <w:r w:rsidRPr="009434AE">
              <w:rPr>
                <w:rFonts w:cstheme="minorHAnsi"/>
                <w:bCs/>
                <w:color w:val="auto"/>
                <w:sz w:val="14"/>
                <w:szCs w:val="14"/>
              </w:rPr>
              <w:t>Application process</w:t>
            </w:r>
          </w:p>
        </w:tc>
        <w:tc>
          <w:tcPr>
            <w:tcW w:w="375" w:type="pct"/>
          </w:tcPr>
          <w:p w14:paraId="2A6525A2"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Steps required for an individual to apply for and receive assistance from the scheme.</w:t>
            </w:r>
          </w:p>
        </w:tc>
        <w:tc>
          <w:tcPr>
            <w:tcW w:w="523" w:type="pct"/>
          </w:tcPr>
          <w:p w14:paraId="056187A7" w14:textId="0CEE022F"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The participant needs to be assessed by an appropriate health professional/A</w:t>
            </w:r>
            <w:r w:rsidR="00A47F6B">
              <w:rPr>
                <w:rFonts w:cstheme="minorHAnsi"/>
                <w:sz w:val="14"/>
                <w:szCs w:val="14"/>
              </w:rPr>
              <w:t>T</w:t>
            </w:r>
            <w:r w:rsidRPr="009434AE">
              <w:rPr>
                <w:rFonts w:cstheme="minorHAnsi"/>
                <w:sz w:val="14"/>
                <w:szCs w:val="14"/>
              </w:rPr>
              <w:t xml:space="preserve"> Practitioner (continence nurse, etc.) who will help determine the most suitable continence item needed. This includes an assessment of whether them or their carer can safely use the continence item. The health professional/AT Practitioner will complete the online form for the item that is needed.</w:t>
            </w:r>
          </w:p>
        </w:tc>
        <w:tc>
          <w:tcPr>
            <w:tcW w:w="524" w:type="pct"/>
          </w:tcPr>
          <w:p w14:paraId="099DD64E"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A person or their representative must complete a consumer application form and provide any requested documentation to </w:t>
            </w:r>
            <w:proofErr w:type="spellStart"/>
            <w:r w:rsidRPr="009434AE">
              <w:rPr>
                <w:rFonts w:cstheme="minorHAnsi"/>
                <w:sz w:val="14"/>
                <w:szCs w:val="14"/>
              </w:rPr>
              <w:t>EnableNSW</w:t>
            </w:r>
            <w:proofErr w:type="spellEnd"/>
            <w:r w:rsidRPr="009434AE">
              <w:rPr>
                <w:rFonts w:cstheme="minorHAnsi"/>
                <w:sz w:val="14"/>
                <w:szCs w:val="14"/>
              </w:rPr>
              <w:t>.</w:t>
            </w:r>
          </w:p>
        </w:tc>
        <w:tc>
          <w:tcPr>
            <w:tcW w:w="523" w:type="pct"/>
          </w:tcPr>
          <w:p w14:paraId="07333080" w14:textId="44A27123"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A prescriber </w:t>
            </w:r>
            <w:r w:rsidR="00D6535B" w:rsidRPr="009434AE">
              <w:rPr>
                <w:rFonts w:cstheme="minorHAnsi"/>
                <w:sz w:val="14"/>
                <w:szCs w:val="14"/>
              </w:rPr>
              <w:t>completes</w:t>
            </w:r>
            <w:r w:rsidRPr="009434AE">
              <w:rPr>
                <w:rFonts w:cstheme="minorHAnsi"/>
                <w:sz w:val="14"/>
                <w:szCs w:val="14"/>
              </w:rPr>
              <w:t xml:space="preserve"> a prescription for the applicant’s laryngectomy respiratory consumables and </w:t>
            </w:r>
            <w:r w:rsidR="004A5BAD" w:rsidRPr="009434AE">
              <w:rPr>
                <w:rFonts w:cstheme="minorHAnsi"/>
                <w:sz w:val="14"/>
                <w:szCs w:val="14"/>
              </w:rPr>
              <w:t>apply</w:t>
            </w:r>
            <w:r w:rsidRPr="009434AE">
              <w:rPr>
                <w:rFonts w:cstheme="minorHAnsi"/>
                <w:sz w:val="14"/>
                <w:szCs w:val="14"/>
              </w:rPr>
              <w:t xml:space="preserve"> on behalf of the applicant to QHSSL for processing, pending availability of sufficient funds within the applicant’s annual allocation.</w:t>
            </w:r>
          </w:p>
        </w:tc>
        <w:tc>
          <w:tcPr>
            <w:tcW w:w="524" w:type="pct"/>
          </w:tcPr>
          <w:p w14:paraId="51D860E3" w14:textId="1FF1E0D5"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Registration to the </w:t>
            </w:r>
            <w:r w:rsidR="00823763">
              <w:rPr>
                <w:rFonts w:cstheme="minorHAnsi"/>
                <w:sz w:val="14"/>
                <w:szCs w:val="14"/>
              </w:rPr>
              <w:t>Adults with Chronic Conditions (</w:t>
            </w:r>
            <w:r w:rsidRPr="009434AE">
              <w:rPr>
                <w:rFonts w:cstheme="minorHAnsi"/>
                <w:sz w:val="14"/>
                <w:szCs w:val="14"/>
              </w:rPr>
              <w:t>ACC</w:t>
            </w:r>
            <w:r w:rsidR="00823763">
              <w:rPr>
                <w:rFonts w:cstheme="minorHAnsi"/>
                <w:sz w:val="14"/>
                <w:szCs w:val="14"/>
              </w:rPr>
              <w:t>)</w:t>
            </w:r>
            <w:r w:rsidRPr="009434AE">
              <w:rPr>
                <w:rFonts w:cstheme="minorHAnsi"/>
                <w:sz w:val="14"/>
                <w:szCs w:val="14"/>
              </w:rPr>
              <w:t xml:space="preserve"> funding stream can be completed using the ACC Client Registration Form by an assessor.</w:t>
            </w:r>
          </w:p>
          <w:p w14:paraId="7509BBC1"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c>
          <w:tcPr>
            <w:tcW w:w="523" w:type="pct"/>
          </w:tcPr>
          <w:p w14:paraId="1174CC68"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An applicant needs to be referred to CAEP from either:</w:t>
            </w:r>
          </w:p>
          <w:p w14:paraId="48D27DD5" w14:textId="77777777" w:rsidR="00431518" w:rsidRPr="009434AE" w:rsidRDefault="00431518" w:rsidP="00E442CB">
            <w:pPr>
              <w:pStyle w:val="ListParagraph"/>
              <w:numPr>
                <w:ilvl w:val="0"/>
                <w:numId w:val="34"/>
              </w:numPr>
              <w:spacing w:before="0" w:after="0" w:line="259" w:lineRule="auto"/>
              <w:ind w:left="170" w:hanging="17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 medical practitioner or allied health professional</w:t>
            </w:r>
          </w:p>
          <w:p w14:paraId="4E323C3B" w14:textId="77777777" w:rsidR="00431518" w:rsidRPr="009434AE" w:rsidRDefault="00431518" w:rsidP="00E442CB">
            <w:pPr>
              <w:pStyle w:val="ListParagraph"/>
              <w:numPr>
                <w:ilvl w:val="0"/>
                <w:numId w:val="34"/>
              </w:numPr>
              <w:spacing w:before="0" w:after="0" w:line="259" w:lineRule="auto"/>
              <w:ind w:left="170" w:hanging="17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a disability sector organisation with the expertise to refer from within their </w:t>
            </w:r>
            <w:proofErr w:type="gramStart"/>
            <w:r w:rsidRPr="009434AE">
              <w:rPr>
                <w:rFonts w:cstheme="minorHAnsi"/>
                <w:sz w:val="14"/>
                <w:szCs w:val="14"/>
              </w:rPr>
              <w:t>organisation</w:t>
            </w:r>
            <w:proofErr w:type="gramEnd"/>
          </w:p>
          <w:p w14:paraId="783D73D4" w14:textId="77777777" w:rsidR="00431518" w:rsidRPr="009434AE" w:rsidRDefault="00431518" w:rsidP="00E442CB">
            <w:pPr>
              <w:pStyle w:val="ListParagraph"/>
              <w:numPr>
                <w:ilvl w:val="0"/>
                <w:numId w:val="34"/>
              </w:numPr>
              <w:spacing w:before="0" w:after="0" w:line="259" w:lineRule="auto"/>
              <w:ind w:left="170" w:hanging="17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in rural and remote areas, a community nurse, remote area nurse, clinical therapist or local coordinator may refer applicants.</w:t>
            </w:r>
          </w:p>
          <w:p w14:paraId="68918865"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 referral is required from a recognised Referrer for initial specification of aids and equipment.</w:t>
            </w:r>
          </w:p>
        </w:tc>
        <w:tc>
          <w:tcPr>
            <w:tcW w:w="524" w:type="pct"/>
          </w:tcPr>
          <w:p w14:paraId="322A789D"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Applicants can make an application to ACTES using the ACTES application form. The form must be completed by all the following people:</w:t>
            </w:r>
          </w:p>
          <w:p w14:paraId="2261E46C" w14:textId="77777777" w:rsidR="00431518" w:rsidRPr="009434AE" w:rsidRDefault="00431518" w:rsidP="00E442CB">
            <w:pPr>
              <w:pStyle w:val="ListParagraph"/>
              <w:numPr>
                <w:ilvl w:val="0"/>
                <w:numId w:val="34"/>
              </w:numPr>
              <w:spacing w:before="0" w:after="0" w:line="259" w:lineRule="auto"/>
              <w:ind w:left="170" w:hanging="17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The applicant’s primary health therapist</w:t>
            </w:r>
          </w:p>
          <w:p w14:paraId="2084BE5B" w14:textId="77777777" w:rsidR="00431518" w:rsidRPr="009434AE" w:rsidRDefault="00431518" w:rsidP="00E442CB">
            <w:pPr>
              <w:pStyle w:val="ListParagraph"/>
              <w:numPr>
                <w:ilvl w:val="0"/>
                <w:numId w:val="34"/>
              </w:numPr>
              <w:spacing w:before="0" w:after="0" w:line="259" w:lineRule="auto"/>
              <w:ind w:left="170" w:hanging="17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The applicant</w:t>
            </w:r>
          </w:p>
          <w:p w14:paraId="1F87689A" w14:textId="77777777" w:rsidR="00431518" w:rsidRPr="009434AE" w:rsidRDefault="00431518" w:rsidP="00E442CB">
            <w:pPr>
              <w:pStyle w:val="ListParagraph"/>
              <w:numPr>
                <w:ilvl w:val="0"/>
                <w:numId w:val="34"/>
              </w:numPr>
              <w:spacing w:before="0" w:after="0" w:line="259" w:lineRule="auto"/>
              <w:ind w:left="170" w:hanging="17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The applicant’s GP or Specialist</w:t>
            </w:r>
          </w:p>
          <w:p w14:paraId="28C4909F"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Application forms are available from the ACTES office and their primary health therapist.</w:t>
            </w:r>
          </w:p>
        </w:tc>
        <w:tc>
          <w:tcPr>
            <w:tcW w:w="523" w:type="pct"/>
          </w:tcPr>
          <w:p w14:paraId="17ECF1D7"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An approved prescriber makes the application on behalf of an individual to the TEP.</w:t>
            </w:r>
          </w:p>
        </w:tc>
        <w:tc>
          <w:tcPr>
            <w:tcW w:w="524" w:type="pct"/>
          </w:tcPr>
          <w:p w14:paraId="780682EB"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Access to </w:t>
            </w:r>
            <w:proofErr w:type="spellStart"/>
            <w:r w:rsidRPr="009434AE">
              <w:rPr>
                <w:rFonts w:cstheme="minorHAnsi"/>
                <w:sz w:val="14"/>
                <w:szCs w:val="14"/>
              </w:rPr>
              <w:t>TasEquip</w:t>
            </w:r>
            <w:proofErr w:type="spellEnd"/>
            <w:r w:rsidRPr="009434AE">
              <w:rPr>
                <w:rFonts w:cstheme="minorHAnsi"/>
                <w:sz w:val="14"/>
                <w:szCs w:val="14"/>
              </w:rPr>
              <w:t xml:space="preserve"> resources is only through prescription by an authorised prescriber. Clinical priorities apply, and there is a funding cap for new equipment purchases.</w:t>
            </w:r>
          </w:p>
          <w:p w14:paraId="2CD96BF5"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r>
      <w:tr w:rsidR="006250DE" w:rsidRPr="009434AE" w14:paraId="42D10A7C" w14:textId="77777777" w:rsidTr="009434AE">
        <w:tc>
          <w:tcPr>
            <w:cnfStyle w:val="001000000000" w:firstRow="0" w:lastRow="0" w:firstColumn="1" w:lastColumn="0" w:oddVBand="0" w:evenVBand="0" w:oddHBand="0" w:evenHBand="0" w:firstRowFirstColumn="0" w:firstRowLastColumn="0" w:lastRowFirstColumn="0" w:lastRowLastColumn="0"/>
            <w:tcW w:w="437" w:type="pct"/>
          </w:tcPr>
          <w:p w14:paraId="426038E7" w14:textId="77777777" w:rsidR="00431518" w:rsidRPr="009434AE" w:rsidRDefault="00431518" w:rsidP="009434AE">
            <w:pPr>
              <w:spacing w:before="0" w:after="0"/>
              <w:rPr>
                <w:rFonts w:cstheme="minorHAnsi"/>
                <w:b w:val="0"/>
                <w:bCs/>
                <w:color w:val="auto"/>
                <w:sz w:val="14"/>
                <w:szCs w:val="14"/>
              </w:rPr>
            </w:pPr>
            <w:r w:rsidRPr="009434AE">
              <w:rPr>
                <w:rFonts w:cstheme="minorHAnsi"/>
                <w:bCs/>
                <w:color w:val="auto"/>
                <w:sz w:val="14"/>
                <w:szCs w:val="14"/>
              </w:rPr>
              <w:t>Payments of claims</w:t>
            </w:r>
          </w:p>
        </w:tc>
        <w:tc>
          <w:tcPr>
            <w:tcW w:w="375" w:type="pct"/>
          </w:tcPr>
          <w:p w14:paraId="0073CABE"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Processes for transferring funds to cover the cost of stoma-related products and services. </w:t>
            </w:r>
          </w:p>
        </w:tc>
        <w:tc>
          <w:tcPr>
            <w:tcW w:w="523" w:type="pct"/>
          </w:tcPr>
          <w:p w14:paraId="75357FCF"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If the subsidy does not cover the full cost of the AT item, a gap funding form may be sent to complete. This form will advise SWEP as to how the remainder of the cost is to be paid. </w:t>
            </w:r>
            <w:r w:rsidRPr="009434AE">
              <w:rPr>
                <w:rFonts w:cstheme="minorHAnsi"/>
                <w:sz w:val="14"/>
                <w:szCs w:val="14"/>
              </w:rPr>
              <w:lastRenderedPageBreak/>
              <w:t>When funding is available, SWEP will call the participant to check if the AT item or customisation is still needed and then place an order.</w:t>
            </w:r>
          </w:p>
        </w:tc>
        <w:tc>
          <w:tcPr>
            <w:tcW w:w="524" w:type="pct"/>
          </w:tcPr>
          <w:p w14:paraId="20752F86"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lastRenderedPageBreak/>
              <w:t xml:space="preserve">The co-payment is made online. </w:t>
            </w:r>
          </w:p>
        </w:tc>
        <w:tc>
          <w:tcPr>
            <w:tcW w:w="523" w:type="pct"/>
          </w:tcPr>
          <w:p w14:paraId="4AACE858" w14:textId="371D52F5"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Where insufficient funds are available, the applicant will be required to self-fund their laryngectomy respiratory consumables by purchasing directly from the supplier</w:t>
            </w:r>
            <w:r w:rsidR="00644311">
              <w:rPr>
                <w:rFonts w:cstheme="minorHAnsi"/>
                <w:sz w:val="14"/>
                <w:szCs w:val="14"/>
              </w:rPr>
              <w:t>.</w:t>
            </w:r>
          </w:p>
        </w:tc>
        <w:tc>
          <w:tcPr>
            <w:tcW w:w="524" w:type="pct"/>
          </w:tcPr>
          <w:p w14:paraId="665A4871"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N/A.</w:t>
            </w:r>
          </w:p>
        </w:tc>
        <w:tc>
          <w:tcPr>
            <w:tcW w:w="523" w:type="pct"/>
          </w:tcPr>
          <w:p w14:paraId="3099F40A"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N/A.</w:t>
            </w:r>
          </w:p>
        </w:tc>
        <w:tc>
          <w:tcPr>
            <w:tcW w:w="524" w:type="pct"/>
          </w:tcPr>
          <w:p w14:paraId="1D33E712"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N/A.</w:t>
            </w:r>
          </w:p>
        </w:tc>
        <w:tc>
          <w:tcPr>
            <w:tcW w:w="523" w:type="pct"/>
          </w:tcPr>
          <w:p w14:paraId="6B34634C"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N/A.</w:t>
            </w:r>
          </w:p>
        </w:tc>
        <w:tc>
          <w:tcPr>
            <w:tcW w:w="524" w:type="pct"/>
          </w:tcPr>
          <w:p w14:paraId="53D23892"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N/A.</w:t>
            </w:r>
          </w:p>
        </w:tc>
      </w:tr>
      <w:tr w:rsidR="006A5D1A" w:rsidRPr="009434AE" w14:paraId="2EB41E3B" w14:textId="77777777" w:rsidTr="0094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Pr>
          <w:p w14:paraId="688C21E4" w14:textId="77777777" w:rsidR="00431518" w:rsidRPr="009434AE" w:rsidRDefault="00431518" w:rsidP="009434AE">
            <w:pPr>
              <w:spacing w:before="0" w:after="0"/>
              <w:rPr>
                <w:rFonts w:cstheme="minorHAnsi"/>
                <w:b w:val="0"/>
                <w:bCs/>
                <w:color w:val="auto"/>
                <w:sz w:val="14"/>
                <w:szCs w:val="14"/>
              </w:rPr>
            </w:pPr>
            <w:r w:rsidRPr="009434AE">
              <w:rPr>
                <w:rFonts w:cstheme="minorHAnsi"/>
                <w:bCs/>
                <w:color w:val="auto"/>
                <w:sz w:val="14"/>
                <w:szCs w:val="14"/>
              </w:rPr>
              <w:t>Pricing</w:t>
            </w:r>
          </w:p>
        </w:tc>
        <w:tc>
          <w:tcPr>
            <w:tcW w:w="375" w:type="pct"/>
          </w:tcPr>
          <w:p w14:paraId="62FD28C7"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How pricing is structured for products and services.</w:t>
            </w:r>
          </w:p>
        </w:tc>
        <w:tc>
          <w:tcPr>
            <w:tcW w:w="523" w:type="pct"/>
          </w:tcPr>
          <w:p w14:paraId="25124B49" w14:textId="52CB1171"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The AT item categories and their maximum subsidy levels under the </w:t>
            </w:r>
            <w:r w:rsidR="008C2D29">
              <w:rPr>
                <w:rFonts w:cstheme="minorHAnsi"/>
                <w:sz w:val="14"/>
                <w:szCs w:val="14"/>
              </w:rPr>
              <w:t>Victorian Aids and Equipment Program</w:t>
            </w:r>
            <w:r w:rsidR="00ED2362">
              <w:rPr>
                <w:rFonts w:cstheme="minorHAnsi"/>
                <w:sz w:val="14"/>
                <w:szCs w:val="14"/>
              </w:rPr>
              <w:t xml:space="preserve">: </w:t>
            </w:r>
            <w:hyperlink r:id="rId33" w:history="1">
              <w:r w:rsidRPr="009434AE">
                <w:rPr>
                  <w:rStyle w:val="Hyperlink"/>
                  <w:rFonts w:cstheme="minorHAnsi"/>
                  <w:color w:val="auto"/>
                  <w:sz w:val="14"/>
                  <w:szCs w:val="14"/>
                </w:rPr>
                <w:t>https://swep.bhs.org.au/available-items-and-subsidy.php</w:t>
              </w:r>
            </w:hyperlink>
            <w:r w:rsidRPr="009434AE">
              <w:rPr>
                <w:rFonts w:cstheme="minorHAnsi"/>
                <w:sz w:val="14"/>
                <w:szCs w:val="14"/>
              </w:rPr>
              <w:t xml:space="preserve"> </w:t>
            </w:r>
          </w:p>
        </w:tc>
        <w:tc>
          <w:tcPr>
            <w:tcW w:w="524" w:type="pct"/>
          </w:tcPr>
          <w:p w14:paraId="49DF0610"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 co-payment is only required when receive the equipment or when access the service (including a repair or a consumable reorder), however it is capped at one $100 payment per financial year.</w:t>
            </w:r>
          </w:p>
        </w:tc>
        <w:tc>
          <w:tcPr>
            <w:tcW w:w="523" w:type="pct"/>
          </w:tcPr>
          <w:p w14:paraId="0BF865CA" w14:textId="49AF484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N/A.</w:t>
            </w:r>
          </w:p>
        </w:tc>
        <w:tc>
          <w:tcPr>
            <w:tcW w:w="524" w:type="pct"/>
          </w:tcPr>
          <w:p w14:paraId="53659EEB"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N/A.</w:t>
            </w:r>
          </w:p>
        </w:tc>
        <w:tc>
          <w:tcPr>
            <w:tcW w:w="523" w:type="pct"/>
          </w:tcPr>
          <w:p w14:paraId="7C8E8179"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N/A.</w:t>
            </w:r>
          </w:p>
        </w:tc>
        <w:tc>
          <w:tcPr>
            <w:tcW w:w="524" w:type="pct"/>
          </w:tcPr>
          <w:p w14:paraId="0209F293"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N/A.</w:t>
            </w:r>
          </w:p>
        </w:tc>
        <w:tc>
          <w:tcPr>
            <w:tcW w:w="523" w:type="pct"/>
          </w:tcPr>
          <w:p w14:paraId="52ABAF5E"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N/A.</w:t>
            </w:r>
          </w:p>
        </w:tc>
        <w:tc>
          <w:tcPr>
            <w:tcW w:w="524" w:type="pct"/>
          </w:tcPr>
          <w:p w14:paraId="1F738B4F"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N/A.</w:t>
            </w:r>
          </w:p>
        </w:tc>
      </w:tr>
      <w:tr w:rsidR="006A5D1A" w:rsidRPr="009434AE" w14:paraId="136A5DE6" w14:textId="77777777" w:rsidTr="009434AE">
        <w:tc>
          <w:tcPr>
            <w:cnfStyle w:val="001000000000" w:firstRow="0" w:lastRow="0" w:firstColumn="1" w:lastColumn="0" w:oddVBand="0" w:evenVBand="0" w:oddHBand="0" w:evenHBand="0" w:firstRowFirstColumn="0" w:firstRowLastColumn="0" w:lastRowFirstColumn="0" w:lastRowLastColumn="0"/>
            <w:tcW w:w="437" w:type="pct"/>
          </w:tcPr>
          <w:p w14:paraId="6CDED4A9" w14:textId="77777777" w:rsidR="00431518" w:rsidRPr="009434AE" w:rsidRDefault="00431518" w:rsidP="009434AE">
            <w:pPr>
              <w:spacing w:before="0" w:after="0"/>
              <w:rPr>
                <w:rFonts w:cstheme="minorHAnsi"/>
                <w:b w:val="0"/>
                <w:bCs/>
                <w:color w:val="auto"/>
                <w:sz w:val="14"/>
                <w:szCs w:val="14"/>
              </w:rPr>
            </w:pPr>
            <w:r w:rsidRPr="009434AE">
              <w:rPr>
                <w:rFonts w:cstheme="minorHAnsi"/>
                <w:bCs/>
                <w:color w:val="auto"/>
                <w:sz w:val="14"/>
                <w:szCs w:val="14"/>
              </w:rPr>
              <w:t>Ordering</w:t>
            </w:r>
          </w:p>
        </w:tc>
        <w:tc>
          <w:tcPr>
            <w:tcW w:w="375" w:type="pct"/>
          </w:tcPr>
          <w:p w14:paraId="3B914E4E"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The procedure by which participants request specific stoma-related products or services. This involves selecting items based on eligibility, adhering to set limits, and submitting the request through designated channels.</w:t>
            </w:r>
          </w:p>
        </w:tc>
        <w:tc>
          <w:tcPr>
            <w:tcW w:w="523" w:type="pct"/>
          </w:tcPr>
          <w:p w14:paraId="5075EA5D" w14:textId="474E235B"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Once eligibility is confirmed, SWEP will order the required continence items from the supplier which will be delivered to a nominated address.</w:t>
            </w:r>
          </w:p>
          <w:p w14:paraId="56ACDE6E"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Supply is based on consumer need, recommended by a Continence AT Practitioner. If the $1200 subsidy does not cover the full cost of the continence item, the participant or a third party will need </w:t>
            </w:r>
            <w:r w:rsidRPr="009434AE">
              <w:rPr>
                <w:rFonts w:cstheme="minorHAnsi"/>
                <w:sz w:val="14"/>
                <w:szCs w:val="14"/>
              </w:rPr>
              <w:lastRenderedPageBreak/>
              <w:t>to pay the remainder.</w:t>
            </w:r>
          </w:p>
        </w:tc>
        <w:tc>
          <w:tcPr>
            <w:tcW w:w="524" w:type="pct"/>
          </w:tcPr>
          <w:p w14:paraId="40DE0A56" w14:textId="1BAF303B"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lastRenderedPageBreak/>
              <w:t>To place an order for continence, Home Enteral Nutrition or Respiratory items, a reorder request can be sent via email or can contact support team via phone.</w:t>
            </w:r>
          </w:p>
          <w:p w14:paraId="213F600F"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proofErr w:type="spellStart"/>
            <w:r w:rsidRPr="009434AE">
              <w:rPr>
                <w:rFonts w:cstheme="minorHAnsi"/>
                <w:sz w:val="14"/>
                <w:szCs w:val="14"/>
              </w:rPr>
              <w:t>EnableNSW</w:t>
            </w:r>
            <w:proofErr w:type="spellEnd"/>
            <w:r w:rsidRPr="009434AE">
              <w:rPr>
                <w:rFonts w:cstheme="minorHAnsi"/>
                <w:sz w:val="14"/>
                <w:szCs w:val="14"/>
              </w:rPr>
              <w:t xml:space="preserve"> Online is an online platform that allows NSW Health clinicians to submit equipment requests and check the status at any time.</w:t>
            </w:r>
          </w:p>
        </w:tc>
        <w:tc>
          <w:tcPr>
            <w:tcW w:w="523" w:type="pct"/>
          </w:tcPr>
          <w:p w14:paraId="1754D89F"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There is a specified supply scheduled to provide 12-months’ supply of products. </w:t>
            </w:r>
          </w:p>
        </w:tc>
        <w:tc>
          <w:tcPr>
            <w:tcW w:w="524" w:type="pct"/>
          </w:tcPr>
          <w:p w14:paraId="2D0715F1" w14:textId="4B2356F5"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Equipment items for clients is sourced through not-for-profit A</w:t>
            </w:r>
            <w:r w:rsidR="00023694">
              <w:rPr>
                <w:rFonts w:cstheme="minorHAnsi"/>
                <w:sz w:val="14"/>
                <w:szCs w:val="14"/>
              </w:rPr>
              <w:t>T</w:t>
            </w:r>
            <w:r w:rsidRPr="009434AE">
              <w:rPr>
                <w:rFonts w:cstheme="minorHAnsi"/>
                <w:sz w:val="14"/>
                <w:szCs w:val="14"/>
              </w:rPr>
              <w:t xml:space="preserve"> provider, </w:t>
            </w:r>
            <w:r w:rsidR="0066534A">
              <w:rPr>
                <w:rFonts w:cstheme="minorHAnsi"/>
                <w:sz w:val="14"/>
                <w:szCs w:val="14"/>
              </w:rPr>
              <w:t>Assistive Living Technologies Equipment Resources (</w:t>
            </w:r>
            <w:r w:rsidRPr="009434AE">
              <w:rPr>
                <w:rFonts w:cstheme="minorHAnsi"/>
                <w:sz w:val="14"/>
                <w:szCs w:val="14"/>
              </w:rPr>
              <w:t>ALTER</w:t>
            </w:r>
            <w:r w:rsidR="0066534A">
              <w:rPr>
                <w:rFonts w:cstheme="minorHAnsi"/>
                <w:sz w:val="14"/>
                <w:szCs w:val="14"/>
              </w:rPr>
              <w:t>)</w:t>
            </w:r>
            <w:r w:rsidRPr="009434AE">
              <w:rPr>
                <w:rFonts w:cstheme="minorHAnsi"/>
                <w:sz w:val="14"/>
                <w:szCs w:val="14"/>
              </w:rPr>
              <w:t>. Participants select equipment items via the ALTER online catalogue.</w:t>
            </w:r>
          </w:p>
        </w:tc>
        <w:tc>
          <w:tcPr>
            <w:tcW w:w="523" w:type="pct"/>
          </w:tcPr>
          <w:p w14:paraId="03E191A6"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The service provider/budget holder approves funding and orders equipment prescribed for the person when funding is available.</w:t>
            </w:r>
          </w:p>
        </w:tc>
        <w:tc>
          <w:tcPr>
            <w:tcW w:w="524" w:type="pct"/>
          </w:tcPr>
          <w:p w14:paraId="7F9D51A3"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Once a referral is received, ACTES contacts the participant to arrange ordering.</w:t>
            </w:r>
          </w:p>
        </w:tc>
        <w:tc>
          <w:tcPr>
            <w:tcW w:w="523" w:type="pct"/>
          </w:tcPr>
          <w:p w14:paraId="5151CD3B" w14:textId="2AD9F691"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TEP manages centrally located pools of new and re-issue items of </w:t>
            </w:r>
            <w:r w:rsidR="00023694">
              <w:rPr>
                <w:rFonts w:cstheme="minorHAnsi"/>
                <w:sz w:val="14"/>
                <w:szCs w:val="14"/>
              </w:rPr>
              <w:t>AT</w:t>
            </w:r>
            <w:r w:rsidRPr="009434AE">
              <w:rPr>
                <w:rFonts w:cstheme="minorHAnsi"/>
                <w:sz w:val="14"/>
                <w:szCs w:val="14"/>
              </w:rPr>
              <w:t>.</w:t>
            </w:r>
          </w:p>
          <w:p w14:paraId="4A3B2361"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TEP maintains responsibility for all TEP items including review; pick up/delivery; and repair and maintenance.</w:t>
            </w:r>
          </w:p>
        </w:tc>
        <w:tc>
          <w:tcPr>
            <w:tcW w:w="524" w:type="pct"/>
          </w:tcPr>
          <w:p w14:paraId="59C91D00"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Approved prescribers apply on behalf of participants and ordering is arrange with local warehouses located in all regions in Tasmania. </w:t>
            </w:r>
          </w:p>
        </w:tc>
      </w:tr>
      <w:tr w:rsidR="006A5D1A" w:rsidRPr="009434AE" w14:paraId="5E522D59" w14:textId="77777777" w:rsidTr="0094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Pr>
          <w:p w14:paraId="72A0EC4F" w14:textId="77777777" w:rsidR="00431518" w:rsidRPr="009434AE" w:rsidRDefault="00431518" w:rsidP="009434AE">
            <w:pPr>
              <w:spacing w:before="0" w:after="0"/>
              <w:rPr>
                <w:rFonts w:cstheme="minorHAnsi"/>
                <w:b w:val="0"/>
                <w:bCs/>
                <w:color w:val="auto"/>
                <w:sz w:val="14"/>
                <w:szCs w:val="14"/>
              </w:rPr>
            </w:pPr>
            <w:r w:rsidRPr="009434AE">
              <w:rPr>
                <w:rFonts w:cstheme="minorHAnsi"/>
                <w:bCs/>
                <w:color w:val="auto"/>
                <w:sz w:val="14"/>
                <w:szCs w:val="14"/>
              </w:rPr>
              <w:t>Customer Support</w:t>
            </w:r>
          </w:p>
        </w:tc>
        <w:tc>
          <w:tcPr>
            <w:tcW w:w="375" w:type="pct"/>
          </w:tcPr>
          <w:p w14:paraId="229695E7" w14:textId="7B044C01"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Types of support services offered (e.g., hotlines, consultations) and their availability at some associations</w:t>
            </w:r>
            <w:r w:rsidR="00644311">
              <w:rPr>
                <w:rFonts w:cstheme="minorHAnsi"/>
                <w:sz w:val="14"/>
                <w:szCs w:val="14"/>
              </w:rPr>
              <w:t>.</w:t>
            </w:r>
          </w:p>
        </w:tc>
        <w:tc>
          <w:tcPr>
            <w:tcW w:w="523" w:type="pct"/>
          </w:tcPr>
          <w:p w14:paraId="0601747F"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There is a Customer Service line on: 1300 PH SWEP (1300 747 937) or (03) 5333 8100.</w:t>
            </w:r>
          </w:p>
        </w:tc>
        <w:tc>
          <w:tcPr>
            <w:tcW w:w="524" w:type="pct"/>
          </w:tcPr>
          <w:p w14:paraId="00DEDABF"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There is a support hotline, 1800 ENABLE.</w:t>
            </w:r>
          </w:p>
        </w:tc>
        <w:tc>
          <w:tcPr>
            <w:tcW w:w="523" w:type="pct"/>
          </w:tcPr>
          <w:p w14:paraId="007A841E"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There is not a specific customer support </w:t>
            </w:r>
            <w:proofErr w:type="gramStart"/>
            <w:r w:rsidRPr="009434AE">
              <w:rPr>
                <w:rFonts w:cstheme="minorHAnsi"/>
                <w:sz w:val="14"/>
                <w:szCs w:val="14"/>
              </w:rPr>
              <w:t>line</w:t>
            </w:r>
            <w:proofErr w:type="gramEnd"/>
            <w:r w:rsidRPr="009434AE">
              <w:rPr>
                <w:rFonts w:cstheme="minorHAnsi"/>
                <w:sz w:val="14"/>
                <w:szCs w:val="14"/>
              </w:rPr>
              <w:t xml:space="preserve"> but issues and complaints can be directed to MASS which are reviewed by QHSSL working group/MASS administrative, clinical and management personnel, and if necessary, with advice from expert clinicians who have a holistic knowledge of QHSSL client population, procedures, and services delivered.</w:t>
            </w:r>
          </w:p>
        </w:tc>
        <w:tc>
          <w:tcPr>
            <w:tcW w:w="524" w:type="pct"/>
          </w:tcPr>
          <w:p w14:paraId="772B2540"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DHS Equipment Program has a dedicated Phone: 1300 130 302 and Email: DHSEquipmentProgram@sa.gov.au</w:t>
            </w:r>
          </w:p>
        </w:tc>
        <w:tc>
          <w:tcPr>
            <w:tcW w:w="523" w:type="pct"/>
          </w:tcPr>
          <w:p w14:paraId="4D40EFFC"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There is not a specific customer support line.</w:t>
            </w:r>
          </w:p>
        </w:tc>
        <w:tc>
          <w:tcPr>
            <w:tcW w:w="524" w:type="pct"/>
          </w:tcPr>
          <w:p w14:paraId="4F437F12"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There is an information line available for referrers only.</w:t>
            </w:r>
          </w:p>
        </w:tc>
        <w:tc>
          <w:tcPr>
            <w:tcW w:w="523" w:type="pct"/>
          </w:tcPr>
          <w:p w14:paraId="6B6EBE49"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Participants are encouraged to contact their therapist. If they do not have a therapist, contact one of NT Health intake offices.</w:t>
            </w:r>
          </w:p>
        </w:tc>
        <w:tc>
          <w:tcPr>
            <w:tcW w:w="524" w:type="pct"/>
          </w:tcPr>
          <w:p w14:paraId="1286F42D"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There is a support line on 1300 827 378 between 8:00am and 4:00pm, Monday to Friday (closed on weekends and public holidays).</w:t>
            </w:r>
          </w:p>
        </w:tc>
      </w:tr>
      <w:tr w:rsidR="006A5D1A" w:rsidRPr="009434AE" w14:paraId="31D70C58" w14:textId="77777777" w:rsidTr="009434AE">
        <w:tc>
          <w:tcPr>
            <w:cnfStyle w:val="001000000000" w:firstRow="0" w:lastRow="0" w:firstColumn="1" w:lastColumn="0" w:oddVBand="0" w:evenVBand="0" w:oddHBand="0" w:evenHBand="0" w:firstRowFirstColumn="0" w:firstRowLastColumn="0" w:lastRowFirstColumn="0" w:lastRowLastColumn="0"/>
            <w:tcW w:w="437" w:type="pct"/>
          </w:tcPr>
          <w:p w14:paraId="2D392DF8" w14:textId="77777777" w:rsidR="00431518" w:rsidRPr="009434AE" w:rsidRDefault="00431518" w:rsidP="009434AE">
            <w:pPr>
              <w:spacing w:before="0" w:after="0"/>
              <w:rPr>
                <w:rFonts w:cstheme="minorHAnsi"/>
                <w:b w:val="0"/>
                <w:bCs/>
                <w:color w:val="auto"/>
                <w:sz w:val="14"/>
                <w:szCs w:val="14"/>
              </w:rPr>
            </w:pPr>
            <w:r w:rsidRPr="009434AE">
              <w:rPr>
                <w:rFonts w:cstheme="minorHAnsi"/>
                <w:bCs/>
                <w:color w:val="auto"/>
                <w:sz w:val="14"/>
                <w:szCs w:val="14"/>
              </w:rPr>
              <w:t>Governance arrangements</w:t>
            </w:r>
          </w:p>
        </w:tc>
        <w:tc>
          <w:tcPr>
            <w:tcW w:w="375" w:type="pct"/>
          </w:tcPr>
          <w:p w14:paraId="05A54A5B"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The bodies or panels responsible for overall governance, policy direction, quality assurance, and compliance.</w:t>
            </w:r>
          </w:p>
        </w:tc>
        <w:tc>
          <w:tcPr>
            <w:tcW w:w="523" w:type="pct"/>
          </w:tcPr>
          <w:p w14:paraId="31222E92"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The Chief Allied Health Officer (CAHO) provides a leadership and liaison role for SWEP.</w:t>
            </w:r>
          </w:p>
          <w:p w14:paraId="076162A5"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A Clinical Advisor panel reports to the CAHO and consist of Clinical Advisors and Subject Matter Experts which ensure AT item applications across the State is safe, consistent, and of </w:t>
            </w:r>
            <w:r w:rsidRPr="009434AE">
              <w:rPr>
                <w:rFonts w:cstheme="minorHAnsi"/>
                <w:sz w:val="14"/>
                <w:szCs w:val="14"/>
              </w:rPr>
              <w:lastRenderedPageBreak/>
              <w:t xml:space="preserve">highest possible quality. </w:t>
            </w:r>
          </w:p>
        </w:tc>
        <w:tc>
          <w:tcPr>
            <w:tcW w:w="524" w:type="pct"/>
          </w:tcPr>
          <w:p w14:paraId="3E1211FC"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proofErr w:type="spellStart"/>
            <w:r w:rsidRPr="009434AE">
              <w:rPr>
                <w:rFonts w:cstheme="minorHAnsi"/>
                <w:sz w:val="14"/>
                <w:szCs w:val="14"/>
              </w:rPr>
              <w:lastRenderedPageBreak/>
              <w:t>EnableNSW</w:t>
            </w:r>
            <w:proofErr w:type="spellEnd"/>
            <w:r w:rsidRPr="009434AE">
              <w:rPr>
                <w:rFonts w:cstheme="minorHAnsi"/>
                <w:sz w:val="14"/>
                <w:szCs w:val="14"/>
              </w:rPr>
              <w:t xml:space="preserve"> is a business unit of </w:t>
            </w:r>
            <w:proofErr w:type="spellStart"/>
            <w:r w:rsidRPr="009434AE">
              <w:rPr>
                <w:rFonts w:cstheme="minorHAnsi"/>
                <w:sz w:val="14"/>
                <w:szCs w:val="14"/>
              </w:rPr>
              <w:t>HealthShare</w:t>
            </w:r>
            <w:proofErr w:type="spellEnd"/>
            <w:r w:rsidRPr="009434AE">
              <w:rPr>
                <w:rFonts w:cstheme="minorHAnsi"/>
                <w:sz w:val="14"/>
                <w:szCs w:val="14"/>
              </w:rPr>
              <w:t xml:space="preserve"> NSW, the statewide organisation established to provide shared services within the NSW Health system.</w:t>
            </w:r>
          </w:p>
        </w:tc>
        <w:tc>
          <w:tcPr>
            <w:tcW w:w="523" w:type="pct"/>
          </w:tcPr>
          <w:p w14:paraId="5648B34F"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The scheme is currently administered by Independence Australia on behalf of the Australian Government.</w:t>
            </w:r>
          </w:p>
        </w:tc>
        <w:tc>
          <w:tcPr>
            <w:tcW w:w="524" w:type="pct"/>
          </w:tcPr>
          <w:p w14:paraId="3E13B178" w14:textId="7F90CD5E"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The Equipment Program is part of the D</w:t>
            </w:r>
            <w:r w:rsidR="00BC5A5C">
              <w:rPr>
                <w:rFonts w:cstheme="minorHAnsi"/>
                <w:sz w:val="14"/>
                <w:szCs w:val="14"/>
              </w:rPr>
              <w:t>HS</w:t>
            </w:r>
            <w:r w:rsidRPr="009434AE">
              <w:rPr>
                <w:rFonts w:cstheme="minorHAnsi"/>
                <w:sz w:val="14"/>
                <w:szCs w:val="14"/>
              </w:rPr>
              <w:t>.</w:t>
            </w:r>
          </w:p>
        </w:tc>
        <w:tc>
          <w:tcPr>
            <w:tcW w:w="523" w:type="pct"/>
          </w:tcPr>
          <w:p w14:paraId="148C2548"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The CAEP is funded by the WA State Government and administered by the Department of Health.</w:t>
            </w:r>
          </w:p>
        </w:tc>
        <w:tc>
          <w:tcPr>
            <w:tcW w:w="524" w:type="pct"/>
          </w:tcPr>
          <w:p w14:paraId="5F7F0915"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ACTES is administered by Canberra Health Services. </w:t>
            </w:r>
          </w:p>
        </w:tc>
        <w:tc>
          <w:tcPr>
            <w:tcW w:w="523" w:type="pct"/>
          </w:tcPr>
          <w:p w14:paraId="278C40E0" w14:textId="386589EE"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The TEP use a clinical framework for prescription of items of </w:t>
            </w:r>
            <w:r w:rsidR="00023694">
              <w:rPr>
                <w:rFonts w:cstheme="minorHAnsi"/>
                <w:sz w:val="14"/>
                <w:szCs w:val="14"/>
              </w:rPr>
              <w:t>AT</w:t>
            </w:r>
            <w:r w:rsidRPr="009434AE">
              <w:rPr>
                <w:rFonts w:cstheme="minorHAnsi"/>
                <w:sz w:val="14"/>
                <w:szCs w:val="14"/>
              </w:rPr>
              <w:t xml:space="preserve"> that includes Clinical expertise of the TEP/ SEAT Team Leader and TEP Advisory Committee; and Clinical governance by TEP Advisory Committee.</w:t>
            </w:r>
          </w:p>
        </w:tc>
        <w:tc>
          <w:tcPr>
            <w:tcW w:w="524" w:type="pct"/>
          </w:tcPr>
          <w:p w14:paraId="4AA18779" w14:textId="61685068"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proofErr w:type="spellStart"/>
            <w:r w:rsidRPr="009434AE">
              <w:rPr>
                <w:rFonts w:cstheme="minorHAnsi"/>
                <w:sz w:val="14"/>
                <w:szCs w:val="14"/>
              </w:rPr>
              <w:t>TasEquip</w:t>
            </w:r>
            <w:proofErr w:type="spellEnd"/>
            <w:r w:rsidRPr="009434AE">
              <w:rPr>
                <w:rFonts w:cstheme="minorHAnsi"/>
                <w:sz w:val="14"/>
                <w:szCs w:val="14"/>
              </w:rPr>
              <w:t xml:space="preserve"> is managed by the Tasmanian Department of </w:t>
            </w:r>
            <w:r w:rsidR="00D6535B" w:rsidRPr="009434AE">
              <w:rPr>
                <w:rFonts w:cstheme="minorHAnsi"/>
                <w:sz w:val="14"/>
                <w:szCs w:val="14"/>
              </w:rPr>
              <w:t>Health and</w:t>
            </w:r>
            <w:r w:rsidRPr="009434AE">
              <w:rPr>
                <w:rFonts w:cstheme="minorHAnsi"/>
                <w:sz w:val="14"/>
                <w:szCs w:val="14"/>
              </w:rPr>
              <w:t xml:space="preserve"> has warehouses in all regions.</w:t>
            </w:r>
          </w:p>
        </w:tc>
      </w:tr>
      <w:tr w:rsidR="006A5D1A" w:rsidRPr="009434AE" w14:paraId="7F2EAE8F" w14:textId="77777777" w:rsidTr="0094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7" w:type="pct"/>
          </w:tcPr>
          <w:p w14:paraId="22014837" w14:textId="77777777" w:rsidR="00431518" w:rsidRPr="009434AE" w:rsidRDefault="00431518" w:rsidP="009434AE">
            <w:pPr>
              <w:spacing w:before="0" w:after="0"/>
              <w:rPr>
                <w:rFonts w:cstheme="minorHAnsi"/>
                <w:b w:val="0"/>
                <w:bCs/>
                <w:color w:val="auto"/>
                <w:sz w:val="14"/>
                <w:szCs w:val="14"/>
              </w:rPr>
            </w:pPr>
            <w:r w:rsidRPr="009434AE">
              <w:rPr>
                <w:rFonts w:cstheme="minorHAnsi"/>
                <w:bCs/>
                <w:color w:val="auto"/>
                <w:sz w:val="14"/>
                <w:szCs w:val="14"/>
              </w:rPr>
              <w:t>Policy documents and operational guidelines</w:t>
            </w:r>
          </w:p>
        </w:tc>
        <w:tc>
          <w:tcPr>
            <w:tcW w:w="375" w:type="pct"/>
          </w:tcPr>
          <w:p w14:paraId="263C1AF5" w14:textId="6EE4BBBF"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Official written instruments that outline the framework, objectives, and operational procedures governing the scheme </w:t>
            </w:r>
          </w:p>
        </w:tc>
        <w:tc>
          <w:tcPr>
            <w:tcW w:w="523" w:type="pct"/>
          </w:tcPr>
          <w:p w14:paraId="6AE2EC96"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Victorian Aids and Equipment Program Guidelines (September 2020)</w:t>
            </w:r>
          </w:p>
        </w:tc>
        <w:tc>
          <w:tcPr>
            <w:tcW w:w="524" w:type="pct"/>
          </w:tcPr>
          <w:p w14:paraId="1E9B308E" w14:textId="246A3DEE"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roofErr w:type="spellStart"/>
            <w:r w:rsidRPr="009434AE">
              <w:rPr>
                <w:rFonts w:cstheme="minorHAnsi"/>
                <w:sz w:val="14"/>
                <w:szCs w:val="14"/>
              </w:rPr>
              <w:t>EnableNSW</w:t>
            </w:r>
            <w:proofErr w:type="spellEnd"/>
            <w:r w:rsidRPr="009434AE">
              <w:rPr>
                <w:rFonts w:cstheme="minorHAnsi"/>
                <w:sz w:val="14"/>
                <w:szCs w:val="14"/>
              </w:rPr>
              <w:t xml:space="preserve"> A</w:t>
            </w:r>
            <w:r w:rsidR="00023694">
              <w:rPr>
                <w:rFonts w:cstheme="minorHAnsi"/>
                <w:sz w:val="14"/>
                <w:szCs w:val="14"/>
              </w:rPr>
              <w:t>T</w:t>
            </w:r>
            <w:r w:rsidRPr="009434AE">
              <w:rPr>
                <w:rFonts w:cstheme="minorHAnsi"/>
                <w:sz w:val="14"/>
                <w:szCs w:val="14"/>
              </w:rPr>
              <w:t xml:space="preserve"> Program: Operational Guidelines (2020)</w:t>
            </w:r>
          </w:p>
        </w:tc>
        <w:tc>
          <w:tcPr>
            <w:tcW w:w="523" w:type="pct"/>
          </w:tcPr>
          <w:p w14:paraId="42A26704" w14:textId="45144DFA"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M</w:t>
            </w:r>
            <w:r w:rsidR="00EF36DF">
              <w:rPr>
                <w:rFonts w:cstheme="minorHAnsi"/>
                <w:sz w:val="14"/>
                <w:szCs w:val="14"/>
              </w:rPr>
              <w:t>ASS</w:t>
            </w:r>
            <w:r w:rsidRPr="009434AE">
              <w:rPr>
                <w:rFonts w:cstheme="minorHAnsi"/>
                <w:sz w:val="14"/>
                <w:szCs w:val="14"/>
              </w:rPr>
              <w:t xml:space="preserve"> – Guidelines for Queensland HME Subsidy Scheme for Laryngectomy (May 2023)</w:t>
            </w:r>
          </w:p>
        </w:tc>
        <w:tc>
          <w:tcPr>
            <w:tcW w:w="524" w:type="pct"/>
          </w:tcPr>
          <w:p w14:paraId="6B56DD77" w14:textId="7B71CBB9"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There are </w:t>
            </w:r>
            <w:proofErr w:type="gramStart"/>
            <w:r w:rsidRPr="009434AE">
              <w:rPr>
                <w:rFonts w:cstheme="minorHAnsi"/>
                <w:sz w:val="14"/>
                <w:szCs w:val="14"/>
              </w:rPr>
              <w:t>a number of</w:t>
            </w:r>
            <w:proofErr w:type="gramEnd"/>
            <w:r w:rsidRPr="009434AE">
              <w:rPr>
                <w:rFonts w:cstheme="minorHAnsi"/>
                <w:sz w:val="14"/>
                <w:szCs w:val="14"/>
              </w:rPr>
              <w:t xml:space="preserve"> program documents to support the Equipment Program: </w:t>
            </w:r>
            <w:hyperlink r:id="rId34" w:history="1">
              <w:r w:rsidRPr="009434AE">
                <w:rPr>
                  <w:rStyle w:val="Hyperlink"/>
                  <w:rFonts w:cstheme="minorHAnsi"/>
                  <w:color w:val="auto"/>
                  <w:sz w:val="14"/>
                  <w:szCs w:val="14"/>
                </w:rPr>
                <w:t>https://equipmentprogram.sa.gov.au/lists/dhs-equipment-program-documents</w:t>
              </w:r>
            </w:hyperlink>
            <w:r w:rsidRPr="009434AE">
              <w:rPr>
                <w:rFonts w:cstheme="minorHAnsi"/>
                <w:sz w:val="14"/>
                <w:szCs w:val="14"/>
              </w:rPr>
              <w:t xml:space="preserve"> </w:t>
            </w:r>
          </w:p>
        </w:tc>
        <w:tc>
          <w:tcPr>
            <w:tcW w:w="523" w:type="pct"/>
          </w:tcPr>
          <w:p w14:paraId="7E7B1656" w14:textId="6775B2D2"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Referrer information – C</w:t>
            </w:r>
            <w:r w:rsidR="00023694">
              <w:rPr>
                <w:rFonts w:cstheme="minorHAnsi"/>
                <w:sz w:val="14"/>
                <w:szCs w:val="14"/>
              </w:rPr>
              <w:t>AEP</w:t>
            </w:r>
            <w:r w:rsidRPr="009434AE">
              <w:rPr>
                <w:rFonts w:cstheme="minorHAnsi"/>
                <w:sz w:val="14"/>
                <w:szCs w:val="14"/>
              </w:rPr>
              <w:t xml:space="preserve">: </w:t>
            </w:r>
            <w:hyperlink r:id="rId35" w:history="1">
              <w:r w:rsidRPr="009434AE">
                <w:rPr>
                  <w:rStyle w:val="Hyperlink"/>
                  <w:rFonts w:cstheme="minorHAnsi"/>
                  <w:color w:val="auto"/>
                  <w:sz w:val="14"/>
                  <w:szCs w:val="14"/>
                </w:rPr>
                <w:t>https://www.wa.gov.au/government/publications/referrer-information-community-aids-and-equipment-program</w:t>
              </w:r>
            </w:hyperlink>
            <w:r w:rsidRPr="009434AE">
              <w:rPr>
                <w:rFonts w:cstheme="minorHAnsi"/>
                <w:sz w:val="14"/>
                <w:szCs w:val="14"/>
              </w:rPr>
              <w:t xml:space="preserve"> </w:t>
            </w:r>
          </w:p>
        </w:tc>
        <w:tc>
          <w:tcPr>
            <w:tcW w:w="524" w:type="pct"/>
          </w:tcPr>
          <w:p w14:paraId="5314E80A" w14:textId="0168B345"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ACT</w:t>
            </w:r>
            <w:r w:rsidR="00AD6AD8">
              <w:rPr>
                <w:rFonts w:cstheme="minorHAnsi"/>
                <w:sz w:val="14"/>
                <w:szCs w:val="14"/>
              </w:rPr>
              <w:t>ES</w:t>
            </w:r>
            <w:r w:rsidRPr="009434AE">
              <w:rPr>
                <w:rFonts w:cstheme="minorHAnsi"/>
                <w:sz w:val="14"/>
                <w:szCs w:val="14"/>
              </w:rPr>
              <w:t xml:space="preserve">: </w:t>
            </w:r>
            <w:hyperlink r:id="rId36" w:history="1">
              <w:r w:rsidRPr="009434AE">
                <w:rPr>
                  <w:rStyle w:val="Hyperlink"/>
                  <w:rFonts w:cstheme="minorHAnsi"/>
                  <w:color w:val="auto"/>
                  <w:sz w:val="14"/>
                  <w:szCs w:val="14"/>
                </w:rPr>
                <w:t>https://www.canberrahealthservices.act.gov.au/__data/assets/pdf_file/0007/1935772/ACTES-loan-equipment-scheme_accessible-FA.pdf</w:t>
              </w:r>
            </w:hyperlink>
            <w:r w:rsidRPr="009434AE">
              <w:rPr>
                <w:rFonts w:cstheme="minorHAnsi"/>
                <w:sz w:val="14"/>
                <w:szCs w:val="14"/>
              </w:rPr>
              <w:t xml:space="preserve"> </w:t>
            </w:r>
          </w:p>
        </w:tc>
        <w:tc>
          <w:tcPr>
            <w:tcW w:w="523" w:type="pct"/>
          </w:tcPr>
          <w:p w14:paraId="641698C7"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Territory Equipment Program Policy (TEP PO-1) (2021)</w:t>
            </w:r>
          </w:p>
        </w:tc>
        <w:tc>
          <w:tcPr>
            <w:tcW w:w="524" w:type="pct"/>
          </w:tcPr>
          <w:p w14:paraId="51EFFFA1" w14:textId="51523EF0"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Medical aids and equipment (</w:t>
            </w:r>
            <w:proofErr w:type="spellStart"/>
            <w:r w:rsidRPr="009434AE">
              <w:rPr>
                <w:rFonts w:cstheme="minorHAnsi"/>
                <w:sz w:val="14"/>
                <w:szCs w:val="14"/>
              </w:rPr>
              <w:t>TasEquip</w:t>
            </w:r>
            <w:proofErr w:type="spellEnd"/>
            <w:r w:rsidRPr="009434AE">
              <w:rPr>
                <w:rFonts w:cstheme="minorHAnsi"/>
                <w:sz w:val="14"/>
                <w:szCs w:val="14"/>
              </w:rPr>
              <w:t xml:space="preserve">): </w:t>
            </w:r>
            <w:hyperlink r:id="rId37" w:history="1">
              <w:r w:rsidRPr="009434AE">
                <w:rPr>
                  <w:rStyle w:val="Hyperlink"/>
                  <w:rFonts w:cstheme="minorHAnsi"/>
                  <w:color w:val="auto"/>
                  <w:sz w:val="14"/>
                  <w:szCs w:val="14"/>
                </w:rPr>
                <w:t>https://www.health.tas.gov.au/patients/support-services-your-visit-hospital/medical-aids-and-equipment-tasequip</w:t>
              </w:r>
            </w:hyperlink>
            <w:r w:rsidRPr="009434AE">
              <w:rPr>
                <w:rFonts w:cstheme="minorHAnsi"/>
                <w:sz w:val="14"/>
                <w:szCs w:val="14"/>
              </w:rPr>
              <w:t xml:space="preserve"> </w:t>
            </w:r>
          </w:p>
        </w:tc>
      </w:tr>
      <w:tr w:rsidR="006A5D1A" w:rsidRPr="009434AE" w14:paraId="5A4BA86C" w14:textId="77777777" w:rsidTr="009434AE">
        <w:tc>
          <w:tcPr>
            <w:cnfStyle w:val="001000000000" w:firstRow="0" w:lastRow="0" w:firstColumn="1" w:lastColumn="0" w:oddVBand="0" w:evenVBand="0" w:oddHBand="0" w:evenHBand="0" w:firstRowFirstColumn="0" w:firstRowLastColumn="0" w:lastRowFirstColumn="0" w:lastRowLastColumn="0"/>
            <w:tcW w:w="437" w:type="pct"/>
          </w:tcPr>
          <w:p w14:paraId="3CEB9371" w14:textId="77777777" w:rsidR="00431518" w:rsidRPr="009434AE" w:rsidRDefault="00431518" w:rsidP="009434AE">
            <w:pPr>
              <w:spacing w:before="0" w:after="0"/>
              <w:rPr>
                <w:rFonts w:cstheme="minorHAnsi"/>
                <w:b w:val="0"/>
                <w:bCs/>
                <w:color w:val="auto"/>
                <w:sz w:val="14"/>
                <w:szCs w:val="14"/>
              </w:rPr>
            </w:pPr>
            <w:r w:rsidRPr="009434AE">
              <w:rPr>
                <w:rFonts w:cstheme="minorHAnsi"/>
                <w:bCs/>
                <w:color w:val="auto"/>
                <w:sz w:val="14"/>
                <w:szCs w:val="14"/>
              </w:rPr>
              <w:t>Forms and Documentation</w:t>
            </w:r>
          </w:p>
        </w:tc>
        <w:tc>
          <w:tcPr>
            <w:tcW w:w="375" w:type="pct"/>
          </w:tcPr>
          <w:p w14:paraId="34843AAE" w14:textId="03026941"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Types of forms used for various purposes like applications, special authori</w:t>
            </w:r>
            <w:r w:rsidR="00893867">
              <w:rPr>
                <w:rFonts w:cstheme="minorHAnsi"/>
                <w:sz w:val="14"/>
                <w:szCs w:val="14"/>
              </w:rPr>
              <w:t>s</w:t>
            </w:r>
            <w:r w:rsidRPr="009434AE">
              <w:rPr>
                <w:rFonts w:cstheme="minorHAnsi"/>
                <w:sz w:val="14"/>
                <w:szCs w:val="14"/>
              </w:rPr>
              <w:t>ations, and audit evidence.</w:t>
            </w:r>
          </w:p>
        </w:tc>
        <w:tc>
          <w:tcPr>
            <w:tcW w:w="523" w:type="pct"/>
          </w:tcPr>
          <w:p w14:paraId="4FCBFCE0" w14:textId="0E85E4FA" w:rsidR="00431518" w:rsidRPr="009434AE" w:rsidRDefault="002557C9"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hyperlink r:id="rId38" w:history="1">
              <w:r w:rsidR="00431518" w:rsidRPr="009434AE">
                <w:rPr>
                  <w:rStyle w:val="Hyperlink"/>
                  <w:rFonts w:cstheme="minorHAnsi"/>
                  <w:color w:val="auto"/>
                  <w:sz w:val="14"/>
                  <w:szCs w:val="14"/>
                </w:rPr>
                <w:t>https://swep.bhs.org.au/other-relevant-documents.php</w:t>
              </w:r>
            </w:hyperlink>
            <w:r w:rsidR="00431518" w:rsidRPr="009434AE">
              <w:rPr>
                <w:rFonts w:cstheme="minorHAnsi"/>
                <w:sz w:val="14"/>
                <w:szCs w:val="14"/>
              </w:rPr>
              <w:t xml:space="preserve"> </w:t>
            </w:r>
          </w:p>
        </w:tc>
        <w:tc>
          <w:tcPr>
            <w:tcW w:w="524" w:type="pct"/>
          </w:tcPr>
          <w:p w14:paraId="5FB10B25" w14:textId="4D576062" w:rsidR="00431518" w:rsidRPr="009434AE" w:rsidRDefault="002557C9"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hyperlink r:id="rId39" w:history="1">
              <w:r w:rsidR="00431518" w:rsidRPr="009434AE">
                <w:rPr>
                  <w:rStyle w:val="Hyperlink"/>
                  <w:rFonts w:cstheme="minorHAnsi"/>
                  <w:color w:val="auto"/>
                  <w:sz w:val="14"/>
                  <w:szCs w:val="14"/>
                </w:rPr>
                <w:t>https://www.enable.health.nsw.gov.au/prescribers/forms</w:t>
              </w:r>
            </w:hyperlink>
            <w:r w:rsidR="00431518" w:rsidRPr="009434AE">
              <w:rPr>
                <w:rFonts w:cstheme="minorHAnsi"/>
                <w:sz w:val="14"/>
                <w:szCs w:val="14"/>
              </w:rPr>
              <w:t xml:space="preserve"> </w:t>
            </w:r>
          </w:p>
        </w:tc>
        <w:tc>
          <w:tcPr>
            <w:tcW w:w="523" w:type="pct"/>
          </w:tcPr>
          <w:p w14:paraId="26056841"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Speech Pathologists and Otolaryngologists need to register and apply through MASS-</w:t>
            </w:r>
            <w:proofErr w:type="spellStart"/>
            <w:r w:rsidRPr="009434AE">
              <w:rPr>
                <w:rFonts w:cstheme="minorHAnsi"/>
                <w:sz w:val="14"/>
                <w:szCs w:val="14"/>
              </w:rPr>
              <w:t>eApply</w:t>
            </w:r>
            <w:proofErr w:type="spellEnd"/>
            <w:r w:rsidRPr="009434AE">
              <w:rPr>
                <w:rFonts w:cstheme="minorHAnsi"/>
                <w:sz w:val="14"/>
                <w:szCs w:val="14"/>
              </w:rPr>
              <w:t xml:space="preserve"> to prescribe HME products for clients.</w:t>
            </w:r>
          </w:p>
        </w:tc>
        <w:tc>
          <w:tcPr>
            <w:tcW w:w="524" w:type="pct"/>
          </w:tcPr>
          <w:p w14:paraId="387D48F9" w14:textId="63E3BD42" w:rsidR="00431518" w:rsidRPr="009434AE" w:rsidRDefault="002557C9"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hyperlink r:id="rId40" w:history="1">
              <w:r w:rsidR="00431518" w:rsidRPr="009434AE">
                <w:rPr>
                  <w:rStyle w:val="Hyperlink"/>
                  <w:rFonts w:cstheme="minorHAnsi"/>
                  <w:color w:val="auto"/>
                  <w:sz w:val="14"/>
                  <w:szCs w:val="14"/>
                </w:rPr>
                <w:t>https://equipmentprogram.sa.gov.au/__data/assets/word_doc/0017/19700/DHS-EP-Equipment-Request-Form.docx</w:t>
              </w:r>
            </w:hyperlink>
          </w:p>
          <w:p w14:paraId="39655D9C"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Alternatively, therapists can raise requests directly on the ALTER portal.</w:t>
            </w:r>
          </w:p>
        </w:tc>
        <w:tc>
          <w:tcPr>
            <w:tcW w:w="523" w:type="pct"/>
          </w:tcPr>
          <w:p w14:paraId="00C50BC2" w14:textId="68EE8DE7" w:rsidR="00431518" w:rsidRPr="009434AE" w:rsidRDefault="002557C9"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hyperlink r:id="rId41" w:history="1">
              <w:r w:rsidR="00431518" w:rsidRPr="009434AE">
                <w:rPr>
                  <w:rStyle w:val="Hyperlink"/>
                  <w:rFonts w:cstheme="minorHAnsi"/>
                  <w:color w:val="auto"/>
                  <w:sz w:val="14"/>
                  <w:szCs w:val="14"/>
                </w:rPr>
                <w:t>https://www.wa.gov.au/government/publications/referral-form-community-aids-and-equipment-program</w:t>
              </w:r>
            </w:hyperlink>
            <w:r w:rsidR="00431518" w:rsidRPr="009434AE">
              <w:rPr>
                <w:rFonts w:cstheme="minorHAnsi"/>
                <w:sz w:val="14"/>
                <w:szCs w:val="14"/>
              </w:rPr>
              <w:t xml:space="preserve"> </w:t>
            </w:r>
          </w:p>
        </w:tc>
        <w:tc>
          <w:tcPr>
            <w:tcW w:w="524" w:type="pct"/>
          </w:tcPr>
          <w:p w14:paraId="2260BC0A"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Not available online.</w:t>
            </w:r>
          </w:p>
        </w:tc>
        <w:tc>
          <w:tcPr>
            <w:tcW w:w="523" w:type="pct"/>
          </w:tcPr>
          <w:p w14:paraId="741A85B3" w14:textId="3D6BFDA5" w:rsidR="00431518" w:rsidRPr="009434AE" w:rsidRDefault="002557C9"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hyperlink r:id="rId42" w:history="1">
              <w:r w:rsidR="00431518" w:rsidRPr="009434AE">
                <w:rPr>
                  <w:rStyle w:val="Hyperlink"/>
                  <w:rFonts w:cstheme="minorHAnsi"/>
                  <w:color w:val="auto"/>
                  <w:sz w:val="14"/>
                  <w:szCs w:val="14"/>
                </w:rPr>
                <w:t>https://health.nt.gov.au/professionals/disability-equipment-program</w:t>
              </w:r>
            </w:hyperlink>
            <w:r w:rsidR="00431518" w:rsidRPr="009434AE">
              <w:rPr>
                <w:rFonts w:cstheme="minorHAnsi"/>
                <w:sz w:val="14"/>
                <w:szCs w:val="14"/>
              </w:rPr>
              <w:t xml:space="preserve"> </w:t>
            </w:r>
          </w:p>
        </w:tc>
        <w:tc>
          <w:tcPr>
            <w:tcW w:w="524" w:type="pct"/>
          </w:tcPr>
          <w:p w14:paraId="388826F7" w14:textId="43EAC2AC" w:rsidR="00431518" w:rsidRPr="009434AE" w:rsidRDefault="002557C9"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hyperlink r:id="rId43" w:history="1">
              <w:r w:rsidR="00431518" w:rsidRPr="009434AE">
                <w:rPr>
                  <w:rStyle w:val="Hyperlink"/>
                  <w:rFonts w:cstheme="minorHAnsi"/>
                  <w:color w:val="auto"/>
                  <w:sz w:val="14"/>
                  <w:szCs w:val="14"/>
                </w:rPr>
                <w:t>https://ilct.com.au/uploads/general/Welcome-Pack/TasEquip-Standard-Equip-Request.pdf</w:t>
              </w:r>
            </w:hyperlink>
            <w:r w:rsidR="00431518" w:rsidRPr="009434AE">
              <w:rPr>
                <w:rFonts w:cstheme="minorHAnsi"/>
                <w:sz w:val="14"/>
                <w:szCs w:val="14"/>
              </w:rPr>
              <w:t xml:space="preserve"> </w:t>
            </w:r>
          </w:p>
        </w:tc>
      </w:tr>
    </w:tbl>
    <w:p w14:paraId="23891725" w14:textId="77777777" w:rsidR="00431518" w:rsidRDefault="00431518" w:rsidP="00431518">
      <w:pPr>
        <w:pStyle w:val="BodyText"/>
      </w:pPr>
    </w:p>
    <w:p w14:paraId="19495E0E" w14:textId="60C71F3A" w:rsidR="00F36F36" w:rsidRDefault="00431518" w:rsidP="00F36F36">
      <w:pPr>
        <w:pStyle w:val="Caption"/>
        <w:rPr>
          <w:noProof/>
        </w:rPr>
      </w:pPr>
      <w:bookmarkStart w:id="115" w:name="_Ref146722294"/>
      <w:bookmarkStart w:id="116" w:name="_Ref146804868"/>
      <w:bookmarkStart w:id="117" w:name="_Toc161743139"/>
      <w:r>
        <w:lastRenderedPageBreak/>
        <w:t xml:space="preserve">Figure </w:t>
      </w:r>
      <w:r>
        <w:fldChar w:fldCharType="begin"/>
      </w:r>
      <w:r>
        <w:instrText xml:space="preserve"> SEQ Figure \* ARABIC </w:instrText>
      </w:r>
      <w:r>
        <w:fldChar w:fldCharType="separate"/>
      </w:r>
      <w:r w:rsidR="00FE1418">
        <w:rPr>
          <w:noProof/>
        </w:rPr>
        <w:t>15</w:t>
      </w:r>
      <w:r>
        <w:rPr>
          <w:noProof/>
        </w:rPr>
        <w:fldChar w:fldCharType="end"/>
      </w:r>
      <w:bookmarkEnd w:id="115"/>
      <w:bookmarkEnd w:id="116"/>
      <w:r w:rsidR="00F36F36">
        <w:t>: Comparator international stoma schemes</w:t>
      </w:r>
      <w:r w:rsidR="00F36F36">
        <w:rPr>
          <w:noProof/>
        </w:rPr>
        <w:t xml:space="preserve"> summary</w:t>
      </w:r>
      <w:bookmarkEnd w:id="117"/>
    </w:p>
    <w:p w14:paraId="7B4C0797" w14:textId="272032CB" w:rsidR="00F36F36" w:rsidRDefault="00F36F36" w:rsidP="00F36F36">
      <w:pPr>
        <w:pStyle w:val="Caption"/>
        <w:jc w:val="left"/>
      </w:pPr>
      <w:r>
        <w:rPr>
          <w:noProof/>
        </w:rPr>
        <w:drawing>
          <wp:inline distT="0" distB="0" distL="0" distR="0" wp14:anchorId="255BE0AE" wp14:editId="77E4A2C5">
            <wp:extent cx="8802511" cy="5279699"/>
            <wp:effectExtent l="0" t="0" r="0" b="0"/>
            <wp:docPr id="1431645805" name="Picture 7" descr="Figure 15: Comparator international stoma schemes summ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45805" name="Picture 7" descr="Figure 15: Comparator international stoma schemes summary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08092" cy="5283046"/>
                    </a:xfrm>
                    <a:prstGeom prst="rect">
                      <a:avLst/>
                    </a:prstGeom>
                    <a:noFill/>
                  </pic:spPr>
                </pic:pic>
              </a:graphicData>
            </a:graphic>
          </wp:inline>
        </w:drawing>
      </w:r>
    </w:p>
    <w:p w14:paraId="5D49AD19" w14:textId="1E18B67C" w:rsidR="00431518" w:rsidRDefault="00431518" w:rsidP="00431518">
      <w:pPr>
        <w:pStyle w:val="Caption"/>
      </w:pPr>
      <w:bookmarkStart w:id="118" w:name="_Toc161743140"/>
      <w:r>
        <w:lastRenderedPageBreak/>
        <w:t xml:space="preserve">Figure </w:t>
      </w:r>
      <w:r>
        <w:fldChar w:fldCharType="begin"/>
      </w:r>
      <w:r>
        <w:instrText xml:space="preserve"> SEQ Figure \* ARABIC </w:instrText>
      </w:r>
      <w:r>
        <w:fldChar w:fldCharType="separate"/>
      </w:r>
      <w:r w:rsidR="00FE1418">
        <w:rPr>
          <w:noProof/>
        </w:rPr>
        <w:t>16</w:t>
      </w:r>
      <w:r>
        <w:rPr>
          <w:noProof/>
        </w:rPr>
        <w:fldChar w:fldCharType="end"/>
      </w:r>
      <w:r>
        <w:t xml:space="preserve">: Comparator international stoma </w:t>
      </w:r>
      <w:proofErr w:type="gramStart"/>
      <w:r>
        <w:t>schemes</w:t>
      </w:r>
      <w:bookmarkEnd w:id="118"/>
      <w:proofErr w:type="gramEnd"/>
    </w:p>
    <w:tbl>
      <w:tblPr>
        <w:tblStyle w:val="TableHealthConsultPurple"/>
        <w:tblpPr w:leftFromText="180" w:rightFromText="180" w:vertAnchor="text" w:tblpY="1"/>
        <w:tblOverlap w:val="never"/>
        <w:tblW w:w="0" w:type="auto"/>
        <w:tblLayout w:type="fixed"/>
        <w:tblLook w:val="04A0" w:firstRow="1" w:lastRow="0" w:firstColumn="1" w:lastColumn="0" w:noHBand="0" w:noVBand="1"/>
      </w:tblPr>
      <w:tblGrid>
        <w:gridCol w:w="1824"/>
        <w:gridCol w:w="1695"/>
        <w:gridCol w:w="2762"/>
        <w:gridCol w:w="2763"/>
        <w:gridCol w:w="2763"/>
        <w:gridCol w:w="2763"/>
      </w:tblGrid>
      <w:tr w:rsidR="009434AE" w:rsidRPr="009434AE" w14:paraId="6647165D" w14:textId="77777777" w:rsidTr="009434AE">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1824" w:type="dxa"/>
          </w:tcPr>
          <w:p w14:paraId="6E827CEF" w14:textId="77777777" w:rsidR="00431518" w:rsidRPr="009434AE" w:rsidRDefault="00431518" w:rsidP="009434AE">
            <w:pPr>
              <w:spacing w:before="0" w:after="0"/>
              <w:rPr>
                <w:rFonts w:cstheme="minorHAnsi"/>
                <w:sz w:val="14"/>
                <w:szCs w:val="14"/>
              </w:rPr>
            </w:pPr>
            <w:r w:rsidRPr="009434AE">
              <w:rPr>
                <w:rFonts w:cstheme="minorHAnsi"/>
                <w:sz w:val="14"/>
                <w:szCs w:val="14"/>
              </w:rPr>
              <w:t>Element</w:t>
            </w:r>
          </w:p>
        </w:tc>
        <w:tc>
          <w:tcPr>
            <w:tcW w:w="1695" w:type="dxa"/>
          </w:tcPr>
          <w:p w14:paraId="1EFFC966" w14:textId="77777777" w:rsidR="00431518" w:rsidRPr="009434AE" w:rsidRDefault="00431518" w:rsidP="009434AE">
            <w:pPr>
              <w:spacing w:before="0" w:after="0"/>
              <w:cnfStyle w:val="100000000000" w:firstRow="1" w:lastRow="0" w:firstColumn="0" w:lastColumn="0" w:oddVBand="0" w:evenVBand="0" w:oddHBand="0" w:evenHBand="0" w:firstRowFirstColumn="0" w:firstRowLastColumn="0" w:lastRowFirstColumn="0" w:lastRowLastColumn="0"/>
              <w:rPr>
                <w:rFonts w:cstheme="minorHAnsi"/>
                <w:color w:val="0D0D0D" w:themeColor="text1" w:themeTint="F2"/>
                <w:sz w:val="14"/>
                <w:szCs w:val="14"/>
              </w:rPr>
            </w:pPr>
            <w:r w:rsidRPr="009434AE">
              <w:rPr>
                <w:rFonts w:cstheme="minorHAnsi"/>
                <w:sz w:val="14"/>
                <w:szCs w:val="14"/>
              </w:rPr>
              <w:t>Definition</w:t>
            </w:r>
          </w:p>
        </w:tc>
        <w:tc>
          <w:tcPr>
            <w:tcW w:w="2762" w:type="dxa"/>
          </w:tcPr>
          <w:p w14:paraId="55DE092C" w14:textId="77777777" w:rsidR="00431518" w:rsidRPr="009434AE" w:rsidRDefault="00431518" w:rsidP="009434AE">
            <w:pPr>
              <w:spacing w:before="0" w:after="0"/>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Australia</w:t>
            </w:r>
          </w:p>
        </w:tc>
        <w:tc>
          <w:tcPr>
            <w:tcW w:w="2763" w:type="dxa"/>
          </w:tcPr>
          <w:p w14:paraId="4212C2E3" w14:textId="77777777" w:rsidR="00431518" w:rsidRPr="009434AE" w:rsidRDefault="00431518" w:rsidP="009434AE">
            <w:pPr>
              <w:spacing w:before="0" w:after="0"/>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Comparative Country #1</w:t>
            </w:r>
          </w:p>
        </w:tc>
        <w:tc>
          <w:tcPr>
            <w:tcW w:w="2763" w:type="dxa"/>
          </w:tcPr>
          <w:p w14:paraId="64CB5980" w14:textId="77777777" w:rsidR="00431518" w:rsidRPr="009434AE" w:rsidRDefault="00431518" w:rsidP="009434AE">
            <w:pPr>
              <w:spacing w:before="0" w:after="0"/>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Comparative Country #2</w:t>
            </w:r>
          </w:p>
        </w:tc>
        <w:tc>
          <w:tcPr>
            <w:tcW w:w="2763" w:type="dxa"/>
          </w:tcPr>
          <w:p w14:paraId="683577F0" w14:textId="77777777" w:rsidR="00431518" w:rsidRPr="009434AE" w:rsidRDefault="00431518" w:rsidP="009434AE">
            <w:pPr>
              <w:spacing w:before="0" w:after="0"/>
              <w:cnfStyle w:val="100000000000" w:firstRow="1"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Comparative Country #3</w:t>
            </w:r>
          </w:p>
        </w:tc>
      </w:tr>
      <w:tr w:rsidR="009434AE" w:rsidRPr="009434AE" w14:paraId="436D8A5E" w14:textId="77777777" w:rsidTr="009434AE">
        <w:tc>
          <w:tcPr>
            <w:cnfStyle w:val="001000000000" w:firstRow="0" w:lastRow="0" w:firstColumn="1" w:lastColumn="0" w:oddVBand="0" w:evenVBand="0" w:oddHBand="0" w:evenHBand="0" w:firstRowFirstColumn="0" w:firstRowLastColumn="0" w:lastRowFirstColumn="0" w:lastRowLastColumn="0"/>
            <w:tcW w:w="1824" w:type="dxa"/>
          </w:tcPr>
          <w:p w14:paraId="5031E85E" w14:textId="77777777" w:rsidR="00431518" w:rsidRPr="009434AE" w:rsidRDefault="00431518" w:rsidP="009434AE">
            <w:pPr>
              <w:spacing w:before="0" w:after="0"/>
              <w:rPr>
                <w:rFonts w:cstheme="minorHAnsi"/>
                <w:b w:val="0"/>
                <w:bCs/>
                <w:sz w:val="14"/>
                <w:szCs w:val="14"/>
              </w:rPr>
            </w:pPr>
            <w:r w:rsidRPr="009434AE">
              <w:rPr>
                <w:rFonts w:cstheme="minorHAnsi"/>
                <w:bCs/>
                <w:sz w:val="14"/>
                <w:szCs w:val="14"/>
              </w:rPr>
              <w:t>Scheme/program name</w:t>
            </w:r>
          </w:p>
        </w:tc>
        <w:tc>
          <w:tcPr>
            <w:tcW w:w="1695" w:type="dxa"/>
          </w:tcPr>
          <w:p w14:paraId="25AC3E49"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The formal title under which the initiative operates.</w:t>
            </w:r>
          </w:p>
        </w:tc>
        <w:tc>
          <w:tcPr>
            <w:tcW w:w="2762" w:type="dxa"/>
          </w:tcPr>
          <w:p w14:paraId="5BDE2BB8" w14:textId="7BBF3E92" w:rsidR="00431518" w:rsidRPr="009434AE" w:rsidRDefault="002557C9"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hyperlink r:id="rId45" w:history="1">
              <w:r w:rsidR="00431518" w:rsidRPr="009434AE">
                <w:rPr>
                  <w:rStyle w:val="Hyperlink"/>
                  <w:rFonts w:cstheme="minorHAnsi"/>
                  <w:sz w:val="14"/>
                  <w:szCs w:val="14"/>
                </w:rPr>
                <w:t>Stoma Appliance Scheme</w:t>
              </w:r>
            </w:hyperlink>
          </w:p>
        </w:tc>
        <w:tc>
          <w:tcPr>
            <w:tcW w:w="2763" w:type="dxa"/>
          </w:tcPr>
          <w:p w14:paraId="75400A55" w14:textId="27A6E0DA"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U</w:t>
            </w:r>
            <w:r w:rsidR="00600650">
              <w:rPr>
                <w:rFonts w:cstheme="minorHAnsi"/>
                <w:sz w:val="14"/>
                <w:szCs w:val="14"/>
              </w:rPr>
              <w:t>K</w:t>
            </w:r>
            <w:r w:rsidRPr="009434AE">
              <w:rPr>
                <w:rFonts w:cstheme="minorHAnsi"/>
                <w:sz w:val="14"/>
                <w:szCs w:val="14"/>
              </w:rPr>
              <w:t xml:space="preserve">: Part IX Drug </w:t>
            </w:r>
            <w:r w:rsidR="004A5BAD" w:rsidRPr="009434AE">
              <w:rPr>
                <w:rFonts w:cstheme="minorHAnsi"/>
                <w:sz w:val="14"/>
                <w:szCs w:val="14"/>
              </w:rPr>
              <w:t>Tariff</w:t>
            </w:r>
          </w:p>
        </w:tc>
        <w:tc>
          <w:tcPr>
            <w:tcW w:w="2763" w:type="dxa"/>
          </w:tcPr>
          <w:p w14:paraId="34D94C93"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Switzerland </w:t>
            </w:r>
          </w:p>
        </w:tc>
        <w:tc>
          <w:tcPr>
            <w:tcW w:w="2763" w:type="dxa"/>
          </w:tcPr>
          <w:p w14:paraId="0F5B7A3F"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USA</w:t>
            </w:r>
          </w:p>
        </w:tc>
      </w:tr>
      <w:tr w:rsidR="009434AE" w:rsidRPr="009434AE" w14:paraId="03F958F0" w14:textId="77777777" w:rsidTr="0094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5C621CED" w14:textId="77777777" w:rsidR="00431518" w:rsidRPr="009434AE" w:rsidRDefault="00431518" w:rsidP="009434AE">
            <w:pPr>
              <w:spacing w:before="0" w:after="0"/>
              <w:rPr>
                <w:rFonts w:cstheme="minorHAnsi"/>
                <w:b w:val="0"/>
                <w:bCs/>
                <w:sz w:val="14"/>
                <w:szCs w:val="14"/>
              </w:rPr>
            </w:pPr>
            <w:r w:rsidRPr="009434AE">
              <w:rPr>
                <w:rFonts w:cstheme="minorHAnsi"/>
                <w:bCs/>
                <w:sz w:val="14"/>
                <w:szCs w:val="14"/>
              </w:rPr>
              <w:t>Overview</w:t>
            </w:r>
          </w:p>
        </w:tc>
        <w:tc>
          <w:tcPr>
            <w:tcW w:w="1695" w:type="dxa"/>
          </w:tcPr>
          <w:p w14:paraId="3AFC95B3"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 brief outline that provides a snapshot of the scheme.</w:t>
            </w:r>
          </w:p>
        </w:tc>
        <w:tc>
          <w:tcPr>
            <w:tcW w:w="2762" w:type="dxa"/>
          </w:tcPr>
          <w:p w14:paraId="0707D98F"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The Stoma Appliance Scheme provides free stoma appliances and products to people who have a stoma (ostomates). Products supplied under the Scheme assist people with stomas to better manage their condition, and thereby allow greater participation in society and the workforce. Products are provided free of charge. This saves each ostomate an average of over $2,300 per year.</w:t>
            </w:r>
          </w:p>
        </w:tc>
        <w:tc>
          <w:tcPr>
            <w:tcW w:w="2763" w:type="dxa"/>
          </w:tcPr>
          <w:p w14:paraId="5331FB25"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Stoma products sit on Part IX of the Drug Tariff which is a list of appliances approved on behalf of the Secretary of State and which may be prescribed at NHS expense by an appropriate prescriber.</w:t>
            </w:r>
          </w:p>
          <w:p w14:paraId="3F7C9D1F"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Individuals with a prescription elect where to get their supplies from and the type of supplies they want to use.</w:t>
            </w:r>
          </w:p>
        </w:tc>
        <w:tc>
          <w:tcPr>
            <w:tcW w:w="2763" w:type="dxa"/>
          </w:tcPr>
          <w:p w14:paraId="2AA49092" w14:textId="54FE7BD6"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Individuals are provided with tariff packages on a pro</w:t>
            </w:r>
            <w:r w:rsidR="006A60F2">
              <w:rPr>
                <w:rFonts w:cstheme="minorHAnsi"/>
                <w:sz w:val="14"/>
                <w:szCs w:val="14"/>
              </w:rPr>
              <w:t>-</w:t>
            </w:r>
            <w:r w:rsidRPr="009434AE">
              <w:rPr>
                <w:rFonts w:cstheme="minorHAnsi"/>
                <w:sz w:val="14"/>
                <w:szCs w:val="14"/>
              </w:rPr>
              <w:t>rata basis which allows them to access stoma</w:t>
            </w:r>
            <w:r w:rsidR="006A0BD8">
              <w:rPr>
                <w:rFonts w:cstheme="minorHAnsi"/>
                <w:sz w:val="14"/>
                <w:szCs w:val="14"/>
              </w:rPr>
              <w:t>-</w:t>
            </w:r>
            <w:r w:rsidRPr="009434AE">
              <w:rPr>
                <w:rFonts w:cstheme="minorHAnsi"/>
                <w:sz w:val="14"/>
                <w:szCs w:val="14"/>
              </w:rPr>
              <w:t xml:space="preserve">related supplies from a pharmacy or a service provider as needed. </w:t>
            </w:r>
          </w:p>
        </w:tc>
        <w:tc>
          <w:tcPr>
            <w:tcW w:w="2763" w:type="dxa"/>
          </w:tcPr>
          <w:p w14:paraId="064AF082"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Ostomy supplies are covered under the Prosthetic Device benefit. Access to appliances is varied and depends on an individual’s insurance cover. Typically, an ostomate accesses a supplier and makes an order that is communicated to Medicare to claim. </w:t>
            </w:r>
          </w:p>
        </w:tc>
      </w:tr>
      <w:tr w:rsidR="009434AE" w:rsidRPr="009434AE" w14:paraId="3BE77B18" w14:textId="77777777" w:rsidTr="009434AE">
        <w:tc>
          <w:tcPr>
            <w:cnfStyle w:val="001000000000" w:firstRow="0" w:lastRow="0" w:firstColumn="1" w:lastColumn="0" w:oddVBand="0" w:evenVBand="0" w:oddHBand="0" w:evenHBand="0" w:firstRowFirstColumn="0" w:firstRowLastColumn="0" w:lastRowFirstColumn="0" w:lastRowLastColumn="0"/>
            <w:tcW w:w="1824" w:type="dxa"/>
          </w:tcPr>
          <w:p w14:paraId="0FD59B06" w14:textId="77777777" w:rsidR="00431518" w:rsidRPr="009434AE" w:rsidRDefault="00431518" w:rsidP="009434AE">
            <w:pPr>
              <w:spacing w:before="0" w:after="0"/>
              <w:rPr>
                <w:rFonts w:cstheme="minorHAnsi"/>
                <w:b w:val="0"/>
                <w:bCs/>
                <w:sz w:val="14"/>
                <w:szCs w:val="14"/>
              </w:rPr>
            </w:pPr>
            <w:r w:rsidRPr="009434AE">
              <w:rPr>
                <w:rFonts w:cstheme="minorHAnsi"/>
                <w:bCs/>
                <w:sz w:val="14"/>
                <w:szCs w:val="14"/>
              </w:rPr>
              <w:t>Approx funding</w:t>
            </w:r>
          </w:p>
        </w:tc>
        <w:tc>
          <w:tcPr>
            <w:tcW w:w="1695" w:type="dxa"/>
          </w:tcPr>
          <w:p w14:paraId="10A8F2A0"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2762" w:type="dxa"/>
          </w:tcPr>
          <w:p w14:paraId="3C709581"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The Scheme provided ostomates with $114 million worth of stoma appliances and products in 2022-23 (reference).</w:t>
            </w:r>
          </w:p>
        </w:tc>
        <w:tc>
          <w:tcPr>
            <w:tcW w:w="2763" w:type="dxa"/>
          </w:tcPr>
          <w:p w14:paraId="4624443D"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£364 million ($690 million AUD) was spent on stoma products in 2022.</w:t>
            </w:r>
          </w:p>
        </w:tc>
        <w:tc>
          <w:tcPr>
            <w:tcW w:w="2763" w:type="dxa"/>
          </w:tcPr>
          <w:p w14:paraId="785AB1D9"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2763" w:type="dxa"/>
          </w:tcPr>
          <w:p w14:paraId="4A65BBEE"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9434AE" w:rsidRPr="009434AE" w14:paraId="0E97D510" w14:textId="77777777" w:rsidTr="0094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3A6A1532" w14:textId="77777777" w:rsidR="00431518" w:rsidRPr="009434AE" w:rsidRDefault="00431518" w:rsidP="009434AE">
            <w:pPr>
              <w:spacing w:before="0" w:after="0"/>
              <w:rPr>
                <w:rFonts w:cstheme="minorHAnsi"/>
                <w:b w:val="0"/>
                <w:bCs/>
                <w:sz w:val="14"/>
                <w:szCs w:val="14"/>
              </w:rPr>
            </w:pPr>
            <w:r w:rsidRPr="009434AE">
              <w:rPr>
                <w:rFonts w:cstheme="minorHAnsi"/>
                <w:bCs/>
                <w:sz w:val="14"/>
                <w:szCs w:val="14"/>
              </w:rPr>
              <w:t>Eligibility</w:t>
            </w:r>
          </w:p>
        </w:tc>
        <w:tc>
          <w:tcPr>
            <w:tcW w:w="1695" w:type="dxa"/>
          </w:tcPr>
          <w:p w14:paraId="12BBF1F7"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The conditions that an individual must meet to qualify for the scheme.</w:t>
            </w:r>
          </w:p>
        </w:tc>
        <w:tc>
          <w:tcPr>
            <w:tcW w:w="2762" w:type="dxa"/>
          </w:tcPr>
          <w:p w14:paraId="4F3E3931"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 person must have a temporary or permanent artificial body opening (created surgically or otherwise,</w:t>
            </w:r>
          </w:p>
          <w:p w14:paraId="2124E9F0" w14:textId="199AA685"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including a fistula that originates from the urinary or </w:t>
            </w:r>
            <w:r w:rsidR="002C631E">
              <w:rPr>
                <w:rFonts w:cstheme="minorHAnsi"/>
                <w:sz w:val="14"/>
                <w:szCs w:val="14"/>
              </w:rPr>
              <w:t>GI</w:t>
            </w:r>
            <w:r w:rsidRPr="009434AE">
              <w:rPr>
                <w:rFonts w:cstheme="minorHAnsi"/>
                <w:sz w:val="14"/>
                <w:szCs w:val="14"/>
              </w:rPr>
              <w:t xml:space="preserve"> tract) which facilitates the removal of urine and/or products of the </w:t>
            </w:r>
            <w:r w:rsidR="002C631E">
              <w:rPr>
                <w:rFonts w:cstheme="minorHAnsi"/>
                <w:sz w:val="14"/>
                <w:szCs w:val="14"/>
              </w:rPr>
              <w:t>GI</w:t>
            </w:r>
            <w:r w:rsidRPr="009434AE">
              <w:rPr>
                <w:rFonts w:cstheme="minorHAnsi"/>
                <w:sz w:val="14"/>
                <w:szCs w:val="14"/>
              </w:rPr>
              <w:t xml:space="preserve"> tract from the body where the person does not have normal </w:t>
            </w:r>
            <w:r w:rsidR="002C631E">
              <w:rPr>
                <w:rFonts w:cstheme="minorHAnsi"/>
                <w:sz w:val="14"/>
                <w:szCs w:val="14"/>
              </w:rPr>
              <w:t>GI</w:t>
            </w:r>
            <w:r w:rsidRPr="009434AE">
              <w:rPr>
                <w:rFonts w:cstheme="minorHAnsi"/>
                <w:sz w:val="14"/>
                <w:szCs w:val="14"/>
              </w:rPr>
              <w:t xml:space="preserve"> tract or bladder functions, and provide evidence, consisting of a certificate from a registered medical practitioner or STN in an approved form (</w:t>
            </w:r>
            <w:r w:rsidR="00BF60DD">
              <w:rPr>
                <w:rFonts w:cstheme="minorHAnsi"/>
                <w:sz w:val="14"/>
                <w:szCs w:val="14"/>
              </w:rPr>
              <w:t>PB049).</w:t>
            </w:r>
          </w:p>
        </w:tc>
        <w:tc>
          <w:tcPr>
            <w:tcW w:w="2763" w:type="dxa"/>
          </w:tcPr>
          <w:p w14:paraId="202F6D90" w14:textId="2E1B9528"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Appropriate practitioners prescribe individuals living in England access to appliances approved by NHS Prescription Services on behalf of the Secretary of State for Health and Social Care for prescribing at NHS.</w:t>
            </w:r>
          </w:p>
          <w:p w14:paraId="568AEAD4"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c>
          <w:tcPr>
            <w:tcW w:w="2763" w:type="dxa"/>
          </w:tcPr>
          <w:p w14:paraId="2A5FA5BA"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lang w:val="en-US"/>
              </w:rPr>
              <w:t xml:space="preserve">All individuals are required to have private health insurance which make them eligible for the tariff </w:t>
            </w:r>
            <w:proofErr w:type="gramStart"/>
            <w:r w:rsidRPr="009434AE">
              <w:rPr>
                <w:rFonts w:cstheme="minorHAnsi"/>
                <w:sz w:val="14"/>
                <w:szCs w:val="14"/>
                <w:lang w:val="en-US"/>
              </w:rPr>
              <w:t>package</w:t>
            </w:r>
            <w:proofErr w:type="gramEnd"/>
          </w:p>
          <w:p w14:paraId="32659AD3"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c>
          <w:tcPr>
            <w:tcW w:w="2763" w:type="dxa"/>
          </w:tcPr>
          <w:p w14:paraId="7EF16AB6"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Stoma nurses determine the appliances necessary for stoma management, then a physician confirms the order. To access appliance subsidised by Medicare an ostomate must meet all coverage guidance criteria which includes a ‘reasonable and necessary’ need for the supplies.</w:t>
            </w:r>
          </w:p>
        </w:tc>
      </w:tr>
      <w:tr w:rsidR="009434AE" w:rsidRPr="009434AE" w14:paraId="139608DD" w14:textId="77777777" w:rsidTr="009434AE">
        <w:tc>
          <w:tcPr>
            <w:cnfStyle w:val="001000000000" w:firstRow="0" w:lastRow="0" w:firstColumn="1" w:lastColumn="0" w:oddVBand="0" w:evenVBand="0" w:oddHBand="0" w:evenHBand="0" w:firstRowFirstColumn="0" w:firstRowLastColumn="0" w:lastRowFirstColumn="0" w:lastRowLastColumn="0"/>
            <w:tcW w:w="1824" w:type="dxa"/>
          </w:tcPr>
          <w:p w14:paraId="71D56D8C" w14:textId="77777777" w:rsidR="00431518" w:rsidRPr="009434AE" w:rsidRDefault="00431518" w:rsidP="009434AE">
            <w:pPr>
              <w:spacing w:before="0" w:after="0"/>
              <w:rPr>
                <w:rFonts w:cstheme="minorHAnsi"/>
                <w:b w:val="0"/>
                <w:bCs/>
                <w:sz w:val="14"/>
                <w:szCs w:val="14"/>
              </w:rPr>
            </w:pPr>
            <w:r w:rsidRPr="009434AE">
              <w:rPr>
                <w:rFonts w:cstheme="minorHAnsi"/>
                <w:bCs/>
                <w:sz w:val="14"/>
                <w:szCs w:val="14"/>
              </w:rPr>
              <w:t>Range of products and supports</w:t>
            </w:r>
          </w:p>
        </w:tc>
        <w:tc>
          <w:tcPr>
            <w:tcW w:w="1695" w:type="dxa"/>
          </w:tcPr>
          <w:p w14:paraId="23D8908B"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Types and diversity of stoma-related products offered through the scheme.</w:t>
            </w:r>
          </w:p>
        </w:tc>
        <w:tc>
          <w:tcPr>
            <w:tcW w:w="2762" w:type="dxa"/>
          </w:tcPr>
          <w:p w14:paraId="462DE190" w14:textId="3FE4A98B" w:rsidR="00431518" w:rsidRPr="009434AE" w:rsidRDefault="00431518" w:rsidP="00E442CB">
            <w:pPr>
              <w:pStyle w:val="ListParagraph"/>
              <w:numPr>
                <w:ilvl w:val="0"/>
                <w:numId w:val="31"/>
              </w:numPr>
              <w:spacing w:before="0" w:after="0"/>
              <w:ind w:left="171" w:hanging="171"/>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3,792 stoma products and appliances listed on the </w:t>
            </w:r>
            <w:hyperlink r:id="rId46" w:history="1">
              <w:r w:rsidRPr="009434AE">
                <w:rPr>
                  <w:rStyle w:val="Hyperlink"/>
                  <w:rFonts w:cstheme="minorHAnsi"/>
                  <w:sz w:val="14"/>
                  <w:szCs w:val="14"/>
                </w:rPr>
                <w:t>Stoma Appliance Scheme</w:t>
              </w:r>
            </w:hyperlink>
            <w:r w:rsidRPr="009434AE">
              <w:rPr>
                <w:rFonts w:cstheme="minorHAnsi"/>
                <w:sz w:val="14"/>
                <w:szCs w:val="14"/>
              </w:rPr>
              <w:t xml:space="preserve"> </w:t>
            </w:r>
          </w:p>
        </w:tc>
        <w:tc>
          <w:tcPr>
            <w:tcW w:w="2763" w:type="dxa"/>
          </w:tcPr>
          <w:p w14:paraId="69332C93"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Adhesive Discs/Rings/Pads/Plasters</w:t>
            </w:r>
          </w:p>
          <w:p w14:paraId="6B41E661"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Adhesives (Pastes, sprays, solutions)</w:t>
            </w:r>
          </w:p>
          <w:p w14:paraId="5A30156B"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Adhesive Removers (Sprays, Liquids, Wipes)</w:t>
            </w:r>
          </w:p>
          <w:p w14:paraId="01B27F38"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Bag Closures</w:t>
            </w:r>
          </w:p>
          <w:p w14:paraId="37C7368D"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Bag Covers</w:t>
            </w:r>
          </w:p>
          <w:p w14:paraId="70848355" w14:textId="7335FE63"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lastRenderedPageBreak/>
              <w:t>Belts</w:t>
            </w:r>
          </w:p>
          <w:p w14:paraId="26AF48FE" w14:textId="79C27419"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Colostomy Bags - see also Two</w:t>
            </w:r>
            <w:r w:rsidR="0096540C">
              <w:rPr>
                <w:rFonts w:cstheme="minorHAnsi"/>
                <w:sz w:val="14"/>
                <w:szCs w:val="14"/>
              </w:rPr>
              <w:t>-</w:t>
            </w:r>
            <w:r w:rsidRPr="009434AE">
              <w:rPr>
                <w:rFonts w:cstheme="minorHAnsi"/>
                <w:sz w:val="14"/>
                <w:szCs w:val="14"/>
              </w:rPr>
              <w:t>Piece Ostomy Systems</w:t>
            </w:r>
          </w:p>
          <w:p w14:paraId="2D900E84" w14:textId="796D1A84"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Colostomy Sets</w:t>
            </w:r>
          </w:p>
          <w:p w14:paraId="0A89BA6B"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Deodorants</w:t>
            </w:r>
          </w:p>
          <w:p w14:paraId="60C153E4"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Discharge Solidifying Agents</w:t>
            </w:r>
          </w:p>
          <w:p w14:paraId="73BC346E"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Filters/Bridges</w:t>
            </w:r>
          </w:p>
          <w:p w14:paraId="163461AA"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Flanges</w:t>
            </w:r>
          </w:p>
          <w:p w14:paraId="72937A6A" w14:textId="229310CA"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Ileostomy (Drainable) Bags - see also Two</w:t>
            </w:r>
            <w:r w:rsidR="0096540C">
              <w:rPr>
                <w:rFonts w:cstheme="minorHAnsi"/>
                <w:sz w:val="14"/>
                <w:szCs w:val="14"/>
              </w:rPr>
              <w:t>-</w:t>
            </w:r>
            <w:r w:rsidRPr="009434AE">
              <w:rPr>
                <w:rFonts w:cstheme="minorHAnsi"/>
                <w:sz w:val="14"/>
                <w:szCs w:val="14"/>
              </w:rPr>
              <w:t>Piece Ostomy Systems</w:t>
            </w:r>
          </w:p>
          <w:p w14:paraId="1ECC3589" w14:textId="699F3236"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Ileostomy Sets</w:t>
            </w:r>
          </w:p>
          <w:p w14:paraId="1B2E9A85"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Irrigation/Wash-Out Appliances</w:t>
            </w:r>
          </w:p>
          <w:p w14:paraId="65EA9A4F" w14:textId="1B562FFD"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Pressure Plates/Shield</w:t>
            </w:r>
          </w:p>
          <w:p w14:paraId="742EB92A" w14:textId="547BC5BD"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Skin Fillers and Protectives (Barrier creams, pastes, aerosols, lotions, gels, wipes)</w:t>
            </w:r>
            <w:r w:rsidRPr="009434AE">
              <w:rPr>
                <w:rFonts w:cstheme="minorHAnsi"/>
                <w:sz w:val="14"/>
                <w:szCs w:val="14"/>
              </w:rPr>
              <w:tab/>
            </w:r>
          </w:p>
          <w:p w14:paraId="3F8272C0"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Skin Protectors (Wafers, blankets, foam pads, washer)</w:t>
            </w:r>
          </w:p>
          <w:p w14:paraId="0A78F836" w14:textId="2B5DD2C8"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Stoma Caps/Dressings</w:t>
            </w:r>
          </w:p>
          <w:p w14:paraId="5DD6D588" w14:textId="496C0471"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Tubing and Accessories</w:t>
            </w:r>
          </w:p>
          <w:p w14:paraId="15CA98CD" w14:textId="4FF34F52"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Two</w:t>
            </w:r>
            <w:r w:rsidR="0096540C">
              <w:rPr>
                <w:rFonts w:cstheme="minorHAnsi"/>
                <w:sz w:val="14"/>
                <w:szCs w:val="14"/>
              </w:rPr>
              <w:t>-</w:t>
            </w:r>
            <w:r w:rsidRPr="009434AE">
              <w:rPr>
                <w:rFonts w:cstheme="minorHAnsi"/>
                <w:sz w:val="14"/>
                <w:szCs w:val="14"/>
              </w:rPr>
              <w:t>Piece Ostomy Systems</w:t>
            </w:r>
          </w:p>
          <w:p w14:paraId="1854B483" w14:textId="4D2BD861"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Urostomy Bags - see also Two</w:t>
            </w:r>
            <w:r w:rsidR="0096540C">
              <w:rPr>
                <w:rFonts w:cstheme="minorHAnsi"/>
                <w:sz w:val="14"/>
                <w:szCs w:val="14"/>
              </w:rPr>
              <w:t>-</w:t>
            </w:r>
            <w:r w:rsidRPr="009434AE">
              <w:rPr>
                <w:rFonts w:cstheme="minorHAnsi"/>
                <w:sz w:val="14"/>
                <w:szCs w:val="14"/>
              </w:rPr>
              <w:t>Piece Ostomy Systems</w:t>
            </w:r>
          </w:p>
          <w:p w14:paraId="049DB65F" w14:textId="09801005" w:rsidR="00431518" w:rsidRPr="009434AE" w:rsidRDefault="002557C9"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hyperlink r:id="rId47" w:anchor="/00465833-DB_1/DB00465714/Part%20IXC%20-%20Stoma%20Appliances" w:history="1">
              <w:r w:rsidR="00431518" w:rsidRPr="009434AE">
                <w:rPr>
                  <w:rStyle w:val="Hyperlink"/>
                  <w:rFonts w:cstheme="minorHAnsi"/>
                  <w:sz w:val="14"/>
                  <w:szCs w:val="14"/>
                </w:rPr>
                <w:t>NHS Electronic Drug Tariff (nhsbsa.nhs.uk)</w:t>
              </w:r>
            </w:hyperlink>
          </w:p>
        </w:tc>
        <w:tc>
          <w:tcPr>
            <w:tcW w:w="2763" w:type="dxa"/>
          </w:tcPr>
          <w:p w14:paraId="316A1781"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lastRenderedPageBreak/>
              <w:t>Approximately 3200 products available.</w:t>
            </w:r>
          </w:p>
          <w:p w14:paraId="4E148428" w14:textId="77777777" w:rsidR="00431518" w:rsidRPr="009434AE" w:rsidRDefault="00431518" w:rsidP="00E442CB">
            <w:pPr>
              <w:pStyle w:val="ListParagraph"/>
              <w:numPr>
                <w:ilvl w:val="0"/>
                <w:numId w:val="31"/>
              </w:numPr>
              <w:spacing w:before="0" w:after="0"/>
              <w:ind w:left="171" w:hanging="171"/>
              <w:cnfStyle w:val="000000000000" w:firstRow="0" w:lastRow="0" w:firstColumn="0" w:lastColumn="0" w:oddVBand="0" w:evenVBand="0" w:oddHBand="0" w:evenHBand="0" w:firstRowFirstColumn="0" w:firstRowLastColumn="0" w:lastRowFirstColumn="0" w:lastRowLastColumn="0"/>
              <w:rPr>
                <w:rFonts w:cstheme="minorHAnsi"/>
                <w:sz w:val="14"/>
                <w:szCs w:val="14"/>
              </w:rPr>
            </w:pPr>
            <w:proofErr w:type="gramStart"/>
            <w:r w:rsidRPr="009434AE">
              <w:rPr>
                <w:rFonts w:cstheme="minorHAnsi"/>
                <w:sz w:val="14"/>
                <w:szCs w:val="14"/>
              </w:rPr>
              <w:t>1 and 2 piece</w:t>
            </w:r>
            <w:proofErr w:type="gramEnd"/>
            <w:r w:rsidRPr="009434AE">
              <w:rPr>
                <w:rFonts w:cstheme="minorHAnsi"/>
                <w:sz w:val="14"/>
                <w:szCs w:val="14"/>
              </w:rPr>
              <w:t xml:space="preserve"> stoma bags: Approximately 2700 product types</w:t>
            </w:r>
          </w:p>
          <w:p w14:paraId="041ED9A3" w14:textId="67FA9CCE" w:rsidR="00431518" w:rsidRPr="009434AE" w:rsidRDefault="00431518" w:rsidP="00E442CB">
            <w:pPr>
              <w:pStyle w:val="ListParagraph"/>
              <w:numPr>
                <w:ilvl w:val="0"/>
                <w:numId w:val="31"/>
              </w:numPr>
              <w:spacing w:before="0" w:after="0"/>
              <w:ind w:left="171" w:hanging="171"/>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Accessories: Approximately 500 product types</w:t>
            </w:r>
          </w:p>
        </w:tc>
        <w:tc>
          <w:tcPr>
            <w:tcW w:w="2763" w:type="dxa"/>
          </w:tcPr>
          <w:p w14:paraId="2E8FF34B"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Approximately 100 item codes. Each item code describes a product that can be supplied any manufacturers.</w:t>
            </w:r>
          </w:p>
          <w:p w14:paraId="63755D1C"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On average, patients are entitled to 20 drainable pouches per month or 60 closed end pouches per month.</w:t>
            </w:r>
          </w:p>
          <w:p w14:paraId="2881E559"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lastRenderedPageBreak/>
              <w:t>When a liquid barrier is necessary, either liquid or spray (A4369) or individual wipes or swabs (A5120) are appropriate. The use of both is not reasonable and necessary.</w:t>
            </w:r>
          </w:p>
          <w:p w14:paraId="1A484992"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Beneficiaries with continent stomas may use the following means to prevent/manage drainage: stoma cap (A5055), stoma plug (A5081), stoma absorptive cover (A5083) or gauze pads (A6216). No more than one of these types of supply would be reasonable and necessary on a given day.</w:t>
            </w:r>
          </w:p>
          <w:p w14:paraId="623B2F64"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Beneficiaries with urinary ostomies may use either a bag (A4357) or bottle (A5102) for drainage at night. It is not reasonable and necessary to have both.</w:t>
            </w:r>
          </w:p>
        </w:tc>
      </w:tr>
      <w:tr w:rsidR="009434AE" w:rsidRPr="009434AE" w14:paraId="48379162" w14:textId="77777777" w:rsidTr="0094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7DDED196" w14:textId="77777777" w:rsidR="00431518" w:rsidRPr="009434AE" w:rsidRDefault="00431518" w:rsidP="009434AE">
            <w:pPr>
              <w:spacing w:before="0" w:after="0"/>
              <w:rPr>
                <w:rFonts w:cstheme="minorHAnsi"/>
                <w:b w:val="0"/>
                <w:bCs/>
                <w:sz w:val="14"/>
                <w:szCs w:val="14"/>
              </w:rPr>
            </w:pPr>
            <w:r w:rsidRPr="009434AE">
              <w:rPr>
                <w:rFonts w:cstheme="minorHAnsi"/>
                <w:bCs/>
                <w:sz w:val="14"/>
                <w:szCs w:val="14"/>
              </w:rPr>
              <w:lastRenderedPageBreak/>
              <w:t>Financial support</w:t>
            </w:r>
          </w:p>
        </w:tc>
        <w:tc>
          <w:tcPr>
            <w:tcW w:w="1695" w:type="dxa"/>
          </w:tcPr>
          <w:p w14:paraId="681B5662"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Level and type of financial assistance provided, including subsidies, grants, etc.</w:t>
            </w:r>
          </w:p>
        </w:tc>
        <w:tc>
          <w:tcPr>
            <w:tcW w:w="2762" w:type="dxa"/>
          </w:tcPr>
          <w:p w14:paraId="7BCDE735" w14:textId="77777777" w:rsidR="00431518" w:rsidRPr="009434AE" w:rsidRDefault="00431518" w:rsidP="00E442CB">
            <w:pPr>
              <w:pStyle w:val="ListParagraph"/>
              <w:numPr>
                <w:ilvl w:val="0"/>
                <w:numId w:val="31"/>
              </w:numPr>
              <w:spacing w:before="0" w:after="0"/>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Funding is provided (via associations) to cover the costs of stoma appliances and products.</w:t>
            </w:r>
          </w:p>
          <w:p w14:paraId="252BD4E4" w14:textId="6C6A0172" w:rsidR="00431518" w:rsidRPr="009434AE" w:rsidRDefault="00431518" w:rsidP="00E442CB">
            <w:pPr>
              <w:pStyle w:val="ListParagraph"/>
              <w:numPr>
                <w:ilvl w:val="0"/>
                <w:numId w:val="31"/>
              </w:numPr>
              <w:spacing w:before="0" w:after="0"/>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The </w:t>
            </w:r>
            <w:r w:rsidR="00C316C3">
              <w:rPr>
                <w:rFonts w:cstheme="minorHAnsi"/>
                <w:sz w:val="14"/>
                <w:szCs w:val="14"/>
              </w:rPr>
              <w:t>Scheme</w:t>
            </w:r>
            <w:r w:rsidRPr="009434AE">
              <w:rPr>
                <w:rFonts w:cstheme="minorHAnsi"/>
                <w:sz w:val="14"/>
                <w:szCs w:val="14"/>
              </w:rPr>
              <w:t xml:space="preserve"> Schedule specifies the maximum number of units available to participants under the Scheme monthly or annually.</w:t>
            </w:r>
          </w:p>
        </w:tc>
        <w:tc>
          <w:tcPr>
            <w:tcW w:w="2763" w:type="dxa"/>
          </w:tcPr>
          <w:p w14:paraId="1D92F364"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The patient will pay a charge per item to the NHS (currently £9.35) although there are options to pay for all prescriptions </w:t>
            </w:r>
            <w:proofErr w:type="gramStart"/>
            <w:r w:rsidRPr="009434AE">
              <w:rPr>
                <w:rFonts w:cstheme="minorHAnsi"/>
                <w:sz w:val="14"/>
                <w:szCs w:val="14"/>
              </w:rPr>
              <w:t>on a monthly basis</w:t>
            </w:r>
            <w:proofErr w:type="gramEnd"/>
            <w:r w:rsidRPr="009434AE">
              <w:rPr>
                <w:rFonts w:cstheme="minorHAnsi"/>
                <w:sz w:val="14"/>
                <w:szCs w:val="14"/>
              </w:rPr>
              <w:t xml:space="preserve"> at a reduced fee.</w:t>
            </w:r>
          </w:p>
          <w:p w14:paraId="298FFE86"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Some groups (e.g. those with permanent fistulas) of people are exempt from prescription charges and can apply for a prescription exemption certificate.</w:t>
            </w:r>
          </w:p>
          <w:p w14:paraId="14242131"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Those with temporary stomas are not entitled to free prescriptions, however prescription prepayment certificates are available.</w:t>
            </w:r>
          </w:p>
          <w:p w14:paraId="491A055B" w14:textId="60049EEF" w:rsidR="00431518" w:rsidRPr="009434AE" w:rsidRDefault="002557C9"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hyperlink r:id="rId48" w:anchor=":~:text=When%20you%20leave%20hospital%20you,specialist%20supplier%20or%20local%20chemist" w:history="1">
              <w:r w:rsidR="00431518" w:rsidRPr="009434AE">
                <w:rPr>
                  <w:rStyle w:val="Hyperlink"/>
                  <w:rFonts w:cstheme="minorHAnsi"/>
                  <w:sz w:val="14"/>
                  <w:szCs w:val="14"/>
                </w:rPr>
                <w:t>Colostomy UK website</w:t>
              </w:r>
            </w:hyperlink>
          </w:p>
          <w:p w14:paraId="064C4283" w14:textId="646A0F03" w:rsidR="00431518" w:rsidRPr="009434AE" w:rsidRDefault="002557C9"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hyperlink r:id="rId49" w:history="1">
              <w:r w:rsidR="00431518" w:rsidRPr="009434AE">
                <w:rPr>
                  <w:rStyle w:val="Hyperlink"/>
                  <w:rFonts w:cstheme="minorHAnsi"/>
                  <w:sz w:val="14"/>
                  <w:szCs w:val="14"/>
                </w:rPr>
                <w:t>Free prescription eligibility</w:t>
              </w:r>
            </w:hyperlink>
          </w:p>
        </w:tc>
        <w:tc>
          <w:tcPr>
            <w:tcW w:w="2763" w:type="dxa"/>
          </w:tcPr>
          <w:p w14:paraId="36A055E3"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lastRenderedPageBreak/>
              <w:t xml:space="preserve">The service providers generate their invoices based on tariffs and rates, and that is how they are reimbursed for their services. Tariffs, </w:t>
            </w:r>
            <w:proofErr w:type="gramStart"/>
            <w:r w:rsidRPr="009434AE">
              <w:rPr>
                <w:rFonts w:cstheme="minorHAnsi"/>
                <w:sz w:val="14"/>
                <w:szCs w:val="14"/>
              </w:rPr>
              <w:t>rates</w:t>
            </w:r>
            <w:proofErr w:type="gramEnd"/>
            <w:r w:rsidRPr="009434AE">
              <w:rPr>
                <w:rFonts w:cstheme="minorHAnsi"/>
                <w:sz w:val="14"/>
                <w:szCs w:val="14"/>
              </w:rPr>
              <w:t xml:space="preserve"> and maximum levels of reimbursement are determined by authorities in the provisions on the service obligation and the scope of coverage in the case of aids and devices.</w:t>
            </w:r>
          </w:p>
        </w:tc>
        <w:tc>
          <w:tcPr>
            <w:tcW w:w="2763" w:type="dxa"/>
          </w:tcPr>
          <w:p w14:paraId="400BA514" w14:textId="4436E8B0"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The cost of supplies is covered by Medicare insurance that is available to individuals over 65 years.</w:t>
            </w:r>
          </w:p>
          <w:p w14:paraId="19C8D246" w14:textId="145E795C"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Those with traditional health insurance are covered for 80% of the cost of items deemed to be medically necessary. The ostomate is responsible for funding the remining 20% of the cost. Several people get a second insurance plan. </w:t>
            </w:r>
          </w:p>
        </w:tc>
      </w:tr>
      <w:tr w:rsidR="009434AE" w:rsidRPr="009434AE" w14:paraId="05BAB6A9" w14:textId="77777777" w:rsidTr="009434AE">
        <w:tc>
          <w:tcPr>
            <w:cnfStyle w:val="001000000000" w:firstRow="0" w:lastRow="0" w:firstColumn="1" w:lastColumn="0" w:oddVBand="0" w:evenVBand="0" w:oddHBand="0" w:evenHBand="0" w:firstRowFirstColumn="0" w:firstRowLastColumn="0" w:lastRowFirstColumn="0" w:lastRowLastColumn="0"/>
            <w:tcW w:w="1824" w:type="dxa"/>
          </w:tcPr>
          <w:p w14:paraId="16D14128" w14:textId="77777777" w:rsidR="00431518" w:rsidRPr="009434AE" w:rsidRDefault="00431518" w:rsidP="009434AE">
            <w:pPr>
              <w:spacing w:before="0" w:after="0"/>
              <w:rPr>
                <w:rFonts w:cstheme="minorHAnsi"/>
                <w:b w:val="0"/>
                <w:bCs/>
                <w:sz w:val="14"/>
                <w:szCs w:val="14"/>
              </w:rPr>
            </w:pPr>
            <w:r w:rsidRPr="009434AE">
              <w:rPr>
                <w:rFonts w:cstheme="minorHAnsi"/>
                <w:bCs/>
                <w:sz w:val="14"/>
                <w:szCs w:val="14"/>
              </w:rPr>
              <w:t>Quality Assurance</w:t>
            </w:r>
          </w:p>
        </w:tc>
        <w:tc>
          <w:tcPr>
            <w:tcW w:w="1695" w:type="dxa"/>
          </w:tcPr>
          <w:p w14:paraId="74BD6C3A"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Procedures in place to ensure the quality and safety of stoma appliances and other resources offered.</w:t>
            </w:r>
          </w:p>
        </w:tc>
        <w:tc>
          <w:tcPr>
            <w:tcW w:w="2762" w:type="dxa"/>
          </w:tcPr>
          <w:p w14:paraId="21EDDEF7" w14:textId="5E25A4D7" w:rsidR="00431518" w:rsidRPr="009434AE" w:rsidRDefault="00431518" w:rsidP="00E442CB">
            <w:pPr>
              <w:pStyle w:val="ListParagraph"/>
              <w:numPr>
                <w:ilvl w:val="0"/>
                <w:numId w:val="31"/>
              </w:numPr>
              <w:spacing w:before="0" w:after="0"/>
              <w:ind w:left="170" w:hanging="170"/>
              <w:contextualSpacing w:val="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Prior to their listing on the </w:t>
            </w:r>
            <w:r w:rsidR="00C316C3">
              <w:rPr>
                <w:rFonts w:cstheme="minorHAnsi"/>
                <w:sz w:val="14"/>
                <w:szCs w:val="14"/>
              </w:rPr>
              <w:t>Scheme</w:t>
            </w:r>
            <w:r w:rsidRPr="009434AE">
              <w:rPr>
                <w:rFonts w:cstheme="minorHAnsi"/>
                <w:sz w:val="14"/>
                <w:szCs w:val="14"/>
              </w:rPr>
              <w:t xml:space="preserve"> Schedule, products must be assessed by the SPAP </w:t>
            </w:r>
            <w:proofErr w:type="gramStart"/>
            <w:r w:rsidRPr="009434AE">
              <w:rPr>
                <w:rFonts w:cstheme="minorHAnsi"/>
                <w:sz w:val="14"/>
                <w:szCs w:val="14"/>
              </w:rPr>
              <w:t>on the basis of</w:t>
            </w:r>
            <w:proofErr w:type="gramEnd"/>
            <w:r w:rsidRPr="009434AE">
              <w:rPr>
                <w:rFonts w:cstheme="minorHAnsi"/>
                <w:sz w:val="14"/>
                <w:szCs w:val="14"/>
              </w:rPr>
              <w:t xml:space="preserve"> their comparative clinical function and effectiveness, comparative cost</w:t>
            </w:r>
            <w:r w:rsidR="00C472E4">
              <w:rPr>
                <w:rFonts w:cstheme="minorHAnsi"/>
                <w:sz w:val="14"/>
                <w:szCs w:val="14"/>
              </w:rPr>
              <w:t>-</w:t>
            </w:r>
            <w:r w:rsidRPr="009434AE">
              <w:rPr>
                <w:rFonts w:cstheme="minorHAnsi"/>
                <w:sz w:val="14"/>
                <w:szCs w:val="14"/>
              </w:rPr>
              <w:t>effectiveness and comparative safety.</w:t>
            </w:r>
          </w:p>
          <w:p w14:paraId="3D8F60CE" w14:textId="17CF04FC" w:rsidR="00431518" w:rsidRPr="009434AE" w:rsidRDefault="00431518" w:rsidP="00E442CB">
            <w:pPr>
              <w:pStyle w:val="ListParagraph"/>
              <w:numPr>
                <w:ilvl w:val="0"/>
                <w:numId w:val="31"/>
              </w:numPr>
              <w:spacing w:before="0" w:after="0"/>
              <w:ind w:left="170" w:hanging="170"/>
              <w:contextualSpacing w:val="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Products approved for listing will be published on the </w:t>
            </w:r>
            <w:r w:rsidR="00C316C3">
              <w:rPr>
                <w:rFonts w:cstheme="minorHAnsi"/>
                <w:sz w:val="14"/>
                <w:szCs w:val="14"/>
              </w:rPr>
              <w:t>Scheme</w:t>
            </w:r>
            <w:r w:rsidRPr="009434AE">
              <w:rPr>
                <w:rFonts w:cstheme="minorHAnsi"/>
                <w:sz w:val="14"/>
                <w:szCs w:val="14"/>
              </w:rPr>
              <w:t xml:space="preserve"> Schedule.</w:t>
            </w:r>
          </w:p>
          <w:p w14:paraId="408185B8" w14:textId="77777777" w:rsidR="00431518" w:rsidRPr="009434AE" w:rsidRDefault="00431518" w:rsidP="00E442CB">
            <w:pPr>
              <w:pStyle w:val="ListParagraph"/>
              <w:numPr>
                <w:ilvl w:val="0"/>
                <w:numId w:val="31"/>
              </w:numPr>
              <w:spacing w:before="0" w:after="0"/>
              <w:ind w:left="170" w:hanging="170"/>
              <w:contextualSpacing w:val="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Stoma associations must comply with the Stoma Appliance Scheme Operational Guidelines and reporting requirements.</w:t>
            </w:r>
          </w:p>
        </w:tc>
        <w:tc>
          <w:tcPr>
            <w:tcW w:w="2763" w:type="dxa"/>
          </w:tcPr>
          <w:p w14:paraId="43F3B73D"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2763" w:type="dxa"/>
          </w:tcPr>
          <w:p w14:paraId="77C97F5D"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2763" w:type="dxa"/>
          </w:tcPr>
          <w:p w14:paraId="08281BAF"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9434AE" w:rsidRPr="009434AE" w14:paraId="254D7A9A" w14:textId="77777777" w:rsidTr="0094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66FE19B4" w14:textId="77777777" w:rsidR="00431518" w:rsidRPr="009434AE" w:rsidRDefault="00431518" w:rsidP="009434AE">
            <w:pPr>
              <w:spacing w:before="0" w:after="0"/>
              <w:rPr>
                <w:rFonts w:cstheme="minorHAnsi"/>
                <w:b w:val="0"/>
                <w:bCs/>
                <w:sz w:val="14"/>
                <w:szCs w:val="14"/>
              </w:rPr>
            </w:pPr>
            <w:r w:rsidRPr="009434AE">
              <w:rPr>
                <w:rFonts w:cstheme="minorHAnsi"/>
                <w:bCs/>
                <w:sz w:val="14"/>
                <w:szCs w:val="14"/>
              </w:rPr>
              <w:t>Requirements for Providers</w:t>
            </w:r>
          </w:p>
        </w:tc>
        <w:tc>
          <w:tcPr>
            <w:tcW w:w="1695" w:type="dxa"/>
          </w:tcPr>
          <w:p w14:paraId="3D2D03F4"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Criteria and responsibilities that providers of the scheme must fulfill, including eligibility and dispute resolution.</w:t>
            </w:r>
          </w:p>
        </w:tc>
        <w:tc>
          <w:tcPr>
            <w:tcW w:w="2762" w:type="dxa"/>
          </w:tcPr>
          <w:p w14:paraId="02FD8142" w14:textId="77777777" w:rsidR="00431518" w:rsidRPr="009434AE" w:rsidRDefault="00431518" w:rsidP="00E442CB">
            <w:pPr>
              <w:pStyle w:val="ListParagraph"/>
              <w:numPr>
                <w:ilvl w:val="0"/>
                <w:numId w:val="31"/>
              </w:numPr>
              <w:spacing w:before="0" w:after="0"/>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 sponsor of a stoma-related product must have an Australian Business Number (ABN) and be able to guarantee supply of the product.</w:t>
            </w:r>
          </w:p>
          <w:p w14:paraId="52547DBE" w14:textId="77777777" w:rsidR="00431518" w:rsidRPr="009434AE" w:rsidRDefault="00431518" w:rsidP="00E442CB">
            <w:pPr>
              <w:pStyle w:val="ListParagraph"/>
              <w:numPr>
                <w:ilvl w:val="0"/>
                <w:numId w:val="31"/>
              </w:numPr>
              <w:spacing w:before="0" w:after="0"/>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Products must be registered on the Australian Register of Therapeutic Goods (ARTG).</w:t>
            </w:r>
          </w:p>
        </w:tc>
        <w:tc>
          <w:tcPr>
            <w:tcW w:w="2763" w:type="dxa"/>
          </w:tcPr>
          <w:p w14:paraId="0E68C7C8"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Manufacturers and distributers wishing to supply an appliance or chemical reagent for NHS prescribing must first seek approval from NHS Prescription Services for inclusion of that product in Part IX of the Drug Tariff. Regulations provide that the Drug Tariff must state the prices at which the dispenser’s reimbursement for appliances is to be calculated.</w:t>
            </w:r>
          </w:p>
        </w:tc>
        <w:tc>
          <w:tcPr>
            <w:tcW w:w="2763" w:type="dxa"/>
          </w:tcPr>
          <w:p w14:paraId="64C50165"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c>
          <w:tcPr>
            <w:tcW w:w="2763" w:type="dxa"/>
          </w:tcPr>
          <w:p w14:paraId="74D3734E"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To justify payment, suppliers must provide:</w:t>
            </w:r>
          </w:p>
          <w:p w14:paraId="6EFB5B96" w14:textId="77777777" w:rsidR="00431518" w:rsidRPr="009434AE" w:rsidRDefault="00431518" w:rsidP="00E442CB">
            <w:pPr>
              <w:pStyle w:val="ListParagraph"/>
              <w:numPr>
                <w:ilvl w:val="0"/>
                <w:numId w:val="46"/>
              </w:numPr>
              <w:spacing w:before="0" w:after="0" w:line="259" w:lineRule="auto"/>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Standard written order</w:t>
            </w:r>
          </w:p>
          <w:p w14:paraId="3BF58B32" w14:textId="77777777" w:rsidR="00431518" w:rsidRPr="009434AE" w:rsidRDefault="00431518" w:rsidP="00E442CB">
            <w:pPr>
              <w:pStyle w:val="ListParagraph"/>
              <w:numPr>
                <w:ilvl w:val="0"/>
                <w:numId w:val="46"/>
              </w:numPr>
              <w:spacing w:before="0" w:after="0" w:line="259" w:lineRule="auto"/>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Medical Record Information (including continued need/use if applicable)</w:t>
            </w:r>
          </w:p>
          <w:p w14:paraId="55E9C0D3" w14:textId="77777777" w:rsidR="00431518" w:rsidRPr="009434AE" w:rsidRDefault="00431518" w:rsidP="00E442CB">
            <w:pPr>
              <w:pStyle w:val="ListParagraph"/>
              <w:numPr>
                <w:ilvl w:val="0"/>
                <w:numId w:val="46"/>
              </w:numPr>
              <w:spacing w:before="0" w:after="0" w:line="259" w:lineRule="auto"/>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Correct Coding</w:t>
            </w:r>
          </w:p>
          <w:p w14:paraId="03973952" w14:textId="77777777" w:rsidR="00431518" w:rsidRPr="009434AE" w:rsidRDefault="00431518" w:rsidP="00E442CB">
            <w:pPr>
              <w:pStyle w:val="ListParagraph"/>
              <w:numPr>
                <w:ilvl w:val="0"/>
                <w:numId w:val="46"/>
              </w:numPr>
              <w:spacing w:before="0" w:after="0" w:line="259" w:lineRule="auto"/>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Proof of Delivery</w:t>
            </w:r>
          </w:p>
          <w:p w14:paraId="5B7EAA05"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Suppliers also must not dispense a greater quantity than the maximum number of supplies permitted for each category per person per month/ six months.</w:t>
            </w:r>
          </w:p>
        </w:tc>
      </w:tr>
      <w:tr w:rsidR="009434AE" w:rsidRPr="009434AE" w14:paraId="62E219D9" w14:textId="77777777" w:rsidTr="009434AE">
        <w:tc>
          <w:tcPr>
            <w:cnfStyle w:val="001000000000" w:firstRow="0" w:lastRow="0" w:firstColumn="1" w:lastColumn="0" w:oddVBand="0" w:evenVBand="0" w:oddHBand="0" w:evenHBand="0" w:firstRowFirstColumn="0" w:firstRowLastColumn="0" w:lastRowFirstColumn="0" w:lastRowLastColumn="0"/>
            <w:tcW w:w="1824" w:type="dxa"/>
          </w:tcPr>
          <w:p w14:paraId="2865384B" w14:textId="77777777" w:rsidR="00431518" w:rsidRPr="009434AE" w:rsidRDefault="00431518" w:rsidP="009434AE">
            <w:pPr>
              <w:spacing w:before="0" w:after="0"/>
              <w:rPr>
                <w:rFonts w:cstheme="minorHAnsi"/>
                <w:b w:val="0"/>
                <w:bCs/>
                <w:sz w:val="14"/>
                <w:szCs w:val="14"/>
              </w:rPr>
            </w:pPr>
            <w:r w:rsidRPr="009434AE">
              <w:rPr>
                <w:rFonts w:cstheme="minorHAnsi"/>
                <w:bCs/>
                <w:sz w:val="14"/>
                <w:szCs w:val="14"/>
              </w:rPr>
              <w:t>Requirements for Participants</w:t>
            </w:r>
          </w:p>
        </w:tc>
        <w:tc>
          <w:tcPr>
            <w:tcW w:w="1695" w:type="dxa"/>
          </w:tcPr>
          <w:p w14:paraId="4E2D60A0"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Conditions and procedures that individual participants must adhere to for successful enrolment and ongoing participation.</w:t>
            </w:r>
          </w:p>
        </w:tc>
        <w:tc>
          <w:tcPr>
            <w:tcW w:w="2762" w:type="dxa"/>
          </w:tcPr>
          <w:p w14:paraId="3DE0A9A0" w14:textId="77777777" w:rsidR="00431518" w:rsidRPr="009434AE" w:rsidRDefault="00431518" w:rsidP="00E442CB">
            <w:pPr>
              <w:pStyle w:val="ListParagraph"/>
              <w:numPr>
                <w:ilvl w:val="0"/>
                <w:numId w:val="31"/>
              </w:numPr>
              <w:spacing w:before="0" w:after="0"/>
              <w:ind w:left="170" w:hanging="170"/>
              <w:contextualSpacing w:val="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A participant must be a current financial member of an approved stoma association.</w:t>
            </w:r>
          </w:p>
          <w:p w14:paraId="6ED82E3F" w14:textId="7DCA5401" w:rsidR="00431518" w:rsidRPr="009434AE" w:rsidRDefault="00431518" w:rsidP="00E442CB">
            <w:pPr>
              <w:pStyle w:val="ListParagraph"/>
              <w:numPr>
                <w:ilvl w:val="0"/>
                <w:numId w:val="31"/>
              </w:numPr>
              <w:spacing w:before="0" w:after="0"/>
              <w:ind w:left="170" w:hanging="170"/>
              <w:contextualSpacing w:val="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A participant must only use products supplied through the </w:t>
            </w:r>
            <w:r w:rsidR="00C316C3">
              <w:rPr>
                <w:rFonts w:cstheme="minorHAnsi"/>
                <w:sz w:val="14"/>
                <w:szCs w:val="14"/>
              </w:rPr>
              <w:t>Scheme</w:t>
            </w:r>
            <w:r w:rsidRPr="009434AE">
              <w:rPr>
                <w:rFonts w:cstheme="minorHAnsi"/>
                <w:sz w:val="14"/>
                <w:szCs w:val="14"/>
              </w:rPr>
              <w:t xml:space="preserve"> for their own personal use.</w:t>
            </w:r>
          </w:p>
        </w:tc>
        <w:tc>
          <w:tcPr>
            <w:tcW w:w="2763" w:type="dxa"/>
          </w:tcPr>
          <w:p w14:paraId="76731FE5"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2763" w:type="dxa"/>
          </w:tcPr>
          <w:p w14:paraId="399B7B85"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It is mandatory to have a private </w:t>
            </w:r>
            <w:proofErr w:type="gramStart"/>
            <w:r w:rsidRPr="009434AE">
              <w:rPr>
                <w:rFonts w:cstheme="minorHAnsi"/>
                <w:sz w:val="14"/>
                <w:szCs w:val="14"/>
              </w:rPr>
              <w:t>insurance</w:t>
            </w:r>
            <w:proofErr w:type="gramEnd"/>
          </w:p>
          <w:p w14:paraId="1CDE6360" w14:textId="77777777" w:rsidR="00431518" w:rsidRPr="009434AE" w:rsidRDefault="00431518" w:rsidP="00E442CB">
            <w:pPr>
              <w:pStyle w:val="ListParagraph"/>
              <w:numPr>
                <w:ilvl w:val="0"/>
                <w:numId w:val="31"/>
              </w:numPr>
              <w:spacing w:before="0" w:after="0" w:line="259" w:lineRule="auto"/>
              <w:ind w:left="170" w:hanging="170"/>
              <w:contextualSpacing w:val="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Basic level is nationally the same and cover stoma </w:t>
            </w:r>
            <w:proofErr w:type="gramStart"/>
            <w:r w:rsidRPr="009434AE">
              <w:rPr>
                <w:rFonts w:cstheme="minorHAnsi"/>
                <w:sz w:val="14"/>
                <w:szCs w:val="14"/>
              </w:rPr>
              <w:t>products</w:t>
            </w:r>
            <w:proofErr w:type="gramEnd"/>
          </w:p>
          <w:p w14:paraId="1A972D59" w14:textId="77777777" w:rsidR="00431518" w:rsidRPr="009434AE" w:rsidRDefault="00431518" w:rsidP="00E442CB">
            <w:pPr>
              <w:pStyle w:val="ListParagraph"/>
              <w:numPr>
                <w:ilvl w:val="0"/>
                <w:numId w:val="31"/>
              </w:numPr>
              <w:spacing w:before="0" w:after="0" w:line="259" w:lineRule="auto"/>
              <w:ind w:left="170" w:hanging="170"/>
              <w:contextualSpacing w:val="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The amount/ month is around 500 CHF (Approx. $850 AUD) If the individual agrees to have a higher deductible rate (will be more expensive for a lower deductible rate)</w:t>
            </w:r>
          </w:p>
        </w:tc>
        <w:tc>
          <w:tcPr>
            <w:tcW w:w="2763" w:type="dxa"/>
          </w:tcPr>
          <w:p w14:paraId="34B37025"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9434AE" w:rsidRPr="009434AE" w14:paraId="75EEA319" w14:textId="77777777" w:rsidTr="0094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170694F1" w14:textId="77777777" w:rsidR="00431518" w:rsidRPr="009434AE" w:rsidRDefault="00431518" w:rsidP="009434AE">
            <w:pPr>
              <w:spacing w:before="0" w:after="0"/>
              <w:rPr>
                <w:rFonts w:cstheme="minorHAnsi"/>
                <w:b w:val="0"/>
                <w:bCs/>
                <w:sz w:val="14"/>
                <w:szCs w:val="14"/>
              </w:rPr>
            </w:pPr>
            <w:r w:rsidRPr="009434AE">
              <w:rPr>
                <w:rFonts w:cstheme="minorHAnsi"/>
                <w:bCs/>
                <w:sz w:val="14"/>
                <w:szCs w:val="14"/>
              </w:rPr>
              <w:lastRenderedPageBreak/>
              <w:t>Fees and Charges</w:t>
            </w:r>
          </w:p>
        </w:tc>
        <w:tc>
          <w:tcPr>
            <w:tcW w:w="1695" w:type="dxa"/>
          </w:tcPr>
          <w:p w14:paraId="728CA5BC"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Details on any access or membership fees associated with participating in the scheme.</w:t>
            </w:r>
          </w:p>
        </w:tc>
        <w:tc>
          <w:tcPr>
            <w:tcW w:w="2762" w:type="dxa"/>
          </w:tcPr>
          <w:p w14:paraId="18BF0261" w14:textId="77777777" w:rsidR="00431518" w:rsidRPr="009434AE" w:rsidRDefault="00431518" w:rsidP="00E442CB">
            <w:pPr>
              <w:pStyle w:val="ListParagraph"/>
              <w:numPr>
                <w:ilvl w:val="0"/>
                <w:numId w:val="31"/>
              </w:numPr>
              <w:spacing w:before="0" w:after="0" w:line="259" w:lineRule="auto"/>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Annual stoma association membership fee – set by associations (e.g. NSW Stoma membership is $65 for concession holders and $75 for full members)</w:t>
            </w:r>
          </w:p>
          <w:p w14:paraId="72CAF80F" w14:textId="076712A2" w:rsidR="00431518" w:rsidRPr="009434AE" w:rsidRDefault="00431518" w:rsidP="00E442CB">
            <w:pPr>
              <w:pStyle w:val="ListParagraph"/>
              <w:numPr>
                <w:ilvl w:val="0"/>
                <w:numId w:val="31"/>
              </w:numPr>
              <w:spacing w:before="0" w:after="0" w:line="259" w:lineRule="auto"/>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Participants are responsible for any costs (e.g. postage and handling costs) associated with obtaining stoma</w:t>
            </w:r>
            <w:r w:rsidR="006A0BD8">
              <w:rPr>
                <w:rFonts w:cstheme="minorHAnsi"/>
                <w:sz w:val="14"/>
                <w:szCs w:val="14"/>
              </w:rPr>
              <w:t>-</w:t>
            </w:r>
            <w:r w:rsidRPr="009434AE">
              <w:rPr>
                <w:rFonts w:cstheme="minorHAnsi"/>
                <w:sz w:val="14"/>
                <w:szCs w:val="14"/>
              </w:rPr>
              <w:t>related products.</w:t>
            </w:r>
          </w:p>
        </w:tc>
        <w:tc>
          <w:tcPr>
            <w:tcW w:w="2763" w:type="dxa"/>
          </w:tcPr>
          <w:p w14:paraId="6F9B59D2"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c>
          <w:tcPr>
            <w:tcW w:w="2763" w:type="dxa"/>
          </w:tcPr>
          <w:p w14:paraId="35D1CF97" w14:textId="098970FF"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Tariff packages cover 5040 CHF* (Approx. $8600 AUD)/ year (pro</w:t>
            </w:r>
            <w:r w:rsidR="006A60F2">
              <w:rPr>
                <w:rFonts w:cstheme="minorHAnsi"/>
                <w:sz w:val="14"/>
                <w:szCs w:val="14"/>
              </w:rPr>
              <w:t>-</w:t>
            </w:r>
            <w:r w:rsidRPr="009434AE">
              <w:rPr>
                <w:rFonts w:cstheme="minorHAnsi"/>
                <w:sz w:val="14"/>
                <w:szCs w:val="14"/>
              </w:rPr>
              <w:t>rata)/ per stoma.</w:t>
            </w:r>
          </w:p>
          <w:p w14:paraId="4D15A8E6" w14:textId="77777777" w:rsidR="00431518" w:rsidRPr="009434AE" w:rsidRDefault="00431518" w:rsidP="00E442CB">
            <w:pPr>
              <w:pStyle w:val="ListParagraph"/>
              <w:numPr>
                <w:ilvl w:val="0"/>
                <w:numId w:val="31"/>
              </w:numPr>
              <w:spacing w:before="0" w:after="0" w:line="259" w:lineRule="auto"/>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Insurance can cover up to 100% more but with Stoma and GM </w:t>
            </w:r>
            <w:proofErr w:type="gramStart"/>
            <w:r w:rsidRPr="009434AE">
              <w:rPr>
                <w:rFonts w:cstheme="minorHAnsi"/>
                <w:sz w:val="14"/>
                <w:szCs w:val="14"/>
              </w:rPr>
              <w:t>explanation</w:t>
            </w:r>
            <w:proofErr w:type="gramEnd"/>
          </w:p>
          <w:p w14:paraId="52FD5F9D" w14:textId="77777777" w:rsidR="00431518" w:rsidRPr="009434AE" w:rsidRDefault="00431518" w:rsidP="00E442CB">
            <w:pPr>
              <w:pStyle w:val="ListParagraph"/>
              <w:numPr>
                <w:ilvl w:val="0"/>
                <w:numId w:val="31"/>
              </w:numPr>
              <w:spacing w:before="0" w:after="0" w:line="259" w:lineRule="auto"/>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Patients exceeding limit: ≈ 18% (5% 2x over limit)</w:t>
            </w:r>
          </w:p>
        </w:tc>
        <w:tc>
          <w:tcPr>
            <w:tcW w:w="2763" w:type="dxa"/>
          </w:tcPr>
          <w:p w14:paraId="5D49DEA1"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r>
      <w:tr w:rsidR="009434AE" w:rsidRPr="009434AE" w14:paraId="3E5B8C51" w14:textId="77777777" w:rsidTr="009434AE">
        <w:tc>
          <w:tcPr>
            <w:cnfStyle w:val="001000000000" w:firstRow="0" w:lastRow="0" w:firstColumn="1" w:lastColumn="0" w:oddVBand="0" w:evenVBand="0" w:oddHBand="0" w:evenHBand="0" w:firstRowFirstColumn="0" w:firstRowLastColumn="0" w:lastRowFirstColumn="0" w:lastRowLastColumn="0"/>
            <w:tcW w:w="1824" w:type="dxa"/>
          </w:tcPr>
          <w:p w14:paraId="5EF3E367" w14:textId="77777777" w:rsidR="00431518" w:rsidRPr="009434AE" w:rsidRDefault="00431518" w:rsidP="009434AE">
            <w:pPr>
              <w:spacing w:before="0" w:after="0"/>
              <w:rPr>
                <w:rFonts w:cstheme="minorHAnsi"/>
                <w:b w:val="0"/>
                <w:bCs/>
                <w:sz w:val="14"/>
                <w:szCs w:val="14"/>
              </w:rPr>
            </w:pPr>
            <w:r w:rsidRPr="009434AE">
              <w:rPr>
                <w:rFonts w:cstheme="minorHAnsi"/>
                <w:bCs/>
                <w:sz w:val="14"/>
                <w:szCs w:val="14"/>
              </w:rPr>
              <w:t>Application process</w:t>
            </w:r>
          </w:p>
        </w:tc>
        <w:tc>
          <w:tcPr>
            <w:tcW w:w="1695" w:type="dxa"/>
          </w:tcPr>
          <w:p w14:paraId="4D67C0DB"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Steps required for an individual to apply for and receive assistance from the scheme.</w:t>
            </w:r>
          </w:p>
        </w:tc>
        <w:tc>
          <w:tcPr>
            <w:tcW w:w="2762" w:type="dxa"/>
          </w:tcPr>
          <w:p w14:paraId="205E749E"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A member of a stoma association needs to:</w:t>
            </w:r>
          </w:p>
          <w:p w14:paraId="62AC89D1" w14:textId="77777777" w:rsidR="00431518" w:rsidRPr="009434AE" w:rsidRDefault="00431518" w:rsidP="00E442CB">
            <w:pPr>
              <w:pStyle w:val="ListParagraph"/>
              <w:numPr>
                <w:ilvl w:val="0"/>
                <w:numId w:val="31"/>
              </w:numPr>
              <w:spacing w:before="0" w:after="0" w:line="259" w:lineRule="auto"/>
              <w:ind w:left="170" w:hanging="170"/>
              <w:contextualSpacing w:val="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complete part 1 of the Stoma Appliance Scheme application form (PB049)</w:t>
            </w:r>
          </w:p>
          <w:p w14:paraId="10300E84" w14:textId="77777777" w:rsidR="00431518" w:rsidRPr="009434AE" w:rsidRDefault="00431518" w:rsidP="00E442CB">
            <w:pPr>
              <w:pStyle w:val="ListParagraph"/>
              <w:numPr>
                <w:ilvl w:val="0"/>
                <w:numId w:val="31"/>
              </w:numPr>
              <w:spacing w:before="0" w:after="0" w:line="259" w:lineRule="auto"/>
              <w:ind w:left="170" w:hanging="170"/>
              <w:contextualSpacing w:val="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get their medical practitioner or stomal therapy nurse to complete Part 2</w:t>
            </w:r>
          </w:p>
          <w:p w14:paraId="1EA98D89" w14:textId="77777777" w:rsidR="00431518" w:rsidRPr="009434AE" w:rsidRDefault="00431518" w:rsidP="00E442CB">
            <w:pPr>
              <w:pStyle w:val="ListParagraph"/>
              <w:numPr>
                <w:ilvl w:val="0"/>
                <w:numId w:val="31"/>
              </w:numPr>
              <w:spacing w:before="0" w:after="0" w:line="259" w:lineRule="auto"/>
              <w:ind w:left="170" w:hanging="170"/>
              <w:contextualSpacing w:val="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send the completed form.</w:t>
            </w:r>
          </w:p>
        </w:tc>
        <w:tc>
          <w:tcPr>
            <w:tcW w:w="2763" w:type="dxa"/>
          </w:tcPr>
          <w:p w14:paraId="69A7815B"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Consultation with practitioners who can supply a prescription.</w:t>
            </w:r>
          </w:p>
        </w:tc>
        <w:tc>
          <w:tcPr>
            <w:tcW w:w="2763" w:type="dxa"/>
          </w:tcPr>
          <w:p w14:paraId="5A1A6FED"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Stoma Nurses often do the prescription and its annual renewal.</w:t>
            </w:r>
          </w:p>
        </w:tc>
        <w:tc>
          <w:tcPr>
            <w:tcW w:w="2763" w:type="dxa"/>
          </w:tcPr>
          <w:p w14:paraId="4344B834"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9434AE" w:rsidRPr="009434AE" w14:paraId="244FB3FB" w14:textId="77777777" w:rsidTr="0094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5922C8B4" w14:textId="77777777" w:rsidR="00431518" w:rsidRPr="009434AE" w:rsidRDefault="00431518" w:rsidP="009434AE">
            <w:pPr>
              <w:spacing w:before="0" w:after="0"/>
              <w:rPr>
                <w:rFonts w:cstheme="minorHAnsi"/>
                <w:b w:val="0"/>
                <w:bCs/>
                <w:sz w:val="14"/>
                <w:szCs w:val="14"/>
              </w:rPr>
            </w:pPr>
            <w:r w:rsidRPr="009434AE">
              <w:rPr>
                <w:rFonts w:cstheme="minorHAnsi"/>
                <w:bCs/>
                <w:sz w:val="14"/>
                <w:szCs w:val="14"/>
              </w:rPr>
              <w:t>Claims process</w:t>
            </w:r>
          </w:p>
        </w:tc>
        <w:tc>
          <w:tcPr>
            <w:tcW w:w="1695" w:type="dxa"/>
          </w:tcPr>
          <w:p w14:paraId="267A93F5"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Processes for preparing, submitting, and receiving payment for claims.</w:t>
            </w:r>
          </w:p>
        </w:tc>
        <w:tc>
          <w:tcPr>
            <w:tcW w:w="2762" w:type="dxa"/>
          </w:tcPr>
          <w:p w14:paraId="478AED6E"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To claim a reimbursement, a stoma association needs to upload an electronic claim file through Health Professional Online Services (HPOS).</w:t>
            </w:r>
          </w:p>
          <w:p w14:paraId="37C35D1E"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b/>
                <w:bCs/>
                <w:sz w:val="14"/>
                <w:szCs w:val="14"/>
              </w:rPr>
              <w:t>Note:</w:t>
            </w:r>
            <w:r w:rsidRPr="009434AE">
              <w:rPr>
                <w:rFonts w:cstheme="minorHAnsi"/>
                <w:sz w:val="14"/>
                <w:szCs w:val="14"/>
              </w:rPr>
              <w:t xml:space="preserve"> Stoma associations no longer need to send Services Australia copies of the claim paperwork or patient forms PB049 and PB050.</w:t>
            </w:r>
          </w:p>
        </w:tc>
        <w:tc>
          <w:tcPr>
            <w:tcW w:w="2763" w:type="dxa"/>
          </w:tcPr>
          <w:p w14:paraId="5CD81EAA"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c>
          <w:tcPr>
            <w:tcW w:w="2763" w:type="dxa"/>
          </w:tcPr>
          <w:p w14:paraId="6A1D46A2"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c>
          <w:tcPr>
            <w:tcW w:w="2763" w:type="dxa"/>
          </w:tcPr>
          <w:p w14:paraId="002B9DC1"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r>
      <w:tr w:rsidR="009434AE" w:rsidRPr="009434AE" w14:paraId="420634E2" w14:textId="77777777" w:rsidTr="009434AE">
        <w:tc>
          <w:tcPr>
            <w:cnfStyle w:val="001000000000" w:firstRow="0" w:lastRow="0" w:firstColumn="1" w:lastColumn="0" w:oddVBand="0" w:evenVBand="0" w:oddHBand="0" w:evenHBand="0" w:firstRowFirstColumn="0" w:firstRowLastColumn="0" w:lastRowFirstColumn="0" w:lastRowLastColumn="0"/>
            <w:tcW w:w="1824" w:type="dxa"/>
          </w:tcPr>
          <w:p w14:paraId="20B866E0" w14:textId="77777777" w:rsidR="00431518" w:rsidRPr="009434AE" w:rsidRDefault="00431518" w:rsidP="009434AE">
            <w:pPr>
              <w:spacing w:before="0" w:after="0"/>
              <w:rPr>
                <w:rFonts w:cstheme="minorHAnsi"/>
                <w:b w:val="0"/>
                <w:bCs/>
                <w:sz w:val="14"/>
                <w:szCs w:val="14"/>
              </w:rPr>
            </w:pPr>
            <w:r w:rsidRPr="009434AE">
              <w:rPr>
                <w:rFonts w:cstheme="minorHAnsi"/>
                <w:bCs/>
                <w:sz w:val="14"/>
                <w:szCs w:val="14"/>
              </w:rPr>
              <w:t>Payments of claims</w:t>
            </w:r>
          </w:p>
        </w:tc>
        <w:tc>
          <w:tcPr>
            <w:tcW w:w="1695" w:type="dxa"/>
          </w:tcPr>
          <w:p w14:paraId="5D4F5433"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Processes for transferring funds to cover the cost of stoma-related products and services. </w:t>
            </w:r>
          </w:p>
        </w:tc>
        <w:tc>
          <w:tcPr>
            <w:tcW w:w="2762" w:type="dxa"/>
          </w:tcPr>
          <w:p w14:paraId="475E048A" w14:textId="5CF304EC"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Payments for all claims processed by Services Australia are paid via electronic funds transfer to the financial institution nominated by the stoma association</w:t>
            </w:r>
            <w:r w:rsidR="00BF60DD">
              <w:rPr>
                <w:rFonts w:cstheme="minorHAnsi"/>
                <w:sz w:val="14"/>
                <w:szCs w:val="14"/>
              </w:rPr>
              <w:t>.</w:t>
            </w:r>
          </w:p>
        </w:tc>
        <w:tc>
          <w:tcPr>
            <w:tcW w:w="2763" w:type="dxa"/>
          </w:tcPr>
          <w:p w14:paraId="7CE0FE11"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2763" w:type="dxa"/>
          </w:tcPr>
          <w:p w14:paraId="5E7FCD82"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2763" w:type="dxa"/>
          </w:tcPr>
          <w:p w14:paraId="67FBCD77"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9434AE" w:rsidRPr="009434AE" w14:paraId="2DF3F9F9" w14:textId="77777777" w:rsidTr="0094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0327961A" w14:textId="77777777" w:rsidR="00431518" w:rsidRPr="009434AE" w:rsidRDefault="00431518" w:rsidP="009434AE">
            <w:pPr>
              <w:spacing w:before="0" w:after="0"/>
              <w:rPr>
                <w:rFonts w:cstheme="minorHAnsi"/>
                <w:b w:val="0"/>
                <w:bCs/>
                <w:sz w:val="14"/>
                <w:szCs w:val="14"/>
              </w:rPr>
            </w:pPr>
            <w:r w:rsidRPr="009434AE">
              <w:rPr>
                <w:rFonts w:cstheme="minorHAnsi"/>
                <w:bCs/>
                <w:sz w:val="14"/>
                <w:szCs w:val="14"/>
              </w:rPr>
              <w:t>Pricing</w:t>
            </w:r>
          </w:p>
        </w:tc>
        <w:tc>
          <w:tcPr>
            <w:tcW w:w="1695" w:type="dxa"/>
          </w:tcPr>
          <w:p w14:paraId="20B60850"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How pricing is structured for products and services.</w:t>
            </w:r>
          </w:p>
        </w:tc>
        <w:tc>
          <w:tcPr>
            <w:tcW w:w="2762" w:type="dxa"/>
          </w:tcPr>
          <w:p w14:paraId="0269A6A2" w14:textId="78C09DEE"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Product prices in the </w:t>
            </w:r>
            <w:r w:rsidR="00C316C3">
              <w:rPr>
                <w:rFonts w:cstheme="minorHAnsi"/>
                <w:sz w:val="14"/>
                <w:szCs w:val="14"/>
              </w:rPr>
              <w:t>Scheme</w:t>
            </w:r>
            <w:r w:rsidRPr="009434AE">
              <w:rPr>
                <w:rFonts w:cstheme="minorHAnsi"/>
                <w:sz w:val="14"/>
                <w:szCs w:val="14"/>
              </w:rPr>
              <w:t xml:space="preserve"> Schedule are set by the Department following advice from SPAP and negotiation with </w:t>
            </w:r>
            <w:r w:rsidR="00C316C3">
              <w:rPr>
                <w:rFonts w:cstheme="minorHAnsi"/>
                <w:sz w:val="14"/>
                <w:szCs w:val="14"/>
              </w:rPr>
              <w:t>Scheme</w:t>
            </w:r>
            <w:r w:rsidRPr="009434AE">
              <w:rPr>
                <w:rFonts w:cstheme="minorHAnsi"/>
                <w:sz w:val="14"/>
                <w:szCs w:val="14"/>
              </w:rPr>
              <w:t xml:space="preserve"> sponsors.</w:t>
            </w:r>
          </w:p>
          <w:p w14:paraId="2A2A367F"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There are two pricing categories:</w:t>
            </w:r>
          </w:p>
          <w:p w14:paraId="30796EF8" w14:textId="235CE273" w:rsidR="00431518" w:rsidRPr="009434AE" w:rsidRDefault="00431518" w:rsidP="00E442CB">
            <w:pPr>
              <w:pStyle w:val="ListParagraph"/>
              <w:numPr>
                <w:ilvl w:val="0"/>
                <w:numId w:val="31"/>
              </w:numPr>
              <w:spacing w:before="0" w:after="0"/>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b/>
                <w:bCs/>
                <w:sz w:val="14"/>
                <w:szCs w:val="14"/>
              </w:rPr>
              <w:lastRenderedPageBreak/>
              <w:t>Benchmark prices</w:t>
            </w:r>
            <w:r w:rsidRPr="009434AE">
              <w:rPr>
                <w:rFonts w:cstheme="minorHAnsi"/>
                <w:sz w:val="14"/>
                <w:szCs w:val="14"/>
              </w:rPr>
              <w:t xml:space="preserve"> – the product prices set by the Department and defined in the </w:t>
            </w:r>
            <w:r w:rsidR="00C316C3">
              <w:rPr>
                <w:rFonts w:cstheme="minorHAnsi"/>
                <w:sz w:val="14"/>
                <w:szCs w:val="14"/>
              </w:rPr>
              <w:t>Scheme</w:t>
            </w:r>
            <w:r w:rsidRPr="009434AE">
              <w:rPr>
                <w:rFonts w:cstheme="minorHAnsi"/>
                <w:sz w:val="14"/>
                <w:szCs w:val="14"/>
              </w:rPr>
              <w:t xml:space="preserve"> Schedule.</w:t>
            </w:r>
          </w:p>
          <w:p w14:paraId="3DA2FFDA" w14:textId="77777777" w:rsidR="00431518" w:rsidRPr="009434AE" w:rsidRDefault="00431518" w:rsidP="00E442CB">
            <w:pPr>
              <w:pStyle w:val="ListParagraph"/>
              <w:numPr>
                <w:ilvl w:val="0"/>
                <w:numId w:val="31"/>
              </w:numPr>
              <w:spacing w:before="0" w:after="0"/>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b/>
                <w:bCs/>
                <w:sz w:val="14"/>
                <w:szCs w:val="14"/>
              </w:rPr>
              <w:t>Premium prices</w:t>
            </w:r>
            <w:r w:rsidRPr="009434AE">
              <w:rPr>
                <w:rFonts w:cstheme="minorHAnsi"/>
                <w:sz w:val="14"/>
                <w:szCs w:val="14"/>
              </w:rPr>
              <w:t xml:space="preserve"> - Products may be listed at a price higher than the benchmark if they are assessed by SPAP as providing improved health outcomes and are cost-effective at the higher price.</w:t>
            </w:r>
          </w:p>
        </w:tc>
        <w:tc>
          <w:tcPr>
            <w:tcW w:w="2763" w:type="dxa"/>
          </w:tcPr>
          <w:p w14:paraId="313E2D48" w14:textId="445D7084"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lastRenderedPageBreak/>
              <w:t>Each item has a price that is paid by the NHS to any dispenser with an appropriate license that chooses to dispense the product</w:t>
            </w:r>
            <w:r w:rsidR="00A834F4">
              <w:rPr>
                <w:rFonts w:cstheme="minorHAnsi"/>
                <w:sz w:val="14"/>
                <w:szCs w:val="14"/>
              </w:rPr>
              <w:t>.</w:t>
            </w:r>
          </w:p>
        </w:tc>
        <w:tc>
          <w:tcPr>
            <w:tcW w:w="2763" w:type="dxa"/>
          </w:tcPr>
          <w:p w14:paraId="395BE9E4"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c>
          <w:tcPr>
            <w:tcW w:w="2763" w:type="dxa"/>
          </w:tcPr>
          <w:p w14:paraId="1628954A"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r>
      <w:tr w:rsidR="009434AE" w:rsidRPr="009434AE" w14:paraId="28C673DD" w14:textId="77777777" w:rsidTr="009434AE">
        <w:tc>
          <w:tcPr>
            <w:cnfStyle w:val="001000000000" w:firstRow="0" w:lastRow="0" w:firstColumn="1" w:lastColumn="0" w:oddVBand="0" w:evenVBand="0" w:oddHBand="0" w:evenHBand="0" w:firstRowFirstColumn="0" w:firstRowLastColumn="0" w:lastRowFirstColumn="0" w:lastRowLastColumn="0"/>
            <w:tcW w:w="1824" w:type="dxa"/>
          </w:tcPr>
          <w:p w14:paraId="03C980E1" w14:textId="77777777" w:rsidR="00431518" w:rsidRPr="009434AE" w:rsidRDefault="00431518" w:rsidP="009434AE">
            <w:pPr>
              <w:spacing w:before="0" w:after="0"/>
              <w:rPr>
                <w:rFonts w:cstheme="minorHAnsi"/>
                <w:b w:val="0"/>
                <w:bCs/>
                <w:sz w:val="14"/>
                <w:szCs w:val="14"/>
              </w:rPr>
            </w:pPr>
            <w:r w:rsidRPr="009434AE">
              <w:rPr>
                <w:rFonts w:cstheme="minorHAnsi"/>
                <w:sz w:val="14"/>
                <w:szCs w:val="14"/>
              </w:rPr>
              <w:t>Frequency and process for reviewing pricing of products/appliances</w:t>
            </w:r>
          </w:p>
        </w:tc>
        <w:tc>
          <w:tcPr>
            <w:tcW w:w="1695" w:type="dxa"/>
          </w:tcPr>
          <w:p w14:paraId="6461ECC9" w14:textId="77777777" w:rsidR="00431518" w:rsidRPr="009434AE" w:rsidRDefault="00431518" w:rsidP="009434AE">
            <w:pPr>
              <w:spacing w:before="0" w:after="0" w:line="252" w:lineRule="auto"/>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color w:val="000000"/>
                <w:sz w:val="14"/>
                <w:szCs w:val="14"/>
              </w:rPr>
              <w:t>Up until 2013 there was annual indexation of the prices.</w:t>
            </w:r>
          </w:p>
          <w:p w14:paraId="1BC5CBF0"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color w:val="000000"/>
                <w:sz w:val="14"/>
                <w:szCs w:val="14"/>
              </w:rPr>
              <w:t>Post 2013 budget review, there was a commitment to remove the annual indexation process and undertake annual pricing reviews. To date no review has been undertaken and prices have been maintained at 2013 prices.</w:t>
            </w:r>
          </w:p>
        </w:tc>
        <w:tc>
          <w:tcPr>
            <w:tcW w:w="2762" w:type="dxa"/>
          </w:tcPr>
          <w:p w14:paraId="0E2D85C4" w14:textId="7210ABF2"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color w:val="000000"/>
                <w:sz w:val="14"/>
                <w:szCs w:val="14"/>
              </w:rPr>
              <w:t>Frequency and process for reviewing pricing of products/appliances</w:t>
            </w:r>
            <w:r w:rsidR="00BF60DD">
              <w:rPr>
                <w:rFonts w:cstheme="minorHAnsi"/>
                <w:color w:val="000000"/>
                <w:sz w:val="14"/>
                <w:szCs w:val="14"/>
              </w:rPr>
              <w:t>.</w:t>
            </w:r>
          </w:p>
        </w:tc>
        <w:tc>
          <w:tcPr>
            <w:tcW w:w="2763" w:type="dxa"/>
          </w:tcPr>
          <w:p w14:paraId="03715FF0" w14:textId="41887263"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The Drug Tariff is published monthly and is available electronically from NHS Prescription Services’ website </w:t>
            </w:r>
            <w:hyperlink r:id="rId50" w:history="1">
              <w:r w:rsidRPr="009434AE">
                <w:rPr>
                  <w:rFonts w:cstheme="minorHAnsi"/>
                  <w:sz w:val="14"/>
                  <w:szCs w:val="14"/>
                </w:rPr>
                <w:t>http://www.nhsbsa.nhs.uk/PrescriptionServices/4940.aspx</w:t>
              </w:r>
            </w:hyperlink>
            <w:r w:rsidRPr="009434AE">
              <w:rPr>
                <w:rFonts w:cstheme="minorHAnsi"/>
                <w:sz w:val="14"/>
                <w:szCs w:val="14"/>
              </w:rPr>
              <w:t xml:space="preserve"> </w:t>
            </w:r>
          </w:p>
        </w:tc>
        <w:tc>
          <w:tcPr>
            <w:tcW w:w="2763" w:type="dxa"/>
          </w:tcPr>
          <w:p w14:paraId="2F7A225A"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Tariff packages for home care (list of auxiliary means) is reviewed yearly.</w:t>
            </w:r>
          </w:p>
        </w:tc>
        <w:tc>
          <w:tcPr>
            <w:tcW w:w="2763" w:type="dxa"/>
          </w:tcPr>
          <w:p w14:paraId="7B8497F4"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The Ostomy Supplies policy article is reviewed every 2 years. The latest revision as made effective on 1/1/2022.</w:t>
            </w:r>
          </w:p>
        </w:tc>
      </w:tr>
      <w:tr w:rsidR="009434AE" w:rsidRPr="009434AE" w14:paraId="5D751077" w14:textId="77777777" w:rsidTr="0094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6057A173" w14:textId="77777777" w:rsidR="00431518" w:rsidRPr="009434AE" w:rsidRDefault="00431518" w:rsidP="009434AE">
            <w:pPr>
              <w:spacing w:before="0" w:after="0"/>
              <w:rPr>
                <w:rFonts w:cstheme="minorHAnsi"/>
                <w:b w:val="0"/>
                <w:bCs/>
                <w:sz w:val="14"/>
                <w:szCs w:val="14"/>
              </w:rPr>
            </w:pPr>
            <w:r w:rsidRPr="009434AE">
              <w:rPr>
                <w:rFonts w:cstheme="minorHAnsi"/>
                <w:bCs/>
                <w:sz w:val="14"/>
                <w:szCs w:val="14"/>
              </w:rPr>
              <w:t>Reporting</w:t>
            </w:r>
          </w:p>
        </w:tc>
        <w:tc>
          <w:tcPr>
            <w:tcW w:w="1695" w:type="dxa"/>
          </w:tcPr>
          <w:p w14:paraId="1CD9B383"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What types of reporting are required and to whom they should be directed.</w:t>
            </w:r>
          </w:p>
        </w:tc>
        <w:tc>
          <w:tcPr>
            <w:tcW w:w="2762" w:type="dxa"/>
          </w:tcPr>
          <w:p w14:paraId="66C8704B"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Stoma associations are required to provide ACSA with:</w:t>
            </w:r>
          </w:p>
          <w:p w14:paraId="3288E6EE" w14:textId="77777777" w:rsidR="00431518" w:rsidRPr="009434AE" w:rsidRDefault="00431518" w:rsidP="00E442CB">
            <w:pPr>
              <w:pStyle w:val="ListParagraph"/>
              <w:numPr>
                <w:ilvl w:val="0"/>
                <w:numId w:val="31"/>
              </w:numPr>
              <w:spacing w:before="0" w:after="0" w:line="259" w:lineRule="auto"/>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monthly new membership numbers and statistics</w:t>
            </w:r>
          </w:p>
          <w:p w14:paraId="491011B3" w14:textId="77777777" w:rsidR="00431518" w:rsidRPr="009434AE" w:rsidRDefault="00431518" w:rsidP="00E442CB">
            <w:pPr>
              <w:pStyle w:val="ListParagraph"/>
              <w:numPr>
                <w:ilvl w:val="0"/>
                <w:numId w:val="31"/>
              </w:numPr>
              <w:spacing w:before="0" w:after="0" w:line="259" w:lineRule="auto"/>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annual membership numbers and statistics</w:t>
            </w:r>
          </w:p>
          <w:p w14:paraId="0883E6AF" w14:textId="5C29496C" w:rsidR="00431518" w:rsidRPr="009434AE" w:rsidRDefault="00431518" w:rsidP="00E442CB">
            <w:pPr>
              <w:pStyle w:val="ListParagraph"/>
              <w:numPr>
                <w:ilvl w:val="0"/>
                <w:numId w:val="31"/>
              </w:numPr>
              <w:spacing w:before="0" w:after="0" w:line="259" w:lineRule="auto"/>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details of members accessing the </w:t>
            </w:r>
            <w:r w:rsidR="00C316C3">
              <w:rPr>
                <w:rFonts w:cstheme="minorHAnsi"/>
                <w:sz w:val="14"/>
                <w:szCs w:val="14"/>
              </w:rPr>
              <w:t>Scheme</w:t>
            </w:r>
          </w:p>
          <w:p w14:paraId="47357535" w14:textId="77777777" w:rsidR="00431518" w:rsidRPr="009434AE" w:rsidRDefault="00431518" w:rsidP="00E442CB">
            <w:pPr>
              <w:pStyle w:val="ListParagraph"/>
              <w:numPr>
                <w:ilvl w:val="0"/>
                <w:numId w:val="31"/>
              </w:numPr>
              <w:spacing w:before="0" w:after="0" w:line="259" w:lineRule="auto"/>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yearly financial statements</w:t>
            </w:r>
          </w:p>
          <w:p w14:paraId="68DE3D7B" w14:textId="120D82E8" w:rsidR="00431518" w:rsidRPr="009434AE" w:rsidRDefault="00431518" w:rsidP="00E442CB">
            <w:pPr>
              <w:pStyle w:val="ListParagraph"/>
              <w:numPr>
                <w:ilvl w:val="0"/>
                <w:numId w:val="31"/>
              </w:numPr>
              <w:spacing w:before="0" w:after="0" w:line="259" w:lineRule="auto"/>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any other information related to </w:t>
            </w:r>
            <w:r w:rsidR="00C316C3">
              <w:rPr>
                <w:rFonts w:cstheme="minorHAnsi"/>
                <w:sz w:val="14"/>
                <w:szCs w:val="14"/>
              </w:rPr>
              <w:t>Scheme</w:t>
            </w:r>
            <w:r w:rsidRPr="009434AE">
              <w:rPr>
                <w:rFonts w:cstheme="minorHAnsi"/>
                <w:sz w:val="14"/>
                <w:szCs w:val="14"/>
              </w:rPr>
              <w:t xml:space="preserve"> activities as requested.</w:t>
            </w:r>
          </w:p>
          <w:p w14:paraId="30E97F9C"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ACSA is required to provide the above information to the Department on an annual basis, or as requested.</w:t>
            </w:r>
          </w:p>
        </w:tc>
        <w:tc>
          <w:tcPr>
            <w:tcW w:w="2763" w:type="dxa"/>
          </w:tcPr>
          <w:p w14:paraId="08D15B0B"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c>
          <w:tcPr>
            <w:tcW w:w="2763" w:type="dxa"/>
          </w:tcPr>
          <w:p w14:paraId="629E6087"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c>
          <w:tcPr>
            <w:tcW w:w="2763" w:type="dxa"/>
          </w:tcPr>
          <w:p w14:paraId="70EA0956"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r>
      <w:tr w:rsidR="009434AE" w:rsidRPr="009434AE" w14:paraId="3EFAA690" w14:textId="77777777" w:rsidTr="009434AE">
        <w:tc>
          <w:tcPr>
            <w:cnfStyle w:val="001000000000" w:firstRow="0" w:lastRow="0" w:firstColumn="1" w:lastColumn="0" w:oddVBand="0" w:evenVBand="0" w:oddHBand="0" w:evenHBand="0" w:firstRowFirstColumn="0" w:firstRowLastColumn="0" w:lastRowFirstColumn="0" w:lastRowLastColumn="0"/>
            <w:tcW w:w="1824" w:type="dxa"/>
          </w:tcPr>
          <w:p w14:paraId="6F05988B" w14:textId="77777777" w:rsidR="00431518" w:rsidRPr="009434AE" w:rsidRDefault="00431518" w:rsidP="009434AE">
            <w:pPr>
              <w:spacing w:before="0" w:after="0"/>
              <w:rPr>
                <w:rFonts w:cstheme="minorHAnsi"/>
                <w:b w:val="0"/>
                <w:bCs/>
                <w:sz w:val="14"/>
                <w:szCs w:val="14"/>
              </w:rPr>
            </w:pPr>
            <w:r w:rsidRPr="009434AE">
              <w:rPr>
                <w:rFonts w:cstheme="minorHAnsi"/>
                <w:bCs/>
                <w:sz w:val="14"/>
                <w:szCs w:val="14"/>
              </w:rPr>
              <w:lastRenderedPageBreak/>
              <w:t>Ordering</w:t>
            </w:r>
          </w:p>
        </w:tc>
        <w:tc>
          <w:tcPr>
            <w:tcW w:w="1695" w:type="dxa"/>
          </w:tcPr>
          <w:p w14:paraId="44B9FB3D"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The procedure by which participants request specific stoma-related products or services. This involves selecting items based on eligibility, adhering to set limits, and submitting the request through designated channels.</w:t>
            </w:r>
          </w:p>
        </w:tc>
        <w:tc>
          <w:tcPr>
            <w:tcW w:w="2762" w:type="dxa"/>
          </w:tcPr>
          <w:p w14:paraId="2DE83EFC" w14:textId="4D775168" w:rsidR="00431518" w:rsidRPr="009434AE" w:rsidRDefault="00431518" w:rsidP="00E442CB">
            <w:pPr>
              <w:pStyle w:val="ListParagraph"/>
              <w:numPr>
                <w:ilvl w:val="0"/>
                <w:numId w:val="32"/>
              </w:numPr>
              <w:spacing w:before="0" w:after="0"/>
              <w:ind w:left="170" w:hanging="170"/>
              <w:contextualSpacing w:val="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Orders must be in writing by post, fax, </w:t>
            </w:r>
            <w:proofErr w:type="gramStart"/>
            <w:r w:rsidRPr="009434AE">
              <w:rPr>
                <w:rFonts w:cstheme="minorHAnsi"/>
                <w:sz w:val="14"/>
                <w:szCs w:val="14"/>
              </w:rPr>
              <w:t>email</w:t>
            </w:r>
            <w:proofErr w:type="gramEnd"/>
            <w:r w:rsidRPr="009434AE">
              <w:rPr>
                <w:rFonts w:cstheme="minorHAnsi"/>
                <w:sz w:val="14"/>
                <w:szCs w:val="14"/>
              </w:rPr>
              <w:t xml:space="preserve"> or online form (e.g. </w:t>
            </w:r>
            <w:hyperlink r:id="rId51" w:history="1">
              <w:r w:rsidRPr="009434AE">
                <w:rPr>
                  <w:rStyle w:val="Hyperlink"/>
                  <w:rFonts w:cstheme="minorHAnsi"/>
                  <w:sz w:val="14"/>
                  <w:szCs w:val="14"/>
                </w:rPr>
                <w:t>NSW Online Order Form</w:t>
              </w:r>
            </w:hyperlink>
            <w:r w:rsidRPr="009434AE">
              <w:rPr>
                <w:rFonts w:cstheme="minorHAnsi"/>
                <w:sz w:val="14"/>
                <w:szCs w:val="14"/>
              </w:rPr>
              <w:t>) via a stoma association.</w:t>
            </w:r>
          </w:p>
          <w:p w14:paraId="41C50BA2" w14:textId="77777777" w:rsidR="00431518" w:rsidRPr="009434AE" w:rsidRDefault="00431518" w:rsidP="00E442CB">
            <w:pPr>
              <w:pStyle w:val="ListParagraph"/>
              <w:numPr>
                <w:ilvl w:val="0"/>
                <w:numId w:val="31"/>
              </w:numPr>
              <w:spacing w:before="0" w:after="0"/>
              <w:ind w:left="170" w:hanging="170"/>
              <w:contextualSpacing w:val="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Members are entitled to one supply per month only.</w:t>
            </w:r>
          </w:p>
          <w:p w14:paraId="3F5C27A2" w14:textId="2A343653" w:rsidR="00431518" w:rsidRPr="009434AE" w:rsidRDefault="00431518" w:rsidP="00E442CB">
            <w:pPr>
              <w:pStyle w:val="ListParagraph"/>
              <w:numPr>
                <w:ilvl w:val="0"/>
                <w:numId w:val="31"/>
              </w:numPr>
              <w:spacing w:before="0" w:after="0"/>
              <w:ind w:left="170" w:hanging="170"/>
              <w:contextualSpacing w:val="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Maximum quantities are determined by </w:t>
            </w:r>
            <w:r w:rsidR="00C316C3">
              <w:rPr>
                <w:rFonts w:cstheme="minorHAnsi"/>
                <w:sz w:val="14"/>
                <w:szCs w:val="14"/>
              </w:rPr>
              <w:t>Scheme</w:t>
            </w:r>
            <w:r w:rsidRPr="009434AE">
              <w:rPr>
                <w:rFonts w:cstheme="minorHAnsi"/>
                <w:sz w:val="14"/>
                <w:szCs w:val="14"/>
              </w:rPr>
              <w:t xml:space="preserve"> Schedule.</w:t>
            </w:r>
          </w:p>
        </w:tc>
        <w:tc>
          <w:tcPr>
            <w:tcW w:w="2763" w:type="dxa"/>
          </w:tcPr>
          <w:p w14:paraId="4D694D43"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Individuals select their own appliances depending on preference and their prescription. When prescriptions run out, individuals must acquire a new prescription from a practitioner.</w:t>
            </w:r>
          </w:p>
        </w:tc>
        <w:tc>
          <w:tcPr>
            <w:tcW w:w="2763" w:type="dxa"/>
          </w:tcPr>
          <w:p w14:paraId="5BC5F441"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Products are obtained via a pharmacy or through a service provider.</w:t>
            </w:r>
          </w:p>
          <w:p w14:paraId="5438578D"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Through a pharmacy:</w:t>
            </w:r>
          </w:p>
          <w:p w14:paraId="10839252" w14:textId="1077B59D" w:rsidR="00431518" w:rsidRPr="009434AE" w:rsidRDefault="00431518" w:rsidP="00E442CB">
            <w:pPr>
              <w:pStyle w:val="ListParagraph"/>
              <w:numPr>
                <w:ilvl w:val="0"/>
                <w:numId w:val="32"/>
              </w:numPr>
              <w:spacing w:before="0" w:after="0"/>
              <w:ind w:left="170" w:hanging="170"/>
              <w:contextualSpacing w:val="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In </w:t>
            </w:r>
            <w:r w:rsidR="00606B3E">
              <w:rPr>
                <w:rFonts w:cstheme="minorHAnsi"/>
                <w:sz w:val="14"/>
                <w:szCs w:val="14"/>
              </w:rPr>
              <w:t>ten</w:t>
            </w:r>
            <w:r w:rsidRPr="009434AE">
              <w:rPr>
                <w:rFonts w:cstheme="minorHAnsi"/>
                <w:sz w:val="14"/>
                <w:szCs w:val="14"/>
              </w:rPr>
              <w:t xml:space="preserve"> open days</w:t>
            </w:r>
          </w:p>
          <w:p w14:paraId="2290FBF4" w14:textId="5B7F0F24" w:rsidR="00431518" w:rsidRPr="009434AE" w:rsidRDefault="00431518" w:rsidP="00E442CB">
            <w:pPr>
              <w:pStyle w:val="ListParagraph"/>
              <w:numPr>
                <w:ilvl w:val="0"/>
                <w:numId w:val="32"/>
              </w:numPr>
              <w:spacing w:before="0" w:after="0"/>
              <w:ind w:left="170" w:hanging="170"/>
              <w:contextualSpacing w:val="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Some deliver at home</w:t>
            </w:r>
          </w:p>
          <w:p w14:paraId="2F1E80E8" w14:textId="77777777" w:rsidR="00431518" w:rsidRPr="009434AE" w:rsidRDefault="00431518" w:rsidP="00E442CB">
            <w:pPr>
              <w:pStyle w:val="ListParagraph"/>
              <w:numPr>
                <w:ilvl w:val="0"/>
                <w:numId w:val="32"/>
              </w:numPr>
              <w:spacing w:before="0" w:after="0"/>
              <w:ind w:left="170" w:hanging="170"/>
              <w:contextualSpacing w:val="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Some charges taxes on the public recommended price</w:t>
            </w:r>
          </w:p>
          <w:p w14:paraId="4043FFC6"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Through a service provider</w:t>
            </w:r>
          </w:p>
          <w:p w14:paraId="0BB83150" w14:textId="77777777" w:rsidR="00431518" w:rsidRPr="009434AE" w:rsidRDefault="00431518" w:rsidP="00E442CB">
            <w:pPr>
              <w:pStyle w:val="ListParagraph"/>
              <w:numPr>
                <w:ilvl w:val="0"/>
                <w:numId w:val="32"/>
              </w:numPr>
              <w:spacing w:before="0" w:after="0"/>
              <w:ind w:left="170" w:hanging="170"/>
              <w:contextualSpacing w:val="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Mailed in 24 to 72 hours in anonymous </w:t>
            </w:r>
            <w:proofErr w:type="gramStart"/>
            <w:r w:rsidRPr="009434AE">
              <w:rPr>
                <w:rFonts w:cstheme="minorHAnsi"/>
                <w:sz w:val="14"/>
                <w:szCs w:val="14"/>
              </w:rPr>
              <w:t>packages</w:t>
            </w:r>
            <w:proofErr w:type="gramEnd"/>
          </w:p>
          <w:p w14:paraId="3448907F" w14:textId="77777777" w:rsidR="00431518" w:rsidRPr="009434AE" w:rsidRDefault="00431518" w:rsidP="00E442CB">
            <w:pPr>
              <w:pStyle w:val="ListParagraph"/>
              <w:numPr>
                <w:ilvl w:val="0"/>
                <w:numId w:val="32"/>
              </w:numPr>
              <w:spacing w:before="0" w:after="0"/>
              <w:ind w:left="170" w:hanging="170"/>
              <w:contextualSpacing w:val="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Plate cuts free of charge</w:t>
            </w:r>
          </w:p>
        </w:tc>
        <w:tc>
          <w:tcPr>
            <w:tcW w:w="2763" w:type="dxa"/>
          </w:tcPr>
          <w:p w14:paraId="5EDC2815"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Individuals order their appliances through their supplier of choice. </w:t>
            </w:r>
          </w:p>
        </w:tc>
      </w:tr>
      <w:tr w:rsidR="009434AE" w:rsidRPr="009434AE" w14:paraId="629B3BFE" w14:textId="77777777" w:rsidTr="0094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30D4C299" w14:textId="77777777" w:rsidR="00431518" w:rsidRPr="009434AE" w:rsidRDefault="00431518" w:rsidP="009434AE">
            <w:pPr>
              <w:spacing w:before="0" w:after="0"/>
              <w:rPr>
                <w:rFonts w:cstheme="minorHAnsi"/>
                <w:b w:val="0"/>
                <w:bCs/>
                <w:sz w:val="14"/>
                <w:szCs w:val="14"/>
              </w:rPr>
            </w:pPr>
            <w:r w:rsidRPr="009434AE">
              <w:rPr>
                <w:rFonts w:cstheme="minorHAnsi"/>
                <w:bCs/>
                <w:sz w:val="14"/>
                <w:szCs w:val="14"/>
              </w:rPr>
              <w:t>Customer Support</w:t>
            </w:r>
          </w:p>
        </w:tc>
        <w:tc>
          <w:tcPr>
            <w:tcW w:w="1695" w:type="dxa"/>
          </w:tcPr>
          <w:p w14:paraId="6D3A2AB7" w14:textId="5803721D"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Types of support services offered (e.g., hotlines, consultations) and their availability at some associations</w:t>
            </w:r>
            <w:r w:rsidR="00644311">
              <w:rPr>
                <w:rFonts w:cstheme="minorHAnsi"/>
                <w:sz w:val="14"/>
                <w:szCs w:val="14"/>
              </w:rPr>
              <w:t>.</w:t>
            </w:r>
          </w:p>
        </w:tc>
        <w:tc>
          <w:tcPr>
            <w:tcW w:w="2762" w:type="dxa"/>
          </w:tcPr>
          <w:p w14:paraId="6B85A517" w14:textId="77777777" w:rsidR="00431518" w:rsidRPr="009434AE" w:rsidRDefault="00431518" w:rsidP="00E442CB">
            <w:pPr>
              <w:pStyle w:val="ListParagraph"/>
              <w:numPr>
                <w:ilvl w:val="0"/>
                <w:numId w:val="31"/>
              </w:numPr>
              <w:spacing w:before="0" w:after="0"/>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 xml:space="preserve">Support during business hours available via associations may include – website, email, </w:t>
            </w:r>
            <w:proofErr w:type="gramStart"/>
            <w:r w:rsidRPr="009434AE">
              <w:rPr>
                <w:rFonts w:cstheme="minorHAnsi"/>
                <w:sz w:val="14"/>
                <w:szCs w:val="14"/>
              </w:rPr>
              <w:t>telephone</w:t>
            </w:r>
            <w:proofErr w:type="gramEnd"/>
            <w:r w:rsidRPr="009434AE">
              <w:rPr>
                <w:rFonts w:cstheme="minorHAnsi"/>
                <w:sz w:val="14"/>
                <w:szCs w:val="14"/>
              </w:rPr>
              <w:t xml:space="preserve"> and in-person (via office premises).</w:t>
            </w:r>
          </w:p>
          <w:p w14:paraId="011B51E1" w14:textId="34E5ED94" w:rsidR="00431518" w:rsidRPr="009434AE" w:rsidRDefault="00431518" w:rsidP="00E442CB">
            <w:pPr>
              <w:pStyle w:val="ListParagraph"/>
              <w:numPr>
                <w:ilvl w:val="0"/>
                <w:numId w:val="31"/>
              </w:numPr>
              <w:spacing w:before="0" w:after="0"/>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Some associations offer After Hours emergency support e.g. the QLD Ostomate Support After Hours emergency support service</w:t>
            </w:r>
            <w:r w:rsidR="00344D31">
              <w:rPr>
                <w:rFonts w:cstheme="minorHAnsi"/>
                <w:sz w:val="14"/>
                <w:szCs w:val="14"/>
              </w:rPr>
              <w:t>.</w:t>
            </w:r>
          </w:p>
          <w:p w14:paraId="1020D538"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c>
          <w:tcPr>
            <w:tcW w:w="2763" w:type="dxa"/>
          </w:tcPr>
          <w:p w14:paraId="56A08CD3"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c>
          <w:tcPr>
            <w:tcW w:w="2763" w:type="dxa"/>
          </w:tcPr>
          <w:p w14:paraId="68476AEE"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c>
          <w:tcPr>
            <w:tcW w:w="2763" w:type="dxa"/>
          </w:tcPr>
          <w:p w14:paraId="16DE20C1"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r>
      <w:tr w:rsidR="009434AE" w:rsidRPr="009434AE" w14:paraId="4FC3B166" w14:textId="77777777" w:rsidTr="009434AE">
        <w:tc>
          <w:tcPr>
            <w:cnfStyle w:val="001000000000" w:firstRow="0" w:lastRow="0" w:firstColumn="1" w:lastColumn="0" w:oddVBand="0" w:evenVBand="0" w:oddHBand="0" w:evenHBand="0" w:firstRowFirstColumn="0" w:firstRowLastColumn="0" w:lastRowFirstColumn="0" w:lastRowLastColumn="0"/>
            <w:tcW w:w="1824" w:type="dxa"/>
          </w:tcPr>
          <w:p w14:paraId="78595BBB" w14:textId="77777777" w:rsidR="00431518" w:rsidRPr="009434AE" w:rsidRDefault="00431518" w:rsidP="009434AE">
            <w:pPr>
              <w:spacing w:before="0" w:after="0"/>
              <w:rPr>
                <w:rFonts w:cstheme="minorHAnsi"/>
                <w:b w:val="0"/>
                <w:bCs/>
                <w:sz w:val="14"/>
                <w:szCs w:val="14"/>
              </w:rPr>
            </w:pPr>
            <w:r w:rsidRPr="009434AE">
              <w:rPr>
                <w:rFonts w:cstheme="minorHAnsi"/>
                <w:bCs/>
                <w:sz w:val="14"/>
                <w:szCs w:val="14"/>
              </w:rPr>
              <w:t>Public Awareness</w:t>
            </w:r>
          </w:p>
        </w:tc>
        <w:tc>
          <w:tcPr>
            <w:tcW w:w="1695" w:type="dxa"/>
          </w:tcPr>
          <w:p w14:paraId="17211AAF"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Measures to educate the public about the scheme.</w:t>
            </w:r>
          </w:p>
        </w:tc>
        <w:tc>
          <w:tcPr>
            <w:tcW w:w="2762" w:type="dxa"/>
          </w:tcPr>
          <w:p w14:paraId="6C0967E4" w14:textId="2BD034DC"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Via ACSA </w:t>
            </w:r>
            <w:r w:rsidR="004A5BAD" w:rsidRPr="009434AE">
              <w:rPr>
                <w:rFonts w:cstheme="minorHAnsi"/>
                <w:sz w:val="14"/>
                <w:szCs w:val="14"/>
              </w:rPr>
              <w:t>whose</w:t>
            </w:r>
            <w:r w:rsidRPr="009434AE">
              <w:rPr>
                <w:rFonts w:cstheme="minorHAnsi"/>
                <w:sz w:val="14"/>
                <w:szCs w:val="14"/>
              </w:rPr>
              <w:t xml:space="preserve"> mission is to provide support and assistance to all stoma associations in carrying out their work in promoting the general wellbeing of persons who have undergone ostomy surgery in Australia.</w:t>
            </w:r>
          </w:p>
        </w:tc>
        <w:tc>
          <w:tcPr>
            <w:tcW w:w="2763" w:type="dxa"/>
          </w:tcPr>
          <w:p w14:paraId="3FE37822" w14:textId="04B0D9F9" w:rsidR="00431518" w:rsidRPr="009434AE" w:rsidRDefault="002557C9"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hyperlink r:id="rId52" w:history="1">
              <w:r w:rsidR="00431518" w:rsidRPr="009434AE">
                <w:rPr>
                  <w:rStyle w:val="Hyperlink"/>
                  <w:rFonts w:cstheme="minorHAnsi"/>
                  <w:sz w:val="14"/>
                  <w:szCs w:val="14"/>
                </w:rPr>
                <w:t>Colostomy UK</w:t>
              </w:r>
            </w:hyperlink>
            <w:r w:rsidR="00431518" w:rsidRPr="009434AE">
              <w:rPr>
                <w:rFonts w:cstheme="minorHAnsi"/>
                <w:sz w:val="14"/>
                <w:szCs w:val="14"/>
              </w:rPr>
              <w:t>: Charity that supports and empowers people living with a stoma, and acts as advocates for raising awareness about the experience/challenges of ostomates.</w:t>
            </w:r>
          </w:p>
          <w:p w14:paraId="1484962F" w14:textId="0F501554" w:rsidR="00431518" w:rsidRPr="009434AE" w:rsidRDefault="002557C9"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hyperlink r:id="rId53" w:history="1">
              <w:r w:rsidR="001734EE" w:rsidRPr="009434AE">
                <w:rPr>
                  <w:rStyle w:val="Hyperlink"/>
                  <w:rFonts w:cstheme="minorHAnsi"/>
                  <w:sz w:val="14"/>
                  <w:szCs w:val="14"/>
                </w:rPr>
                <w:t>Ileostomy</w:t>
              </w:r>
              <w:r w:rsidR="00431518" w:rsidRPr="009434AE">
                <w:rPr>
                  <w:rStyle w:val="Hyperlink"/>
                  <w:rFonts w:cstheme="minorHAnsi"/>
                  <w:sz w:val="14"/>
                  <w:szCs w:val="14"/>
                </w:rPr>
                <w:t xml:space="preserve"> &amp; Internal Pouch Association</w:t>
              </w:r>
            </w:hyperlink>
            <w:r w:rsidR="00431518" w:rsidRPr="009434AE">
              <w:rPr>
                <w:rFonts w:cstheme="minorHAnsi"/>
                <w:sz w:val="14"/>
                <w:szCs w:val="14"/>
              </w:rPr>
              <w:t>: Support group for people living with an ileostomy or internal pouch, their families, friends and carers in the UK and Ireland.</w:t>
            </w:r>
          </w:p>
          <w:p w14:paraId="3D8236C8" w14:textId="02D3B862" w:rsidR="00431518" w:rsidRPr="009434AE" w:rsidRDefault="002557C9"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hyperlink r:id="rId54" w:history="1">
              <w:r w:rsidR="00431518" w:rsidRPr="009434AE">
                <w:rPr>
                  <w:rStyle w:val="Hyperlink"/>
                  <w:rFonts w:cstheme="minorHAnsi"/>
                  <w:sz w:val="14"/>
                  <w:szCs w:val="14"/>
                </w:rPr>
                <w:t>Association of Stoma Care nurses UK:</w:t>
              </w:r>
            </w:hyperlink>
            <w:r w:rsidR="00431518" w:rsidRPr="009434AE">
              <w:rPr>
                <w:rFonts w:cstheme="minorHAnsi"/>
                <w:sz w:val="14"/>
                <w:szCs w:val="14"/>
              </w:rPr>
              <w:t xml:space="preserve"> Aims to develop and advance the specialist knowledge required to deliver expert healthcare to individuals with a stoma.</w:t>
            </w:r>
          </w:p>
          <w:p w14:paraId="477C68DA" w14:textId="0494393E" w:rsidR="00431518" w:rsidRPr="009434AE" w:rsidRDefault="002557C9"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hyperlink r:id="rId55" w:history="1">
              <w:r w:rsidR="00431518" w:rsidRPr="009434AE">
                <w:rPr>
                  <w:rStyle w:val="Hyperlink"/>
                  <w:rFonts w:cstheme="minorHAnsi"/>
                  <w:sz w:val="14"/>
                  <w:szCs w:val="14"/>
                </w:rPr>
                <w:t>Urostomy Association</w:t>
              </w:r>
            </w:hyperlink>
            <w:r w:rsidR="00431518" w:rsidRPr="009434AE">
              <w:rPr>
                <w:rFonts w:cstheme="minorHAnsi"/>
                <w:sz w:val="14"/>
                <w:szCs w:val="14"/>
              </w:rPr>
              <w:t xml:space="preserve">: Provides support to those with urostomy and aims to increase awareness of </w:t>
            </w:r>
            <w:r w:rsidR="00431518" w:rsidRPr="009434AE">
              <w:rPr>
                <w:rFonts w:cstheme="minorHAnsi"/>
                <w:sz w:val="14"/>
                <w:szCs w:val="14"/>
              </w:rPr>
              <w:lastRenderedPageBreak/>
              <w:t xml:space="preserve">urinary diversions across healthcare and the </w:t>
            </w:r>
            <w:proofErr w:type="gramStart"/>
            <w:r w:rsidR="00431518" w:rsidRPr="009434AE">
              <w:rPr>
                <w:rFonts w:cstheme="minorHAnsi"/>
                <w:sz w:val="14"/>
                <w:szCs w:val="14"/>
              </w:rPr>
              <w:t>general public</w:t>
            </w:r>
            <w:proofErr w:type="gramEnd"/>
            <w:r w:rsidR="00A834F4">
              <w:rPr>
                <w:rFonts w:cstheme="minorHAnsi"/>
                <w:sz w:val="14"/>
                <w:szCs w:val="14"/>
              </w:rPr>
              <w:t>.</w:t>
            </w:r>
          </w:p>
        </w:tc>
        <w:tc>
          <w:tcPr>
            <w:tcW w:w="2763" w:type="dxa"/>
          </w:tcPr>
          <w:p w14:paraId="0ACF5701"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2763" w:type="dxa"/>
          </w:tcPr>
          <w:p w14:paraId="4F4972BE" w14:textId="1BF7373C" w:rsidR="00431518" w:rsidRPr="009434AE" w:rsidRDefault="002557C9"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hyperlink r:id="rId56" w:history="1">
              <w:r w:rsidR="00431518" w:rsidRPr="009434AE">
                <w:rPr>
                  <w:rStyle w:val="Hyperlink"/>
                  <w:rFonts w:cstheme="minorHAnsi"/>
                  <w:sz w:val="14"/>
                  <w:szCs w:val="14"/>
                </w:rPr>
                <w:t>United Ostomy Associations of America</w:t>
              </w:r>
            </w:hyperlink>
            <w:r w:rsidR="00431518" w:rsidRPr="009434AE">
              <w:rPr>
                <w:rFonts w:cstheme="minorHAnsi"/>
                <w:sz w:val="14"/>
                <w:szCs w:val="14"/>
              </w:rPr>
              <w:t>: The peak body that supports, empowers, and advocates for people who have had or who will have ostomy or continent diversion surgery.</w:t>
            </w:r>
          </w:p>
        </w:tc>
      </w:tr>
      <w:tr w:rsidR="009434AE" w:rsidRPr="009434AE" w14:paraId="31D2DF1B" w14:textId="77777777" w:rsidTr="0094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21796FBF" w14:textId="77777777" w:rsidR="00431518" w:rsidRPr="009434AE" w:rsidRDefault="00431518" w:rsidP="009434AE">
            <w:pPr>
              <w:spacing w:before="0" w:after="0"/>
              <w:rPr>
                <w:rFonts w:cstheme="minorHAnsi"/>
                <w:b w:val="0"/>
                <w:bCs/>
                <w:sz w:val="14"/>
                <w:szCs w:val="14"/>
              </w:rPr>
            </w:pPr>
            <w:r w:rsidRPr="009434AE">
              <w:rPr>
                <w:rFonts w:cstheme="minorHAnsi"/>
                <w:bCs/>
                <w:sz w:val="14"/>
                <w:szCs w:val="14"/>
              </w:rPr>
              <w:t>Governance arrangements</w:t>
            </w:r>
          </w:p>
        </w:tc>
        <w:tc>
          <w:tcPr>
            <w:tcW w:w="1695" w:type="dxa"/>
          </w:tcPr>
          <w:p w14:paraId="4AC0B61F"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The bodies or panels responsible for overall governance, policy direction, quality assurance, and compliance.</w:t>
            </w:r>
          </w:p>
        </w:tc>
        <w:tc>
          <w:tcPr>
            <w:tcW w:w="2762" w:type="dxa"/>
          </w:tcPr>
          <w:p w14:paraId="5E17A4E4" w14:textId="28F8BC48" w:rsidR="00431518" w:rsidRPr="009434AE" w:rsidRDefault="00C316C3" w:rsidP="00E442CB">
            <w:pPr>
              <w:pStyle w:val="ListParagraph"/>
              <w:numPr>
                <w:ilvl w:val="0"/>
                <w:numId w:val="31"/>
              </w:numPr>
              <w:spacing w:before="0" w:after="0" w:line="259" w:lineRule="auto"/>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Pr>
                <w:rFonts w:cstheme="minorHAnsi"/>
                <w:b/>
                <w:bCs/>
                <w:sz w:val="14"/>
                <w:szCs w:val="14"/>
              </w:rPr>
              <w:t>Scheme</w:t>
            </w:r>
            <w:r w:rsidR="00431518" w:rsidRPr="009434AE">
              <w:rPr>
                <w:rFonts w:cstheme="minorHAnsi"/>
                <w:b/>
                <w:bCs/>
                <w:sz w:val="14"/>
                <w:szCs w:val="14"/>
              </w:rPr>
              <w:t xml:space="preserve"> participants</w:t>
            </w:r>
            <w:r w:rsidR="00431518" w:rsidRPr="009434AE">
              <w:rPr>
                <w:rFonts w:cstheme="minorHAnsi"/>
                <w:sz w:val="14"/>
                <w:szCs w:val="14"/>
              </w:rPr>
              <w:t xml:space="preserve"> – an eligible person registered with an </w:t>
            </w:r>
            <w:proofErr w:type="gramStart"/>
            <w:r w:rsidR="00431518" w:rsidRPr="009434AE">
              <w:rPr>
                <w:rFonts w:cstheme="minorHAnsi"/>
                <w:sz w:val="14"/>
                <w:szCs w:val="14"/>
              </w:rPr>
              <w:t>association</w:t>
            </w:r>
            <w:proofErr w:type="gramEnd"/>
          </w:p>
          <w:p w14:paraId="4C1DB2AB" w14:textId="4915309F" w:rsidR="00431518" w:rsidRPr="009434AE" w:rsidRDefault="00431518" w:rsidP="00E442CB">
            <w:pPr>
              <w:pStyle w:val="ListParagraph"/>
              <w:numPr>
                <w:ilvl w:val="0"/>
                <w:numId w:val="31"/>
              </w:numPr>
              <w:spacing w:before="0" w:after="0" w:line="259" w:lineRule="auto"/>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b/>
                <w:bCs/>
                <w:sz w:val="14"/>
                <w:szCs w:val="14"/>
              </w:rPr>
              <w:t>Stoma associations</w:t>
            </w:r>
            <w:r w:rsidRPr="009434AE">
              <w:rPr>
                <w:rFonts w:cstheme="minorHAnsi"/>
                <w:sz w:val="14"/>
                <w:szCs w:val="14"/>
              </w:rPr>
              <w:t xml:space="preserve"> – responsible for ordering and distributing stoma</w:t>
            </w:r>
            <w:r w:rsidR="006A0BD8">
              <w:rPr>
                <w:rFonts w:cstheme="minorHAnsi"/>
                <w:sz w:val="14"/>
                <w:szCs w:val="14"/>
              </w:rPr>
              <w:t>-</w:t>
            </w:r>
            <w:r w:rsidRPr="009434AE">
              <w:rPr>
                <w:rFonts w:cstheme="minorHAnsi"/>
                <w:sz w:val="14"/>
                <w:szCs w:val="14"/>
              </w:rPr>
              <w:t xml:space="preserve">related </w:t>
            </w:r>
            <w:proofErr w:type="gramStart"/>
            <w:r w:rsidRPr="009434AE">
              <w:rPr>
                <w:rFonts w:cstheme="minorHAnsi"/>
                <w:sz w:val="14"/>
                <w:szCs w:val="14"/>
              </w:rPr>
              <w:t>products</w:t>
            </w:r>
            <w:proofErr w:type="gramEnd"/>
          </w:p>
          <w:p w14:paraId="2A5C1CEB" w14:textId="3474C061" w:rsidR="00431518" w:rsidRPr="009434AE" w:rsidRDefault="00431518" w:rsidP="00E442CB">
            <w:pPr>
              <w:pStyle w:val="ListParagraph"/>
              <w:numPr>
                <w:ilvl w:val="0"/>
                <w:numId w:val="31"/>
              </w:numPr>
              <w:spacing w:before="0" w:after="0" w:line="259" w:lineRule="auto"/>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b/>
                <w:bCs/>
                <w:sz w:val="14"/>
                <w:szCs w:val="14"/>
              </w:rPr>
            </w:pPr>
            <w:r w:rsidRPr="009434AE">
              <w:rPr>
                <w:rFonts w:cstheme="minorHAnsi"/>
                <w:b/>
                <w:bCs/>
                <w:sz w:val="14"/>
                <w:szCs w:val="14"/>
              </w:rPr>
              <w:t xml:space="preserve">Health professionals </w:t>
            </w:r>
            <w:r w:rsidR="00F14DE4">
              <w:rPr>
                <w:rFonts w:cstheme="minorHAnsi"/>
                <w:b/>
                <w:bCs/>
                <w:sz w:val="14"/>
                <w:szCs w:val="14"/>
              </w:rPr>
              <w:t>(</w:t>
            </w:r>
            <w:r w:rsidRPr="009434AE">
              <w:rPr>
                <w:rFonts w:cstheme="minorHAnsi"/>
                <w:b/>
                <w:bCs/>
                <w:sz w:val="14"/>
                <w:szCs w:val="14"/>
              </w:rPr>
              <w:t>e.g. medical and S</w:t>
            </w:r>
            <w:r w:rsidR="00B835EB">
              <w:rPr>
                <w:rFonts w:cstheme="minorHAnsi"/>
                <w:b/>
                <w:bCs/>
                <w:sz w:val="14"/>
                <w:szCs w:val="14"/>
              </w:rPr>
              <w:t>TNs</w:t>
            </w:r>
            <w:r w:rsidR="00F14DE4">
              <w:rPr>
                <w:rFonts w:cstheme="minorHAnsi"/>
                <w:b/>
                <w:bCs/>
                <w:sz w:val="14"/>
                <w:szCs w:val="14"/>
              </w:rPr>
              <w:t>)</w:t>
            </w:r>
            <w:r w:rsidRPr="009434AE">
              <w:rPr>
                <w:rFonts w:cstheme="minorHAnsi"/>
                <w:b/>
                <w:bCs/>
                <w:sz w:val="14"/>
                <w:szCs w:val="14"/>
              </w:rPr>
              <w:t xml:space="preserve"> </w:t>
            </w:r>
            <w:r w:rsidRPr="009434AE">
              <w:rPr>
                <w:rFonts w:cstheme="minorHAnsi"/>
                <w:sz w:val="14"/>
                <w:szCs w:val="14"/>
              </w:rPr>
              <w:t xml:space="preserve">assess and sign-off if patient is eligibility and should access restricted </w:t>
            </w:r>
            <w:proofErr w:type="gramStart"/>
            <w:r w:rsidRPr="009434AE">
              <w:rPr>
                <w:rFonts w:cstheme="minorHAnsi"/>
                <w:sz w:val="14"/>
                <w:szCs w:val="14"/>
              </w:rPr>
              <w:t>products</w:t>
            </w:r>
            <w:proofErr w:type="gramEnd"/>
          </w:p>
          <w:p w14:paraId="2ACE3233" w14:textId="3EFDF134" w:rsidR="00431518" w:rsidRPr="009434AE" w:rsidRDefault="00C316C3" w:rsidP="00E442CB">
            <w:pPr>
              <w:pStyle w:val="ListParagraph"/>
              <w:numPr>
                <w:ilvl w:val="0"/>
                <w:numId w:val="31"/>
              </w:numPr>
              <w:spacing w:before="0" w:after="0" w:line="259" w:lineRule="auto"/>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Pr>
                <w:rFonts w:cstheme="minorHAnsi"/>
                <w:b/>
                <w:bCs/>
                <w:sz w:val="14"/>
                <w:szCs w:val="14"/>
              </w:rPr>
              <w:t>Scheme</w:t>
            </w:r>
            <w:r w:rsidR="00431518" w:rsidRPr="009434AE">
              <w:rPr>
                <w:rFonts w:cstheme="minorHAnsi"/>
                <w:b/>
                <w:bCs/>
                <w:sz w:val="14"/>
                <w:szCs w:val="14"/>
              </w:rPr>
              <w:t xml:space="preserve"> sponsor</w:t>
            </w:r>
            <w:r w:rsidR="00431518" w:rsidRPr="009434AE">
              <w:rPr>
                <w:rFonts w:cstheme="minorHAnsi"/>
                <w:sz w:val="14"/>
                <w:szCs w:val="14"/>
              </w:rPr>
              <w:t xml:space="preserve"> is a manufacturer or distributor of stoma</w:t>
            </w:r>
            <w:r w:rsidR="006A0BD8">
              <w:rPr>
                <w:rFonts w:cstheme="minorHAnsi"/>
                <w:sz w:val="14"/>
                <w:szCs w:val="14"/>
              </w:rPr>
              <w:t>-</w:t>
            </w:r>
            <w:r w:rsidR="00431518" w:rsidRPr="009434AE">
              <w:rPr>
                <w:rFonts w:cstheme="minorHAnsi"/>
                <w:sz w:val="14"/>
                <w:szCs w:val="14"/>
              </w:rPr>
              <w:t xml:space="preserve">related </w:t>
            </w:r>
            <w:proofErr w:type="gramStart"/>
            <w:r w:rsidR="00431518" w:rsidRPr="009434AE">
              <w:rPr>
                <w:rFonts w:cstheme="minorHAnsi"/>
                <w:sz w:val="14"/>
                <w:szCs w:val="14"/>
              </w:rPr>
              <w:t>products</w:t>
            </w:r>
            <w:proofErr w:type="gramEnd"/>
          </w:p>
          <w:p w14:paraId="4368854D" w14:textId="0E69A2D2" w:rsidR="00431518" w:rsidRPr="009434AE" w:rsidRDefault="00431518" w:rsidP="00E442CB">
            <w:pPr>
              <w:pStyle w:val="ListParagraph"/>
              <w:numPr>
                <w:ilvl w:val="0"/>
                <w:numId w:val="31"/>
              </w:numPr>
              <w:spacing w:before="0" w:after="0" w:line="259" w:lineRule="auto"/>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b/>
                <w:bCs/>
                <w:sz w:val="14"/>
                <w:szCs w:val="14"/>
              </w:rPr>
              <w:t>Services Australia</w:t>
            </w:r>
            <w:r w:rsidRPr="009434AE">
              <w:rPr>
                <w:rFonts w:cstheme="minorHAnsi"/>
                <w:sz w:val="14"/>
                <w:szCs w:val="14"/>
              </w:rPr>
              <w:t xml:space="preserve"> – claims processing and payments</w:t>
            </w:r>
          </w:p>
          <w:p w14:paraId="1BCEAC59" w14:textId="6D44DFAF" w:rsidR="00431518" w:rsidRPr="009434AE" w:rsidRDefault="00431518" w:rsidP="00E442CB">
            <w:pPr>
              <w:pStyle w:val="ListParagraph"/>
              <w:numPr>
                <w:ilvl w:val="0"/>
                <w:numId w:val="31"/>
              </w:numPr>
              <w:spacing w:before="0" w:after="0" w:line="259" w:lineRule="auto"/>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b/>
                <w:bCs/>
                <w:sz w:val="14"/>
                <w:szCs w:val="14"/>
              </w:rPr>
              <w:t>A</w:t>
            </w:r>
            <w:r w:rsidR="004138A3">
              <w:rPr>
                <w:rFonts w:cstheme="minorHAnsi"/>
                <w:b/>
                <w:bCs/>
                <w:sz w:val="14"/>
                <w:szCs w:val="14"/>
              </w:rPr>
              <w:t>CSA</w:t>
            </w:r>
            <w:r w:rsidRPr="009434AE">
              <w:rPr>
                <w:rFonts w:cstheme="minorHAnsi"/>
                <w:sz w:val="14"/>
                <w:szCs w:val="14"/>
              </w:rPr>
              <w:t xml:space="preserve"> – represents individual stoma </w:t>
            </w:r>
            <w:proofErr w:type="gramStart"/>
            <w:r w:rsidRPr="009434AE">
              <w:rPr>
                <w:rFonts w:cstheme="minorHAnsi"/>
                <w:sz w:val="14"/>
                <w:szCs w:val="14"/>
              </w:rPr>
              <w:t>associations</w:t>
            </w:r>
            <w:proofErr w:type="gramEnd"/>
          </w:p>
          <w:p w14:paraId="62B68FD9" w14:textId="2EC3FAFD" w:rsidR="00431518" w:rsidRPr="009434AE" w:rsidRDefault="00431518" w:rsidP="00E442CB">
            <w:pPr>
              <w:pStyle w:val="ListParagraph"/>
              <w:numPr>
                <w:ilvl w:val="0"/>
                <w:numId w:val="31"/>
              </w:numPr>
              <w:spacing w:before="0" w:after="0" w:line="259" w:lineRule="auto"/>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b/>
                <w:bCs/>
                <w:sz w:val="14"/>
                <w:szCs w:val="14"/>
              </w:rPr>
              <w:t>S</w:t>
            </w:r>
            <w:r w:rsidR="001607C6">
              <w:rPr>
                <w:rFonts w:cstheme="minorHAnsi"/>
                <w:b/>
                <w:bCs/>
                <w:sz w:val="14"/>
                <w:szCs w:val="14"/>
              </w:rPr>
              <w:t>PAP</w:t>
            </w:r>
            <w:r w:rsidRPr="009434AE">
              <w:rPr>
                <w:rFonts w:cstheme="minorHAnsi"/>
                <w:sz w:val="14"/>
                <w:szCs w:val="14"/>
              </w:rPr>
              <w:t xml:space="preserve"> - an independent technical advice panel responsible for assessing stoma products and makes recommendations to Government regarding any changes, including new listings, to the Stoma Appliance Scheme Schedule</w:t>
            </w:r>
          </w:p>
          <w:p w14:paraId="10B9568B" w14:textId="238EE5F3" w:rsidR="00431518" w:rsidRPr="009434AE" w:rsidRDefault="00431518" w:rsidP="00E442CB">
            <w:pPr>
              <w:pStyle w:val="ListParagraph"/>
              <w:numPr>
                <w:ilvl w:val="0"/>
                <w:numId w:val="31"/>
              </w:numPr>
              <w:spacing w:before="0" w:after="0" w:line="259" w:lineRule="auto"/>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b/>
                <w:bCs/>
                <w:sz w:val="14"/>
                <w:szCs w:val="14"/>
              </w:rPr>
              <w:t xml:space="preserve">Australian Government </w:t>
            </w:r>
            <w:proofErr w:type="spellStart"/>
            <w:r w:rsidRPr="009434AE">
              <w:rPr>
                <w:rFonts w:cstheme="minorHAnsi"/>
                <w:b/>
                <w:bCs/>
                <w:sz w:val="14"/>
                <w:szCs w:val="14"/>
              </w:rPr>
              <w:t>D</w:t>
            </w:r>
            <w:r w:rsidR="006E2782">
              <w:rPr>
                <w:rFonts w:cstheme="minorHAnsi"/>
                <w:b/>
                <w:bCs/>
                <w:sz w:val="14"/>
                <w:szCs w:val="14"/>
              </w:rPr>
              <w:t>oHAC</w:t>
            </w:r>
            <w:proofErr w:type="spellEnd"/>
            <w:r w:rsidRPr="009434AE">
              <w:rPr>
                <w:rFonts w:cstheme="minorHAnsi"/>
                <w:sz w:val="14"/>
                <w:szCs w:val="14"/>
              </w:rPr>
              <w:t xml:space="preserve"> – overall scheme responsibility</w:t>
            </w:r>
          </w:p>
        </w:tc>
        <w:tc>
          <w:tcPr>
            <w:tcW w:w="2763" w:type="dxa"/>
          </w:tcPr>
          <w:p w14:paraId="3139DCC0"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c>
          <w:tcPr>
            <w:tcW w:w="2763" w:type="dxa"/>
          </w:tcPr>
          <w:p w14:paraId="13D68BD1"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It is mandatory to have a private insurance. Basic level is nationally the same and cover stoma products</w:t>
            </w:r>
          </w:p>
        </w:tc>
        <w:tc>
          <w:tcPr>
            <w:tcW w:w="2763" w:type="dxa"/>
          </w:tcPr>
          <w:p w14:paraId="28BE9124"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r>
      <w:tr w:rsidR="009434AE" w:rsidRPr="009434AE" w14:paraId="41336559" w14:textId="77777777" w:rsidTr="009434AE">
        <w:tc>
          <w:tcPr>
            <w:cnfStyle w:val="001000000000" w:firstRow="0" w:lastRow="0" w:firstColumn="1" w:lastColumn="0" w:oddVBand="0" w:evenVBand="0" w:oddHBand="0" w:evenHBand="0" w:firstRowFirstColumn="0" w:firstRowLastColumn="0" w:lastRowFirstColumn="0" w:lastRowLastColumn="0"/>
            <w:tcW w:w="1824" w:type="dxa"/>
          </w:tcPr>
          <w:p w14:paraId="01C5DE29" w14:textId="77777777" w:rsidR="00431518" w:rsidRPr="009434AE" w:rsidRDefault="00431518" w:rsidP="009434AE">
            <w:pPr>
              <w:spacing w:before="0" w:after="0"/>
              <w:rPr>
                <w:rFonts w:cstheme="minorHAnsi"/>
                <w:b w:val="0"/>
                <w:bCs/>
                <w:sz w:val="14"/>
                <w:szCs w:val="14"/>
              </w:rPr>
            </w:pPr>
            <w:r w:rsidRPr="009434AE">
              <w:rPr>
                <w:rFonts w:cstheme="minorHAnsi"/>
                <w:bCs/>
                <w:sz w:val="14"/>
                <w:szCs w:val="14"/>
              </w:rPr>
              <w:t>Policy documents and operational guidelines</w:t>
            </w:r>
          </w:p>
        </w:tc>
        <w:tc>
          <w:tcPr>
            <w:tcW w:w="1695" w:type="dxa"/>
          </w:tcPr>
          <w:p w14:paraId="1EE88C16"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r w:rsidRPr="009434AE">
              <w:rPr>
                <w:rFonts w:cstheme="minorHAnsi"/>
                <w:sz w:val="14"/>
                <w:szCs w:val="14"/>
              </w:rPr>
              <w:t xml:space="preserve">Official written instruments that outline the framework, objectives, and operational procedures governing the scheme. These documents set the formal rules, delineate </w:t>
            </w:r>
            <w:r w:rsidRPr="009434AE">
              <w:rPr>
                <w:rFonts w:cstheme="minorHAnsi"/>
                <w:sz w:val="14"/>
                <w:szCs w:val="14"/>
              </w:rPr>
              <w:lastRenderedPageBreak/>
              <w:t>responsibilities, and offer step-by-step instructions for both administration and participation.</w:t>
            </w:r>
          </w:p>
        </w:tc>
        <w:tc>
          <w:tcPr>
            <w:tcW w:w="2762" w:type="dxa"/>
          </w:tcPr>
          <w:p w14:paraId="5A52DC85" w14:textId="2EC54AA4" w:rsidR="00431518" w:rsidRPr="009434AE" w:rsidRDefault="002557C9"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hyperlink r:id="rId57" w:history="1">
              <w:r w:rsidR="00431518" w:rsidRPr="009434AE">
                <w:rPr>
                  <w:rStyle w:val="Hyperlink"/>
                  <w:rFonts w:cstheme="minorHAnsi"/>
                  <w:sz w:val="14"/>
                  <w:szCs w:val="14"/>
                </w:rPr>
                <w:t>Stoma Appliance Scheme Operational Guidelines</w:t>
              </w:r>
            </w:hyperlink>
          </w:p>
          <w:p w14:paraId="37E2B175" w14:textId="1C94CBBC" w:rsidR="00431518" w:rsidRPr="009434AE" w:rsidRDefault="002557C9"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hyperlink r:id="rId58" w:history="1">
              <w:r w:rsidR="00431518" w:rsidRPr="009434AE">
                <w:rPr>
                  <w:rStyle w:val="Hyperlink"/>
                  <w:rFonts w:cstheme="minorHAnsi"/>
                  <w:sz w:val="14"/>
                  <w:szCs w:val="14"/>
                </w:rPr>
                <w:t>Stoma Appliance Scheme Schedule</w:t>
              </w:r>
            </w:hyperlink>
          </w:p>
          <w:p w14:paraId="0EBEB8DD" w14:textId="4C98C387" w:rsidR="00431518" w:rsidRPr="009434AE" w:rsidRDefault="002557C9"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hyperlink r:id="rId59" w:history="1">
              <w:r w:rsidR="00431518" w:rsidRPr="009434AE">
                <w:rPr>
                  <w:rStyle w:val="Hyperlink"/>
                  <w:rFonts w:cstheme="minorHAnsi"/>
                  <w:sz w:val="14"/>
                  <w:szCs w:val="14"/>
                </w:rPr>
                <w:t>Stoma Appliance Scheme Application and Assessment Guidelines</w:t>
              </w:r>
            </w:hyperlink>
          </w:p>
          <w:p w14:paraId="45C6A437" w14:textId="4A12B7C1" w:rsidR="00431518" w:rsidRPr="009434AE" w:rsidRDefault="002557C9"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hyperlink r:id="rId60" w:history="1">
              <w:r w:rsidR="00431518" w:rsidRPr="009434AE">
                <w:rPr>
                  <w:rStyle w:val="Hyperlink"/>
                  <w:rFonts w:cstheme="minorHAnsi"/>
                  <w:sz w:val="14"/>
                  <w:szCs w:val="14"/>
                </w:rPr>
                <w:t>Stoma Appliance Scheme application forms for suppliers</w:t>
              </w:r>
            </w:hyperlink>
          </w:p>
        </w:tc>
        <w:tc>
          <w:tcPr>
            <w:tcW w:w="2763" w:type="dxa"/>
          </w:tcPr>
          <w:p w14:paraId="7096B914" w14:textId="7E051D14" w:rsidR="00431518" w:rsidRPr="009434AE" w:rsidRDefault="002557C9"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hyperlink r:id="rId61" w:history="1">
              <w:r w:rsidR="00431518" w:rsidRPr="009434AE">
                <w:rPr>
                  <w:rStyle w:val="Hyperlink"/>
                  <w:rFonts w:cstheme="minorHAnsi"/>
                  <w:sz w:val="14"/>
                  <w:szCs w:val="14"/>
                </w:rPr>
                <w:t>Drug Tariff Part IX October 2023</w:t>
              </w:r>
            </w:hyperlink>
          </w:p>
          <w:p w14:paraId="61473212" w14:textId="1963D295" w:rsidR="00431518" w:rsidRPr="009434AE" w:rsidRDefault="002557C9"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hyperlink r:id="rId62" w:history="1">
              <w:r w:rsidR="00431518" w:rsidRPr="009434AE">
                <w:rPr>
                  <w:rStyle w:val="Hyperlink"/>
                  <w:rFonts w:cstheme="minorHAnsi"/>
                  <w:sz w:val="14"/>
                  <w:szCs w:val="14"/>
                </w:rPr>
                <w:t xml:space="preserve">Drug Tariff Part IX </w:t>
              </w:r>
              <w:r w:rsidR="001734EE" w:rsidRPr="009434AE">
                <w:rPr>
                  <w:rStyle w:val="Hyperlink"/>
                  <w:rFonts w:cstheme="minorHAnsi"/>
                  <w:sz w:val="14"/>
                  <w:szCs w:val="14"/>
                </w:rPr>
                <w:t>Guidance</w:t>
              </w:r>
            </w:hyperlink>
            <w:r w:rsidR="00431518" w:rsidRPr="009434AE">
              <w:rPr>
                <w:rFonts w:cstheme="minorHAnsi"/>
                <w:sz w:val="14"/>
                <w:szCs w:val="14"/>
              </w:rPr>
              <w:t xml:space="preserve"> </w:t>
            </w:r>
          </w:p>
        </w:tc>
        <w:tc>
          <w:tcPr>
            <w:tcW w:w="2763" w:type="dxa"/>
          </w:tcPr>
          <w:p w14:paraId="0358B57C"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c>
          <w:tcPr>
            <w:tcW w:w="2763" w:type="dxa"/>
          </w:tcPr>
          <w:p w14:paraId="7D36FA75" w14:textId="77777777" w:rsidR="00431518" w:rsidRPr="009434AE" w:rsidRDefault="00431518" w:rsidP="009434AE">
            <w:pPr>
              <w:spacing w:before="0" w:after="0"/>
              <w:cnfStyle w:val="000000000000" w:firstRow="0" w:lastRow="0" w:firstColumn="0" w:lastColumn="0" w:oddVBand="0" w:evenVBand="0" w:oddHBand="0" w:evenHBand="0" w:firstRowFirstColumn="0" w:firstRowLastColumn="0" w:lastRowFirstColumn="0" w:lastRowLastColumn="0"/>
              <w:rPr>
                <w:rFonts w:cstheme="minorHAnsi"/>
                <w:sz w:val="14"/>
                <w:szCs w:val="14"/>
              </w:rPr>
            </w:pPr>
          </w:p>
        </w:tc>
      </w:tr>
      <w:tr w:rsidR="009434AE" w:rsidRPr="009434AE" w14:paraId="5F1E154E" w14:textId="77777777" w:rsidTr="009434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4" w:type="dxa"/>
          </w:tcPr>
          <w:p w14:paraId="6BC3D122" w14:textId="77777777" w:rsidR="00431518" w:rsidRPr="009434AE" w:rsidRDefault="00431518" w:rsidP="009434AE">
            <w:pPr>
              <w:spacing w:before="0" w:after="0"/>
              <w:rPr>
                <w:rFonts w:cstheme="minorHAnsi"/>
                <w:b w:val="0"/>
                <w:bCs/>
                <w:sz w:val="14"/>
                <w:szCs w:val="14"/>
              </w:rPr>
            </w:pPr>
            <w:r w:rsidRPr="009434AE">
              <w:rPr>
                <w:rFonts w:cstheme="minorHAnsi"/>
                <w:bCs/>
                <w:sz w:val="14"/>
                <w:szCs w:val="14"/>
              </w:rPr>
              <w:t>Forms and Documentation</w:t>
            </w:r>
          </w:p>
        </w:tc>
        <w:tc>
          <w:tcPr>
            <w:tcW w:w="1695" w:type="dxa"/>
          </w:tcPr>
          <w:p w14:paraId="523B0255" w14:textId="41612DCC"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r w:rsidRPr="009434AE">
              <w:rPr>
                <w:rFonts w:cstheme="minorHAnsi"/>
                <w:sz w:val="14"/>
                <w:szCs w:val="14"/>
              </w:rPr>
              <w:t>Types of forms used for various purposes like applications, special authori</w:t>
            </w:r>
            <w:r w:rsidR="00893867">
              <w:rPr>
                <w:rFonts w:cstheme="minorHAnsi"/>
                <w:sz w:val="14"/>
                <w:szCs w:val="14"/>
              </w:rPr>
              <w:t>s</w:t>
            </w:r>
            <w:r w:rsidRPr="009434AE">
              <w:rPr>
                <w:rFonts w:cstheme="minorHAnsi"/>
                <w:sz w:val="14"/>
                <w:szCs w:val="14"/>
              </w:rPr>
              <w:t>ations, and audit evidence.</w:t>
            </w:r>
          </w:p>
        </w:tc>
        <w:tc>
          <w:tcPr>
            <w:tcW w:w="2762" w:type="dxa"/>
          </w:tcPr>
          <w:p w14:paraId="3CD54FD2" w14:textId="78998141" w:rsidR="00431518" w:rsidRPr="009434AE" w:rsidRDefault="002557C9"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hyperlink r:id="rId63" w:history="1">
              <w:r w:rsidR="00431518" w:rsidRPr="009434AE">
                <w:rPr>
                  <w:rStyle w:val="Hyperlink"/>
                  <w:rFonts w:cstheme="minorHAnsi"/>
                  <w:sz w:val="14"/>
                  <w:szCs w:val="14"/>
                </w:rPr>
                <w:t>Application for stoma association membership</w:t>
              </w:r>
            </w:hyperlink>
            <w:r w:rsidR="00431518" w:rsidRPr="009434AE">
              <w:rPr>
                <w:rFonts w:cstheme="minorHAnsi"/>
                <w:sz w:val="14"/>
                <w:szCs w:val="14"/>
              </w:rPr>
              <w:t xml:space="preserve"> (QLD)</w:t>
            </w:r>
          </w:p>
          <w:p w14:paraId="5E63F611" w14:textId="1576DEBA" w:rsidR="00431518" w:rsidRPr="009434AE" w:rsidRDefault="002557C9" w:rsidP="009434AE">
            <w:pPr>
              <w:spacing w:before="0" w:after="0"/>
              <w:cnfStyle w:val="000000010000" w:firstRow="0" w:lastRow="0" w:firstColumn="0" w:lastColumn="0" w:oddVBand="0" w:evenVBand="0" w:oddHBand="0" w:evenHBand="1" w:firstRowFirstColumn="0" w:firstRowLastColumn="0" w:lastRowFirstColumn="0" w:lastRowLastColumn="0"/>
              <w:rPr>
                <w:rStyle w:val="Hyperlink"/>
                <w:rFonts w:cstheme="minorHAnsi"/>
                <w:sz w:val="14"/>
                <w:szCs w:val="14"/>
              </w:rPr>
            </w:pPr>
            <w:hyperlink r:id="rId64" w:history="1">
              <w:r w:rsidR="00431518" w:rsidRPr="009434AE">
                <w:rPr>
                  <w:rStyle w:val="Hyperlink"/>
                  <w:rFonts w:cstheme="minorHAnsi"/>
                  <w:sz w:val="14"/>
                  <w:szCs w:val="14"/>
                </w:rPr>
                <w:t>Stoma Appliance Scheme application form (PB049)</w:t>
              </w:r>
            </w:hyperlink>
          </w:p>
          <w:p w14:paraId="3BE3CEA8" w14:textId="40CF0561" w:rsidR="00431518" w:rsidRPr="009434AE" w:rsidRDefault="002557C9"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hyperlink r:id="rId65" w:history="1">
              <w:r w:rsidR="00431518" w:rsidRPr="009434AE">
                <w:rPr>
                  <w:rStyle w:val="Hyperlink"/>
                  <w:rFonts w:cstheme="minorHAnsi"/>
                  <w:sz w:val="14"/>
                  <w:szCs w:val="14"/>
                </w:rPr>
                <w:t>Stoma Appliance Scheme application for additional supplies form (PB050)</w:t>
              </w:r>
            </w:hyperlink>
          </w:p>
          <w:p w14:paraId="2D7BCCC3" w14:textId="79555068" w:rsidR="00431518" w:rsidRPr="009434AE" w:rsidRDefault="002557C9" w:rsidP="009434AE">
            <w:pPr>
              <w:spacing w:before="0" w:after="0"/>
              <w:cnfStyle w:val="000000010000" w:firstRow="0" w:lastRow="0" w:firstColumn="0" w:lastColumn="0" w:oddVBand="0" w:evenVBand="0" w:oddHBand="0" w:evenHBand="1" w:firstRowFirstColumn="0" w:firstRowLastColumn="0" w:lastRowFirstColumn="0" w:lastRowLastColumn="0"/>
              <w:rPr>
                <w:rStyle w:val="Hyperlink"/>
                <w:rFonts w:cstheme="minorHAnsi"/>
                <w:sz w:val="14"/>
                <w:szCs w:val="14"/>
              </w:rPr>
            </w:pPr>
            <w:hyperlink r:id="rId66" w:history="1">
              <w:r w:rsidR="00431518" w:rsidRPr="009434AE">
                <w:rPr>
                  <w:rStyle w:val="Hyperlink"/>
                  <w:rFonts w:cstheme="minorHAnsi"/>
                  <w:sz w:val="14"/>
                  <w:szCs w:val="14"/>
                </w:rPr>
                <w:t>NSW Online Order Form</w:t>
              </w:r>
            </w:hyperlink>
          </w:p>
          <w:p w14:paraId="016B247E" w14:textId="3CA3DBD2" w:rsidR="00431518" w:rsidRPr="009434AE" w:rsidRDefault="002557C9"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hyperlink r:id="rId67" w:history="1">
              <w:r w:rsidR="00431518" w:rsidRPr="009434AE">
                <w:rPr>
                  <w:rStyle w:val="Hyperlink"/>
                  <w:rFonts w:cstheme="minorHAnsi"/>
                  <w:sz w:val="14"/>
                  <w:szCs w:val="14"/>
                </w:rPr>
                <w:t>Stoma Appliance Scheme forms for ostomates</w:t>
              </w:r>
            </w:hyperlink>
            <w:r w:rsidR="00431518" w:rsidRPr="009434AE">
              <w:rPr>
                <w:rFonts w:cstheme="minorHAnsi"/>
                <w:sz w:val="14"/>
                <w:szCs w:val="14"/>
              </w:rPr>
              <w:t xml:space="preserve"> (for products with </w:t>
            </w:r>
            <w:r w:rsidR="00BF60DD">
              <w:rPr>
                <w:rFonts w:cstheme="minorHAnsi"/>
                <w:sz w:val="14"/>
                <w:szCs w:val="14"/>
              </w:rPr>
              <w:t>restrictions).</w:t>
            </w:r>
          </w:p>
        </w:tc>
        <w:tc>
          <w:tcPr>
            <w:tcW w:w="2763" w:type="dxa"/>
          </w:tcPr>
          <w:p w14:paraId="0663AC7A"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c>
          <w:tcPr>
            <w:tcW w:w="2763" w:type="dxa"/>
          </w:tcPr>
          <w:p w14:paraId="38DC685D"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c>
          <w:tcPr>
            <w:tcW w:w="2763" w:type="dxa"/>
          </w:tcPr>
          <w:p w14:paraId="7A9C84EA" w14:textId="05540140" w:rsidR="00431518" w:rsidRPr="009434AE" w:rsidRDefault="002557C9"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hyperlink r:id="rId68" w:history="1">
              <w:r w:rsidR="00431518" w:rsidRPr="009434AE">
                <w:rPr>
                  <w:rStyle w:val="Hyperlink"/>
                  <w:rFonts w:cstheme="minorHAnsi"/>
                  <w:sz w:val="14"/>
                  <w:szCs w:val="14"/>
                </w:rPr>
                <w:t>Local Coverage Article: Ostomy Supplies Policy Article</w:t>
              </w:r>
            </w:hyperlink>
          </w:p>
          <w:p w14:paraId="61A410BF" w14:textId="3351435B" w:rsidR="00431518" w:rsidRPr="009434AE" w:rsidRDefault="002557C9"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hyperlink r:id="rId69" w:history="1">
              <w:r w:rsidR="00431518" w:rsidRPr="009434AE">
                <w:rPr>
                  <w:rStyle w:val="Hyperlink"/>
                  <w:rFonts w:cstheme="minorHAnsi"/>
                  <w:sz w:val="14"/>
                  <w:szCs w:val="14"/>
                </w:rPr>
                <w:t>Local Coverage Determination: Ostomy Supplies</w:t>
              </w:r>
            </w:hyperlink>
          </w:p>
          <w:p w14:paraId="6E236672" w14:textId="77777777" w:rsidR="00431518" w:rsidRPr="009434AE" w:rsidRDefault="00431518" w:rsidP="009434AE">
            <w:pPr>
              <w:spacing w:before="0" w:after="0"/>
              <w:cnfStyle w:val="000000010000" w:firstRow="0" w:lastRow="0" w:firstColumn="0" w:lastColumn="0" w:oddVBand="0" w:evenVBand="0" w:oddHBand="0" w:evenHBand="1" w:firstRowFirstColumn="0" w:firstRowLastColumn="0" w:lastRowFirstColumn="0" w:lastRowLastColumn="0"/>
              <w:rPr>
                <w:rFonts w:cstheme="minorHAnsi"/>
                <w:sz w:val="14"/>
                <w:szCs w:val="14"/>
              </w:rPr>
            </w:pPr>
          </w:p>
        </w:tc>
      </w:tr>
    </w:tbl>
    <w:p w14:paraId="20242EC6" w14:textId="1111B48A" w:rsidR="00431518" w:rsidRDefault="009434AE" w:rsidP="00431518">
      <w:pPr>
        <w:pStyle w:val="BodyText"/>
      </w:pPr>
      <w:r>
        <w:br w:type="textWrapping" w:clear="all"/>
      </w:r>
    </w:p>
    <w:p w14:paraId="272328D0" w14:textId="09F2895D" w:rsidR="00431518" w:rsidRDefault="00431518" w:rsidP="00431518">
      <w:pPr>
        <w:pStyle w:val="Caption"/>
      </w:pPr>
      <w:bookmarkStart w:id="119" w:name="_Ref147334594"/>
      <w:bookmarkStart w:id="120" w:name="_Ref147404369"/>
      <w:bookmarkStart w:id="121" w:name="_Toc161743141"/>
      <w:r>
        <w:lastRenderedPageBreak/>
        <w:t xml:space="preserve">Figure </w:t>
      </w:r>
      <w:r>
        <w:fldChar w:fldCharType="begin"/>
      </w:r>
      <w:r>
        <w:instrText xml:space="preserve"> SEQ Figure \* ARABIC </w:instrText>
      </w:r>
      <w:r>
        <w:fldChar w:fldCharType="separate"/>
      </w:r>
      <w:r w:rsidR="00FE1418">
        <w:rPr>
          <w:noProof/>
        </w:rPr>
        <w:t>17</w:t>
      </w:r>
      <w:r>
        <w:rPr>
          <w:noProof/>
        </w:rPr>
        <w:fldChar w:fldCharType="end"/>
      </w:r>
      <w:bookmarkEnd w:id="119"/>
      <w:r>
        <w:t xml:space="preserve">: Features national schemes in comparison with the </w:t>
      </w:r>
      <w:proofErr w:type="gramStart"/>
      <w:r w:rsidR="00C316C3">
        <w:t>Scheme</w:t>
      </w:r>
      <w:bookmarkEnd w:id="120"/>
      <w:bookmarkEnd w:id="121"/>
      <w:proofErr w:type="gramEnd"/>
    </w:p>
    <w:p w14:paraId="4E44CC2F" w14:textId="55B4D97F" w:rsidR="00F36F36" w:rsidRPr="00F36F36" w:rsidRDefault="00F36F36" w:rsidP="00F36F36">
      <w:pPr>
        <w:pStyle w:val="BodyText"/>
      </w:pPr>
      <w:r>
        <w:rPr>
          <w:noProof/>
        </w:rPr>
        <w:drawing>
          <wp:inline distT="0" distB="0" distL="0" distR="0" wp14:anchorId="562A1677" wp14:editId="1709CB49">
            <wp:extent cx="9008533" cy="4967605"/>
            <wp:effectExtent l="0" t="0" r="0" b="4445"/>
            <wp:docPr id="75440245" name="Picture 6" descr="Figure 17: Features national schemes in comparison with the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0245" name="Picture 6" descr="Figure 17: Features national schemes in comparison with the Scheme "/>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020660" cy="4974292"/>
                    </a:xfrm>
                    <a:prstGeom prst="rect">
                      <a:avLst/>
                    </a:prstGeom>
                    <a:noFill/>
                  </pic:spPr>
                </pic:pic>
              </a:graphicData>
            </a:graphic>
          </wp:inline>
        </w:drawing>
      </w:r>
    </w:p>
    <w:p w14:paraId="0AE186F6" w14:textId="6F5455FA" w:rsidR="00431518" w:rsidRPr="00BC3D58" w:rsidRDefault="00431518" w:rsidP="00431518">
      <w:pPr>
        <w:pStyle w:val="BodyText"/>
      </w:pPr>
      <w:r w:rsidRPr="00F40F8A">
        <w:rPr>
          <w:sz w:val="16"/>
          <w:szCs w:val="16"/>
        </w:rPr>
        <w:t xml:space="preserve">Source: </w:t>
      </w:r>
      <w:proofErr w:type="spellStart"/>
      <w:r w:rsidRPr="00F40F8A">
        <w:rPr>
          <w:sz w:val="16"/>
          <w:szCs w:val="16"/>
        </w:rPr>
        <w:t>HealthConsult</w:t>
      </w:r>
      <w:proofErr w:type="spellEnd"/>
      <w:r w:rsidRPr="00F40F8A">
        <w:rPr>
          <w:sz w:val="16"/>
          <w:szCs w:val="16"/>
        </w:rPr>
        <w:t xml:space="preserve"> (2023) based on </w:t>
      </w:r>
      <w:r>
        <w:rPr>
          <w:sz w:val="16"/>
          <w:szCs w:val="16"/>
        </w:rPr>
        <w:t>stakeholder</w:t>
      </w:r>
      <w:r w:rsidRPr="00F40F8A">
        <w:rPr>
          <w:sz w:val="16"/>
          <w:szCs w:val="16"/>
        </w:rPr>
        <w:t xml:space="preserve"> </w:t>
      </w:r>
      <w:r>
        <w:rPr>
          <w:sz w:val="16"/>
          <w:szCs w:val="16"/>
        </w:rPr>
        <w:t xml:space="preserve">consultation and </w:t>
      </w:r>
      <w:r w:rsidRPr="00F40F8A">
        <w:rPr>
          <w:sz w:val="16"/>
          <w:szCs w:val="16"/>
        </w:rPr>
        <w:t>documentation review.</w:t>
      </w:r>
    </w:p>
    <w:p w14:paraId="10B4D70F" w14:textId="5DC8A816" w:rsidR="00431518" w:rsidRPr="00EA32C5" w:rsidRDefault="00431518" w:rsidP="00EA32C5">
      <w:pPr>
        <w:pStyle w:val="BodyText"/>
        <w:rPr>
          <w:sz w:val="16"/>
          <w:szCs w:val="16"/>
        </w:rPr>
      </w:pPr>
      <w:r w:rsidRPr="00EA32C5">
        <w:rPr>
          <w:sz w:val="16"/>
          <w:szCs w:val="16"/>
        </w:rPr>
        <w:t>Abbreviations: SPAP: Stoma Product Assessment Panel; CAC = Clinical Advisory Committee</w:t>
      </w:r>
    </w:p>
    <w:p w14:paraId="04AB0769" w14:textId="13D39965" w:rsidR="00431518" w:rsidRDefault="00431518" w:rsidP="00431518">
      <w:pPr>
        <w:pStyle w:val="Caption"/>
      </w:pPr>
      <w:bookmarkStart w:id="122" w:name="_Toc161743124"/>
      <w:r>
        <w:lastRenderedPageBreak/>
        <w:t xml:space="preserve">Table </w:t>
      </w:r>
      <w:r>
        <w:fldChar w:fldCharType="begin"/>
      </w:r>
      <w:r>
        <w:instrText xml:space="preserve"> SEQ Table \* ARABIC </w:instrText>
      </w:r>
      <w:r>
        <w:fldChar w:fldCharType="separate"/>
      </w:r>
      <w:r w:rsidR="00FE1418">
        <w:rPr>
          <w:noProof/>
        </w:rPr>
        <w:t>21</w:t>
      </w:r>
      <w:r>
        <w:rPr>
          <w:noProof/>
        </w:rPr>
        <w:fldChar w:fldCharType="end"/>
      </w:r>
      <w:r>
        <w:t xml:space="preserve">: </w:t>
      </w:r>
      <w:r w:rsidRPr="00A212F4">
        <w:t>Comparator national Australian schemes</w:t>
      </w:r>
      <w:bookmarkEnd w:id="122"/>
    </w:p>
    <w:tbl>
      <w:tblPr>
        <w:tblStyle w:val="TableHealthConsultPurple"/>
        <w:tblW w:w="0" w:type="auto"/>
        <w:tblLayout w:type="fixed"/>
        <w:tblLook w:val="04A0" w:firstRow="1" w:lastRow="0" w:firstColumn="1" w:lastColumn="0" w:noHBand="0" w:noVBand="1"/>
      </w:tblPr>
      <w:tblGrid>
        <w:gridCol w:w="1788"/>
        <w:gridCol w:w="1482"/>
        <w:gridCol w:w="2260"/>
        <w:gridCol w:w="2260"/>
        <w:gridCol w:w="2260"/>
        <w:gridCol w:w="2260"/>
        <w:gridCol w:w="2260"/>
      </w:tblGrid>
      <w:tr w:rsidR="00B473D9" w:rsidRPr="009434AE" w14:paraId="4B6ABC05" w14:textId="77777777" w:rsidTr="00B473D9">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1788" w:type="dxa"/>
          </w:tcPr>
          <w:p w14:paraId="464BF6DC" w14:textId="77777777" w:rsidR="00B473D9" w:rsidRPr="009434AE" w:rsidRDefault="00B473D9" w:rsidP="005C7AC1">
            <w:pPr>
              <w:spacing w:before="0" w:after="0"/>
              <w:rPr>
                <w:rFonts w:cstheme="minorHAnsi"/>
                <w:sz w:val="12"/>
                <w:szCs w:val="12"/>
              </w:rPr>
            </w:pPr>
            <w:r w:rsidRPr="009434AE">
              <w:rPr>
                <w:rFonts w:cstheme="minorHAnsi"/>
                <w:sz w:val="12"/>
                <w:szCs w:val="12"/>
              </w:rPr>
              <w:t>Element</w:t>
            </w:r>
          </w:p>
        </w:tc>
        <w:tc>
          <w:tcPr>
            <w:tcW w:w="1482" w:type="dxa"/>
          </w:tcPr>
          <w:p w14:paraId="6B4A2591" w14:textId="77777777" w:rsidR="00B473D9" w:rsidRPr="009434AE" w:rsidRDefault="00B473D9" w:rsidP="005C7AC1">
            <w:pPr>
              <w:spacing w:before="0" w:after="0"/>
              <w:cnfStyle w:val="100000000000" w:firstRow="1" w:lastRow="0" w:firstColumn="0" w:lastColumn="0" w:oddVBand="0" w:evenVBand="0" w:oddHBand="0" w:evenHBand="0" w:firstRowFirstColumn="0" w:firstRowLastColumn="0" w:lastRowFirstColumn="0" w:lastRowLastColumn="0"/>
              <w:rPr>
                <w:rFonts w:cstheme="minorHAnsi"/>
                <w:color w:val="0D0D0D" w:themeColor="text1" w:themeTint="F2"/>
                <w:sz w:val="12"/>
                <w:szCs w:val="12"/>
              </w:rPr>
            </w:pPr>
            <w:r w:rsidRPr="009434AE">
              <w:rPr>
                <w:rFonts w:cstheme="minorHAnsi"/>
                <w:sz w:val="12"/>
                <w:szCs w:val="12"/>
              </w:rPr>
              <w:t>Definition</w:t>
            </w:r>
          </w:p>
        </w:tc>
        <w:tc>
          <w:tcPr>
            <w:tcW w:w="2260" w:type="dxa"/>
          </w:tcPr>
          <w:p w14:paraId="16902F1A" w14:textId="77777777" w:rsidR="00B473D9" w:rsidRPr="009434AE" w:rsidRDefault="00B473D9" w:rsidP="005C7AC1">
            <w:pPr>
              <w:spacing w:before="0" w:after="0"/>
              <w:cnfStyle w:val="100000000000" w:firstRow="1"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Stoma Appliance Scheme</w:t>
            </w:r>
          </w:p>
        </w:tc>
        <w:tc>
          <w:tcPr>
            <w:tcW w:w="2260" w:type="dxa"/>
          </w:tcPr>
          <w:p w14:paraId="346BC300" w14:textId="77777777" w:rsidR="00B473D9" w:rsidRPr="009434AE" w:rsidRDefault="00B473D9" w:rsidP="005C7AC1">
            <w:pPr>
              <w:spacing w:before="0" w:after="0"/>
              <w:cnfStyle w:val="100000000000" w:firstRow="1"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Continence Aids Payment Scheme</w:t>
            </w:r>
          </w:p>
        </w:tc>
        <w:tc>
          <w:tcPr>
            <w:tcW w:w="2260" w:type="dxa"/>
          </w:tcPr>
          <w:p w14:paraId="2524A693" w14:textId="553B3C74" w:rsidR="00B473D9" w:rsidRPr="009434AE" w:rsidRDefault="00B473D9" w:rsidP="005C7AC1">
            <w:pPr>
              <w:spacing w:before="0" w:after="0"/>
              <w:cnfStyle w:val="100000000000" w:firstRow="1"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N</w:t>
            </w:r>
            <w:r w:rsidR="004B60AF">
              <w:rPr>
                <w:rFonts w:cstheme="minorHAnsi"/>
                <w:sz w:val="12"/>
                <w:szCs w:val="12"/>
              </w:rPr>
              <w:t>DSS</w:t>
            </w:r>
          </w:p>
        </w:tc>
        <w:tc>
          <w:tcPr>
            <w:tcW w:w="2260" w:type="dxa"/>
          </w:tcPr>
          <w:p w14:paraId="0A172B80" w14:textId="77777777" w:rsidR="00B473D9" w:rsidRPr="009434AE" w:rsidRDefault="00B473D9" w:rsidP="005C7AC1">
            <w:pPr>
              <w:spacing w:before="0" w:after="0"/>
              <w:cnfStyle w:val="100000000000" w:firstRow="1"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National Epidermolysis Bullosa Dressing Scheme (NEBDS)</w:t>
            </w:r>
          </w:p>
        </w:tc>
        <w:tc>
          <w:tcPr>
            <w:tcW w:w="2260" w:type="dxa"/>
          </w:tcPr>
          <w:p w14:paraId="35EC75AA" w14:textId="77777777" w:rsidR="00B473D9" w:rsidRPr="009434AE" w:rsidRDefault="00B473D9" w:rsidP="005C7AC1">
            <w:pPr>
              <w:spacing w:before="0" w:after="0"/>
              <w:cnfStyle w:val="100000000000" w:firstRow="1"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NDIS</w:t>
            </w:r>
          </w:p>
        </w:tc>
      </w:tr>
      <w:tr w:rsidR="00B473D9" w:rsidRPr="009434AE" w14:paraId="3C12732A" w14:textId="77777777" w:rsidTr="00B473D9">
        <w:tc>
          <w:tcPr>
            <w:cnfStyle w:val="001000000000" w:firstRow="0" w:lastRow="0" w:firstColumn="1" w:lastColumn="0" w:oddVBand="0" w:evenVBand="0" w:oddHBand="0" w:evenHBand="0" w:firstRowFirstColumn="0" w:firstRowLastColumn="0" w:lastRowFirstColumn="0" w:lastRowLastColumn="0"/>
            <w:tcW w:w="1788" w:type="dxa"/>
          </w:tcPr>
          <w:p w14:paraId="58BBEDAC" w14:textId="77777777" w:rsidR="00B473D9" w:rsidRPr="009434AE" w:rsidRDefault="00B473D9" w:rsidP="005C7AC1">
            <w:pPr>
              <w:spacing w:before="0" w:after="0"/>
              <w:rPr>
                <w:rFonts w:cstheme="minorHAnsi"/>
                <w:b w:val="0"/>
                <w:bCs/>
                <w:sz w:val="12"/>
                <w:szCs w:val="12"/>
              </w:rPr>
            </w:pPr>
            <w:r w:rsidRPr="009434AE">
              <w:rPr>
                <w:rFonts w:cstheme="minorHAnsi"/>
                <w:bCs/>
                <w:sz w:val="12"/>
                <w:szCs w:val="12"/>
              </w:rPr>
              <w:t>Scheme/program name</w:t>
            </w:r>
          </w:p>
        </w:tc>
        <w:tc>
          <w:tcPr>
            <w:tcW w:w="1482" w:type="dxa"/>
          </w:tcPr>
          <w:p w14:paraId="3C99C1DE" w14:textId="77777777"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The formal title under which the initiative operates.</w:t>
            </w:r>
          </w:p>
        </w:tc>
        <w:tc>
          <w:tcPr>
            <w:tcW w:w="2260" w:type="dxa"/>
          </w:tcPr>
          <w:p w14:paraId="71AF2814" w14:textId="56CD45CD" w:rsidR="00B473D9" w:rsidRPr="009434AE" w:rsidRDefault="002557C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hyperlink r:id="rId71" w:history="1">
              <w:r w:rsidR="00B473D9" w:rsidRPr="009434AE">
                <w:rPr>
                  <w:rFonts w:cstheme="minorHAnsi"/>
                  <w:color w:val="3B0083" w:themeColor="hyperlink"/>
                  <w:sz w:val="12"/>
                  <w:szCs w:val="12"/>
                  <w:u w:val="single"/>
                </w:rPr>
                <w:t>Stoma Appliance Scheme</w:t>
              </w:r>
            </w:hyperlink>
          </w:p>
        </w:tc>
        <w:tc>
          <w:tcPr>
            <w:tcW w:w="2260" w:type="dxa"/>
          </w:tcPr>
          <w:p w14:paraId="67A17D93" w14:textId="3C90E6A7"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C</w:t>
            </w:r>
            <w:r w:rsidR="00C341AB">
              <w:rPr>
                <w:rFonts w:cstheme="minorHAnsi"/>
                <w:sz w:val="12"/>
                <w:szCs w:val="12"/>
              </w:rPr>
              <w:t>APS</w:t>
            </w:r>
            <w:r w:rsidRPr="009434AE">
              <w:rPr>
                <w:rFonts w:cstheme="minorHAnsi"/>
                <w:sz w:val="12"/>
                <w:szCs w:val="12"/>
              </w:rPr>
              <w:t xml:space="preserve"> 2020</w:t>
            </w:r>
          </w:p>
        </w:tc>
        <w:tc>
          <w:tcPr>
            <w:tcW w:w="2260" w:type="dxa"/>
          </w:tcPr>
          <w:p w14:paraId="395B696A" w14:textId="5C9B7B68"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N</w:t>
            </w:r>
            <w:r w:rsidR="004B60AF">
              <w:rPr>
                <w:rFonts w:cstheme="minorHAnsi"/>
                <w:sz w:val="12"/>
                <w:szCs w:val="12"/>
              </w:rPr>
              <w:t>DSS</w:t>
            </w:r>
          </w:p>
        </w:tc>
        <w:tc>
          <w:tcPr>
            <w:tcW w:w="2260" w:type="dxa"/>
          </w:tcPr>
          <w:p w14:paraId="02E7C866" w14:textId="17094FAF"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N</w:t>
            </w:r>
            <w:r w:rsidR="001607C6">
              <w:rPr>
                <w:rFonts w:cstheme="minorHAnsi"/>
                <w:sz w:val="12"/>
                <w:szCs w:val="12"/>
              </w:rPr>
              <w:t>EBDS</w:t>
            </w:r>
          </w:p>
        </w:tc>
        <w:tc>
          <w:tcPr>
            <w:tcW w:w="2260" w:type="dxa"/>
          </w:tcPr>
          <w:p w14:paraId="10FFB013" w14:textId="38F5F714"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N</w:t>
            </w:r>
            <w:r w:rsidR="00C545F7">
              <w:rPr>
                <w:rFonts w:cstheme="minorHAnsi"/>
                <w:sz w:val="12"/>
                <w:szCs w:val="12"/>
              </w:rPr>
              <w:t>DIS</w:t>
            </w:r>
          </w:p>
        </w:tc>
      </w:tr>
      <w:tr w:rsidR="00B473D9" w:rsidRPr="009434AE" w14:paraId="6B2CDB3B" w14:textId="77777777" w:rsidTr="00B47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tcPr>
          <w:p w14:paraId="2AD8EDD2" w14:textId="77777777" w:rsidR="00B473D9" w:rsidRPr="009434AE" w:rsidRDefault="00B473D9" w:rsidP="005C7AC1">
            <w:pPr>
              <w:spacing w:before="0" w:after="0"/>
              <w:rPr>
                <w:rFonts w:cstheme="minorHAnsi"/>
                <w:b w:val="0"/>
                <w:bCs/>
                <w:sz w:val="12"/>
                <w:szCs w:val="12"/>
              </w:rPr>
            </w:pPr>
            <w:r w:rsidRPr="009434AE">
              <w:rPr>
                <w:rFonts w:cstheme="minorHAnsi"/>
                <w:bCs/>
                <w:sz w:val="12"/>
                <w:szCs w:val="12"/>
              </w:rPr>
              <w:t>Overview</w:t>
            </w:r>
          </w:p>
        </w:tc>
        <w:tc>
          <w:tcPr>
            <w:tcW w:w="1482" w:type="dxa"/>
          </w:tcPr>
          <w:p w14:paraId="5F2869C7"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A brief outline that provides a snapshot of the scheme.</w:t>
            </w:r>
          </w:p>
        </w:tc>
        <w:tc>
          <w:tcPr>
            <w:tcW w:w="2260" w:type="dxa"/>
          </w:tcPr>
          <w:p w14:paraId="2C6EE4FD"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The Stoma Appliance Scheme provides free stoma appliances and products to people who have a stoma (ostomates). Products supplied under the Scheme assist people with stomas to better manage their condition, and thereby allow greater participation in society and the workforce. Products are provided free of charge. This saves each ostomate an average of over $2,300 per year.</w:t>
            </w:r>
          </w:p>
        </w:tc>
        <w:tc>
          <w:tcPr>
            <w:tcW w:w="2260" w:type="dxa"/>
          </w:tcPr>
          <w:p w14:paraId="355394C1" w14:textId="5EFF6282"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The C</w:t>
            </w:r>
            <w:r w:rsidR="00D97135">
              <w:rPr>
                <w:rFonts w:cstheme="minorHAnsi"/>
                <w:sz w:val="12"/>
                <w:szCs w:val="12"/>
              </w:rPr>
              <w:t>APS</w:t>
            </w:r>
            <w:r w:rsidRPr="009434AE">
              <w:rPr>
                <w:rFonts w:cstheme="minorHAnsi"/>
                <w:sz w:val="12"/>
                <w:szCs w:val="12"/>
              </w:rPr>
              <w:t xml:space="preserve"> is an Australian Government scheme that assists eligible people who have permanent and severe incontinence to meet some of the costs of continence products and continence related products. </w:t>
            </w:r>
          </w:p>
        </w:tc>
        <w:tc>
          <w:tcPr>
            <w:tcW w:w="2260" w:type="dxa"/>
          </w:tcPr>
          <w:p w14:paraId="627E7798"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The NDSS is an initiative of the Australian Government that commenced in 1987 and is administered by Diabetes Australia.</w:t>
            </w:r>
          </w:p>
          <w:p w14:paraId="28BEE700"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The NDSS helps people with diabetes to understand and manage their life with diabetes. It also provides timely, </w:t>
            </w:r>
            <w:proofErr w:type="gramStart"/>
            <w:r w:rsidRPr="009434AE">
              <w:rPr>
                <w:rFonts w:cstheme="minorHAnsi"/>
                <w:sz w:val="12"/>
                <w:szCs w:val="12"/>
              </w:rPr>
              <w:t>reliable</w:t>
            </w:r>
            <w:proofErr w:type="gramEnd"/>
            <w:r w:rsidRPr="009434AE">
              <w:rPr>
                <w:rFonts w:cstheme="minorHAnsi"/>
                <w:sz w:val="12"/>
                <w:szCs w:val="12"/>
              </w:rPr>
              <w:t xml:space="preserve"> and affordable access to diabetes support services and products.</w:t>
            </w:r>
          </w:p>
        </w:tc>
        <w:tc>
          <w:tcPr>
            <w:tcW w:w="2260" w:type="dxa"/>
          </w:tcPr>
          <w:p w14:paraId="3EB0AA3D"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The NEBDS helps eligible people with epidermolysis bullosa access dressings, </w:t>
            </w:r>
            <w:proofErr w:type="gramStart"/>
            <w:r w:rsidRPr="009434AE">
              <w:rPr>
                <w:rFonts w:cstheme="minorHAnsi"/>
                <w:sz w:val="12"/>
                <w:szCs w:val="12"/>
              </w:rPr>
              <w:t>bandages</w:t>
            </w:r>
            <w:proofErr w:type="gramEnd"/>
            <w:r w:rsidRPr="009434AE">
              <w:rPr>
                <w:rFonts w:cstheme="minorHAnsi"/>
                <w:sz w:val="12"/>
                <w:szCs w:val="12"/>
              </w:rPr>
              <w:t xml:space="preserve"> and ancillary products at a reduced cost. It also ensures a consistent level of care across Australia.</w:t>
            </w:r>
          </w:p>
          <w:p w14:paraId="1A7FCBB1"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Epidermolysis bullosa (EB) is a rare condition that causes fragile, blistering skin. The blisters may appear in response to minor injury, even from heat, rubbing or scratching.</w:t>
            </w:r>
          </w:p>
        </w:tc>
        <w:tc>
          <w:tcPr>
            <w:tcW w:w="2260" w:type="dxa"/>
          </w:tcPr>
          <w:p w14:paraId="33B5FD80" w14:textId="25399249"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The NDIS is Australia’s national scheme for people with disability.</w:t>
            </w:r>
          </w:p>
          <w:p w14:paraId="67CAD3D1"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Note: If </w:t>
            </w:r>
            <w:proofErr w:type="gramStart"/>
            <w:r w:rsidRPr="009434AE">
              <w:rPr>
                <w:rFonts w:cstheme="minorHAnsi"/>
                <w:sz w:val="12"/>
                <w:szCs w:val="12"/>
              </w:rPr>
              <w:t>an</w:t>
            </w:r>
            <w:proofErr w:type="gramEnd"/>
            <w:r w:rsidRPr="009434AE">
              <w:rPr>
                <w:rFonts w:cstheme="minorHAnsi"/>
                <w:sz w:val="12"/>
                <w:szCs w:val="12"/>
              </w:rPr>
              <w:t xml:space="preserve"> NDIS participant has continence supports funded in their NDIS plan, they won’t generally be eligible for funding under the CAPS.</w:t>
            </w:r>
          </w:p>
        </w:tc>
      </w:tr>
      <w:tr w:rsidR="00B473D9" w:rsidRPr="009434AE" w14:paraId="07C948ED" w14:textId="77777777" w:rsidTr="00B473D9">
        <w:tc>
          <w:tcPr>
            <w:cnfStyle w:val="001000000000" w:firstRow="0" w:lastRow="0" w:firstColumn="1" w:lastColumn="0" w:oddVBand="0" w:evenVBand="0" w:oddHBand="0" w:evenHBand="0" w:firstRowFirstColumn="0" w:firstRowLastColumn="0" w:lastRowFirstColumn="0" w:lastRowLastColumn="0"/>
            <w:tcW w:w="1788" w:type="dxa"/>
          </w:tcPr>
          <w:p w14:paraId="32E34C43" w14:textId="77777777" w:rsidR="00B473D9" w:rsidRPr="009434AE" w:rsidRDefault="00B473D9" w:rsidP="005C7AC1">
            <w:pPr>
              <w:spacing w:before="0" w:after="0"/>
              <w:rPr>
                <w:rFonts w:cstheme="minorHAnsi"/>
                <w:b w:val="0"/>
                <w:bCs/>
                <w:sz w:val="12"/>
                <w:szCs w:val="12"/>
              </w:rPr>
            </w:pPr>
            <w:r w:rsidRPr="009434AE">
              <w:rPr>
                <w:rFonts w:cstheme="minorHAnsi"/>
                <w:bCs/>
                <w:sz w:val="12"/>
                <w:szCs w:val="12"/>
              </w:rPr>
              <w:t>Approx funding</w:t>
            </w:r>
          </w:p>
        </w:tc>
        <w:tc>
          <w:tcPr>
            <w:tcW w:w="1482" w:type="dxa"/>
          </w:tcPr>
          <w:p w14:paraId="54F17A7C" w14:textId="77777777"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p>
        </w:tc>
        <w:tc>
          <w:tcPr>
            <w:tcW w:w="2260" w:type="dxa"/>
          </w:tcPr>
          <w:p w14:paraId="4EF4C036" w14:textId="77777777"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The Scheme provided ostomates with $114 million worth of stoma appliances and products in 2022-23 (reference).</w:t>
            </w:r>
          </w:p>
        </w:tc>
        <w:tc>
          <w:tcPr>
            <w:tcW w:w="2260" w:type="dxa"/>
          </w:tcPr>
          <w:p w14:paraId="1E7EB74E" w14:textId="77777777"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CAPS is an ongoing program funded by the Australian Government.</w:t>
            </w:r>
          </w:p>
        </w:tc>
        <w:tc>
          <w:tcPr>
            <w:tcW w:w="2260" w:type="dxa"/>
          </w:tcPr>
          <w:p w14:paraId="7E4ADD16" w14:textId="77777777"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 xml:space="preserve">The NDSS supports </w:t>
            </w:r>
            <w:r w:rsidRPr="009434AE">
              <w:rPr>
                <w:rFonts w:ascii="Symbol" w:eastAsia="Symbol" w:hAnsi="Symbol" w:cstheme="minorHAnsi"/>
                <w:sz w:val="12"/>
                <w:szCs w:val="12"/>
              </w:rPr>
              <w:sym w:font="Symbol" w:char="F07E"/>
            </w:r>
            <w:r w:rsidRPr="009434AE">
              <w:rPr>
                <w:rFonts w:cstheme="minorHAnsi"/>
                <w:sz w:val="12"/>
                <w:szCs w:val="12"/>
              </w:rPr>
              <w:t>1.4 million Australians with diabetes. It delivered more than 5.7 million diabetes products in 2019–20, at a cost of more than $188 million.</w:t>
            </w:r>
          </w:p>
          <w:p w14:paraId="19108636" w14:textId="2CADC47A"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In July 2021 a new three-year $140 million agreement with Diabetes Australia to continue delivering the NDSS.</w:t>
            </w:r>
          </w:p>
          <w:p w14:paraId="29F98AC7" w14:textId="77777777"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State and Territory governments have agreed to cover the co-payments for pen needles or syringes purchased through the NDSS. This effectively means the needles and syringes are “free” to eligible people registered with the NDSS.</w:t>
            </w:r>
          </w:p>
        </w:tc>
        <w:tc>
          <w:tcPr>
            <w:tcW w:w="2260" w:type="dxa"/>
          </w:tcPr>
          <w:p w14:paraId="654DC0DE" w14:textId="77777777"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 xml:space="preserve">In the 2009 – 2010 Budget, the Australian Government committed $16.4m over four years to establish the National EB Dressing Scheme. The scheme supports people with EB who are most in need by improving access to appropriate dressings and bandages which can be costly. Dressings help reduce infection, </w:t>
            </w:r>
            <w:proofErr w:type="gramStart"/>
            <w:r w:rsidRPr="009434AE">
              <w:rPr>
                <w:rFonts w:cstheme="minorHAnsi"/>
                <w:sz w:val="12"/>
                <w:szCs w:val="12"/>
              </w:rPr>
              <w:t>complications</w:t>
            </w:r>
            <w:proofErr w:type="gramEnd"/>
            <w:r w:rsidRPr="009434AE">
              <w:rPr>
                <w:rFonts w:cstheme="minorHAnsi"/>
                <w:sz w:val="12"/>
                <w:szCs w:val="12"/>
              </w:rPr>
              <w:t xml:space="preserve"> and unnecessary hospitalisation.</w:t>
            </w:r>
          </w:p>
        </w:tc>
        <w:tc>
          <w:tcPr>
            <w:tcW w:w="2260" w:type="dxa"/>
          </w:tcPr>
          <w:p w14:paraId="72ECF6E9" w14:textId="75A3FC8A"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 xml:space="preserve">Under </w:t>
            </w:r>
            <w:proofErr w:type="gramStart"/>
            <w:r w:rsidRPr="009434AE">
              <w:rPr>
                <w:rFonts w:cstheme="minorHAnsi"/>
                <w:sz w:val="12"/>
                <w:szCs w:val="12"/>
              </w:rPr>
              <w:t>an</w:t>
            </w:r>
            <w:proofErr w:type="gramEnd"/>
            <w:r w:rsidRPr="009434AE">
              <w:rPr>
                <w:rFonts w:cstheme="minorHAnsi"/>
                <w:sz w:val="12"/>
                <w:szCs w:val="12"/>
              </w:rPr>
              <w:t xml:space="preserve"> NDIS </w:t>
            </w:r>
            <w:r w:rsidR="0080532F">
              <w:rPr>
                <w:rFonts w:cstheme="minorHAnsi"/>
                <w:sz w:val="12"/>
                <w:szCs w:val="12"/>
              </w:rPr>
              <w:t>p</w:t>
            </w:r>
            <w:r w:rsidRPr="009434AE">
              <w:rPr>
                <w:rFonts w:cstheme="minorHAnsi"/>
                <w:sz w:val="12"/>
                <w:szCs w:val="12"/>
              </w:rPr>
              <w:t xml:space="preserve">lan “Core budget” which is the most flexible there are four categories of support. One of the categories is “Consumables (e.g. purchasing everyday use items such as </w:t>
            </w:r>
            <w:r w:rsidR="00C341AB">
              <w:rPr>
                <w:rFonts w:cstheme="minorHAnsi"/>
                <w:sz w:val="12"/>
                <w:szCs w:val="12"/>
              </w:rPr>
              <w:t>CA</w:t>
            </w:r>
            <w:r w:rsidRPr="009434AE">
              <w:rPr>
                <w:rFonts w:cstheme="minorHAnsi"/>
                <w:sz w:val="12"/>
                <w:szCs w:val="12"/>
              </w:rPr>
              <w:t xml:space="preserve">). The consumables budget can be used to purchase reasonable and necessary everyday items valued at up to $1500. This may include single-use disposable items such as absorbent pads and some personal care items. Once an amount is allocated in </w:t>
            </w:r>
            <w:proofErr w:type="gramStart"/>
            <w:r w:rsidRPr="009434AE">
              <w:rPr>
                <w:rFonts w:cstheme="minorHAnsi"/>
                <w:sz w:val="12"/>
                <w:szCs w:val="12"/>
              </w:rPr>
              <w:t>an</w:t>
            </w:r>
            <w:proofErr w:type="gramEnd"/>
            <w:r w:rsidRPr="009434AE">
              <w:rPr>
                <w:rFonts w:cstheme="minorHAnsi"/>
                <w:sz w:val="12"/>
                <w:szCs w:val="12"/>
              </w:rPr>
              <w:t xml:space="preserve"> NDIS plan, a recipient can choose how to spend it, providing it relates to their disability support needs and meets the reasonable and necessary test.</w:t>
            </w:r>
          </w:p>
        </w:tc>
      </w:tr>
      <w:tr w:rsidR="00B473D9" w:rsidRPr="009434AE" w14:paraId="41044051" w14:textId="77777777" w:rsidTr="00B47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tcPr>
          <w:p w14:paraId="4FFF5E60" w14:textId="77777777" w:rsidR="00B473D9" w:rsidRPr="009434AE" w:rsidRDefault="00B473D9" w:rsidP="005C7AC1">
            <w:pPr>
              <w:spacing w:before="0" w:after="0"/>
              <w:rPr>
                <w:rFonts w:cstheme="minorHAnsi"/>
                <w:b w:val="0"/>
                <w:bCs/>
                <w:sz w:val="12"/>
                <w:szCs w:val="12"/>
              </w:rPr>
            </w:pPr>
            <w:r w:rsidRPr="009434AE">
              <w:rPr>
                <w:rFonts w:cstheme="minorHAnsi"/>
                <w:bCs/>
                <w:sz w:val="12"/>
                <w:szCs w:val="12"/>
              </w:rPr>
              <w:t>Eligibility</w:t>
            </w:r>
          </w:p>
        </w:tc>
        <w:tc>
          <w:tcPr>
            <w:tcW w:w="1482" w:type="dxa"/>
          </w:tcPr>
          <w:p w14:paraId="12D45E25"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The conditions that an individual must meet to qualify for the scheme.</w:t>
            </w:r>
          </w:p>
        </w:tc>
        <w:tc>
          <w:tcPr>
            <w:tcW w:w="2260" w:type="dxa"/>
          </w:tcPr>
          <w:p w14:paraId="782C800A"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A person must have a temporary or permanent artificial body opening (created surgically or otherwise, including a fistula that originates from the urinary or </w:t>
            </w:r>
            <w:r>
              <w:rPr>
                <w:rFonts w:cstheme="minorHAnsi"/>
                <w:sz w:val="12"/>
                <w:szCs w:val="12"/>
              </w:rPr>
              <w:t>GI</w:t>
            </w:r>
            <w:r w:rsidRPr="009434AE">
              <w:rPr>
                <w:rFonts w:cstheme="minorHAnsi"/>
                <w:sz w:val="12"/>
                <w:szCs w:val="12"/>
              </w:rPr>
              <w:t xml:space="preserve"> tract) which facilitates the removal of urine and/or products of the </w:t>
            </w:r>
            <w:r>
              <w:rPr>
                <w:rFonts w:cstheme="minorHAnsi"/>
                <w:sz w:val="12"/>
                <w:szCs w:val="12"/>
              </w:rPr>
              <w:t>GI</w:t>
            </w:r>
            <w:r w:rsidRPr="009434AE">
              <w:rPr>
                <w:rFonts w:cstheme="minorHAnsi"/>
                <w:sz w:val="12"/>
                <w:szCs w:val="12"/>
              </w:rPr>
              <w:t xml:space="preserve"> tract from the body where the person does not have normal </w:t>
            </w:r>
            <w:r>
              <w:rPr>
                <w:rFonts w:cstheme="minorHAnsi"/>
                <w:sz w:val="12"/>
                <w:szCs w:val="12"/>
              </w:rPr>
              <w:t>GI</w:t>
            </w:r>
            <w:r w:rsidRPr="009434AE">
              <w:rPr>
                <w:rFonts w:cstheme="minorHAnsi"/>
                <w:sz w:val="12"/>
                <w:szCs w:val="12"/>
              </w:rPr>
              <w:t xml:space="preserve"> tract or bladder functions, and provide evidence, consisting of a certificate </w:t>
            </w:r>
            <w:r w:rsidRPr="009434AE">
              <w:rPr>
                <w:rFonts w:cstheme="minorHAnsi"/>
                <w:sz w:val="12"/>
                <w:szCs w:val="12"/>
              </w:rPr>
              <w:lastRenderedPageBreak/>
              <w:t>from a registered medical practitioner or STN in an approved form (PB049)</w:t>
            </w:r>
          </w:p>
        </w:tc>
        <w:tc>
          <w:tcPr>
            <w:tcW w:w="2260" w:type="dxa"/>
          </w:tcPr>
          <w:p w14:paraId="5E38EE3A" w14:textId="21573A83"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lastRenderedPageBreak/>
              <w:t xml:space="preserve">The applicant has permanent and severe incontinence of bladder and/or bowel function due directly to an eligible neurological </w:t>
            </w:r>
            <w:proofErr w:type="gramStart"/>
            <w:r w:rsidRPr="009434AE">
              <w:rPr>
                <w:rFonts w:cstheme="minorHAnsi"/>
                <w:sz w:val="12"/>
                <w:szCs w:val="12"/>
              </w:rPr>
              <w:t>condition;</w:t>
            </w:r>
            <w:proofErr w:type="gramEnd"/>
          </w:p>
          <w:p w14:paraId="491804CE" w14:textId="2A6C844A"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OR</w:t>
            </w:r>
          </w:p>
          <w:p w14:paraId="397D3598"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The applicant has permanent and severe incontinence of bladder and/or bowel function caused by an eligible other condition, provided the applicant has a </w:t>
            </w:r>
            <w:r w:rsidRPr="009434AE">
              <w:rPr>
                <w:rFonts w:cstheme="minorHAnsi"/>
                <w:sz w:val="12"/>
                <w:szCs w:val="12"/>
              </w:rPr>
              <w:lastRenderedPageBreak/>
              <w:t>Centrelink or DVA Pensioner Concession Card entitlement.</w:t>
            </w:r>
          </w:p>
          <w:p w14:paraId="137DCB22"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To get paid under CAPS </w:t>
            </w:r>
            <w:proofErr w:type="gramStart"/>
            <w:r w:rsidRPr="009434AE">
              <w:rPr>
                <w:rFonts w:cstheme="minorHAnsi"/>
                <w:sz w:val="12"/>
                <w:szCs w:val="12"/>
              </w:rPr>
              <w:t>all of</w:t>
            </w:r>
            <w:proofErr w:type="gramEnd"/>
            <w:r w:rsidRPr="009434AE">
              <w:rPr>
                <w:rFonts w:cstheme="minorHAnsi"/>
                <w:sz w:val="12"/>
                <w:szCs w:val="12"/>
              </w:rPr>
              <w:t xml:space="preserve"> the following criteria must be met:</w:t>
            </w:r>
          </w:p>
          <w:p w14:paraId="5BE692B2" w14:textId="77777777" w:rsidR="00B473D9" w:rsidRPr="009434AE" w:rsidRDefault="00B473D9" w:rsidP="00E442CB">
            <w:pPr>
              <w:pStyle w:val="ListParagraph"/>
              <w:numPr>
                <w:ilvl w:val="0"/>
                <w:numId w:val="30"/>
              </w:numPr>
              <w:spacing w:before="0" w:after="0" w:line="259" w:lineRule="auto"/>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be 5 years or </w:t>
            </w:r>
            <w:proofErr w:type="gramStart"/>
            <w:r w:rsidRPr="009434AE">
              <w:rPr>
                <w:rFonts w:cstheme="minorHAnsi"/>
                <w:sz w:val="12"/>
                <w:szCs w:val="12"/>
              </w:rPr>
              <w:t>older</w:t>
            </w:r>
            <w:proofErr w:type="gramEnd"/>
          </w:p>
          <w:p w14:paraId="37968B1C" w14:textId="77777777" w:rsidR="00B473D9" w:rsidRPr="009434AE" w:rsidRDefault="00B473D9" w:rsidP="00E442CB">
            <w:pPr>
              <w:pStyle w:val="ListParagraph"/>
              <w:numPr>
                <w:ilvl w:val="0"/>
                <w:numId w:val="30"/>
              </w:numPr>
              <w:spacing w:before="0" w:after="0" w:line="259" w:lineRule="auto"/>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have permanent and severe incontinence confirmed by a registered health </w:t>
            </w:r>
            <w:proofErr w:type="gramStart"/>
            <w:r w:rsidRPr="009434AE">
              <w:rPr>
                <w:rFonts w:cstheme="minorHAnsi"/>
                <w:sz w:val="12"/>
                <w:szCs w:val="12"/>
              </w:rPr>
              <w:t>professional</w:t>
            </w:r>
            <w:proofErr w:type="gramEnd"/>
          </w:p>
          <w:p w14:paraId="25637FD9" w14:textId="77777777" w:rsidR="00B473D9" w:rsidRPr="009434AE" w:rsidRDefault="00B473D9" w:rsidP="00E442CB">
            <w:pPr>
              <w:pStyle w:val="ListParagraph"/>
              <w:numPr>
                <w:ilvl w:val="0"/>
                <w:numId w:val="30"/>
              </w:numPr>
              <w:spacing w:before="0" w:after="0" w:line="259" w:lineRule="auto"/>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be an Australian permanent resident or citizen for as long as you get the </w:t>
            </w:r>
            <w:proofErr w:type="gramStart"/>
            <w:r w:rsidRPr="009434AE">
              <w:rPr>
                <w:rFonts w:cstheme="minorHAnsi"/>
                <w:sz w:val="12"/>
                <w:szCs w:val="12"/>
              </w:rPr>
              <w:t>payment</w:t>
            </w:r>
            <w:proofErr w:type="gramEnd"/>
          </w:p>
          <w:p w14:paraId="752C7707" w14:textId="0FCAE329" w:rsidR="00B473D9" w:rsidRPr="009434AE" w:rsidRDefault="00B473D9" w:rsidP="00E442CB">
            <w:pPr>
              <w:pStyle w:val="ListParagraph"/>
              <w:numPr>
                <w:ilvl w:val="0"/>
                <w:numId w:val="30"/>
              </w:numPr>
              <w:spacing w:before="0" w:after="0" w:line="259" w:lineRule="auto"/>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have eligible neurological conditions or other conditions as mentioned on the </w:t>
            </w:r>
            <w:proofErr w:type="spellStart"/>
            <w:r w:rsidRPr="009434AE">
              <w:rPr>
                <w:rFonts w:cstheme="minorHAnsi"/>
                <w:sz w:val="12"/>
                <w:szCs w:val="12"/>
              </w:rPr>
              <w:t>D</w:t>
            </w:r>
            <w:r w:rsidR="006E2782">
              <w:rPr>
                <w:rFonts w:cstheme="minorHAnsi"/>
                <w:sz w:val="12"/>
                <w:szCs w:val="12"/>
              </w:rPr>
              <w:t>oHAC</w:t>
            </w:r>
            <w:proofErr w:type="spellEnd"/>
            <w:r w:rsidRPr="009434AE">
              <w:rPr>
                <w:rFonts w:cstheme="minorHAnsi"/>
                <w:sz w:val="12"/>
                <w:szCs w:val="12"/>
              </w:rPr>
              <w:t xml:space="preserve"> website.</w:t>
            </w:r>
          </w:p>
          <w:p w14:paraId="45DF4785"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If they have a non-neurological condition, they must also be a Pensioner Concession Card (Department or DVA)</w:t>
            </w:r>
          </w:p>
        </w:tc>
        <w:tc>
          <w:tcPr>
            <w:tcW w:w="2260" w:type="dxa"/>
          </w:tcPr>
          <w:p w14:paraId="21C79C73"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lastRenderedPageBreak/>
              <w:t>You can register for NDSS if:</w:t>
            </w:r>
          </w:p>
          <w:p w14:paraId="01C9A72C" w14:textId="77777777" w:rsidR="00B473D9" w:rsidRPr="009434AE" w:rsidRDefault="00B473D9" w:rsidP="00E442CB">
            <w:pPr>
              <w:pStyle w:val="ListParagraph"/>
              <w:numPr>
                <w:ilvl w:val="0"/>
                <w:numId w:val="38"/>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live in Australia or</w:t>
            </w:r>
          </w:p>
          <w:p w14:paraId="301EE9B9" w14:textId="2DEEAADB" w:rsidR="00B473D9" w:rsidRPr="009434AE" w:rsidRDefault="00B473D9" w:rsidP="00E442CB">
            <w:pPr>
              <w:pStyle w:val="ListParagraph"/>
              <w:numPr>
                <w:ilvl w:val="0"/>
                <w:numId w:val="38"/>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are a resident of a country with which Australia has a Reciprocal Health Care Agreement (and not visiting on a student visa if a resident of Finland, Malta, </w:t>
            </w:r>
            <w:proofErr w:type="gramStart"/>
            <w:r w:rsidRPr="009434AE">
              <w:rPr>
                <w:rFonts w:cstheme="minorHAnsi"/>
                <w:sz w:val="12"/>
                <w:szCs w:val="12"/>
              </w:rPr>
              <w:t>Norway</w:t>
            </w:r>
            <w:proofErr w:type="gramEnd"/>
            <w:r w:rsidRPr="009434AE">
              <w:rPr>
                <w:rFonts w:cstheme="minorHAnsi"/>
                <w:sz w:val="12"/>
                <w:szCs w:val="12"/>
              </w:rPr>
              <w:t xml:space="preserve"> or the Republic of Ireland)</w:t>
            </w:r>
            <w:r w:rsidR="00402896">
              <w:rPr>
                <w:rFonts w:cstheme="minorHAnsi"/>
                <w:sz w:val="12"/>
                <w:szCs w:val="12"/>
              </w:rPr>
              <w:t>.</w:t>
            </w:r>
          </w:p>
          <w:p w14:paraId="2CF93487" w14:textId="77777777" w:rsidR="00B473D9" w:rsidRPr="009434AE" w:rsidRDefault="00B473D9" w:rsidP="00E442CB">
            <w:pPr>
              <w:pStyle w:val="ListParagraph"/>
              <w:numPr>
                <w:ilvl w:val="0"/>
                <w:numId w:val="38"/>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lastRenderedPageBreak/>
              <w:t>have been diagnosed with any type of diabetes by a doctor or</w:t>
            </w:r>
          </w:p>
          <w:p w14:paraId="6F60F31C" w14:textId="77777777" w:rsidR="00B473D9" w:rsidRPr="009434AE" w:rsidRDefault="00B473D9" w:rsidP="00E442CB">
            <w:pPr>
              <w:pStyle w:val="ListParagraph"/>
              <w:numPr>
                <w:ilvl w:val="0"/>
                <w:numId w:val="38"/>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have other eligible conditions requiring regular monitoring of blood glucose levels and</w:t>
            </w:r>
          </w:p>
          <w:p w14:paraId="755B71BB" w14:textId="77777777" w:rsidR="00B473D9" w:rsidRPr="009434AE" w:rsidRDefault="00B473D9" w:rsidP="00E442CB">
            <w:pPr>
              <w:pStyle w:val="ListParagraph"/>
              <w:numPr>
                <w:ilvl w:val="0"/>
                <w:numId w:val="38"/>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hold (or are eligible to hold) a Medicare card or DVA card.</w:t>
            </w:r>
          </w:p>
          <w:p w14:paraId="5026F6D0"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People with type 1 diabetes, type 2 diabetes, gestational diabetes, or ‘other’ diabetes may apply to be registered with the NDSS. ‘</w:t>
            </w:r>
          </w:p>
        </w:tc>
        <w:tc>
          <w:tcPr>
            <w:tcW w:w="2260" w:type="dxa"/>
          </w:tcPr>
          <w:p w14:paraId="01D7685A"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lastRenderedPageBreak/>
              <w:t>Clinically diagnosed with EB and be an Australian citizen or resident who is eligible to receive Medicare benefits.</w:t>
            </w:r>
          </w:p>
          <w:p w14:paraId="3FCAEF8E"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People with all types of EB are eligible under the scheme.</w:t>
            </w:r>
          </w:p>
          <w:p w14:paraId="6754F087" w14:textId="77777777" w:rsidR="00B473D9" w:rsidRPr="009434AE" w:rsidRDefault="00B473D9" w:rsidP="00E442CB">
            <w:pPr>
              <w:pStyle w:val="ListParagraph"/>
              <w:numPr>
                <w:ilvl w:val="0"/>
                <w:numId w:val="39"/>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Proof of diagnosis is required:</w:t>
            </w:r>
          </w:p>
          <w:p w14:paraId="409C68FF" w14:textId="77777777" w:rsidR="00B473D9" w:rsidRPr="009434AE" w:rsidRDefault="00B473D9" w:rsidP="00E442CB">
            <w:pPr>
              <w:pStyle w:val="ListParagraph"/>
              <w:numPr>
                <w:ilvl w:val="0"/>
                <w:numId w:val="39"/>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skin biopsy testing results; or</w:t>
            </w:r>
          </w:p>
          <w:p w14:paraId="4B74E570" w14:textId="77777777" w:rsidR="00B473D9" w:rsidRPr="009434AE" w:rsidRDefault="00B473D9" w:rsidP="00E442CB">
            <w:pPr>
              <w:pStyle w:val="ListParagraph"/>
              <w:numPr>
                <w:ilvl w:val="0"/>
                <w:numId w:val="39"/>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genetic testing results; or</w:t>
            </w:r>
          </w:p>
          <w:p w14:paraId="5E92DB9E" w14:textId="77777777" w:rsidR="00B473D9" w:rsidRPr="009434AE" w:rsidRDefault="00B473D9" w:rsidP="00E442CB">
            <w:pPr>
              <w:pStyle w:val="ListParagraph"/>
              <w:numPr>
                <w:ilvl w:val="0"/>
                <w:numId w:val="39"/>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genetic testing results of a family member.</w:t>
            </w:r>
          </w:p>
          <w:p w14:paraId="430025BF"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lastRenderedPageBreak/>
              <w:t>The evidence must clearly state the diagnosis and subtype of EB for the family member. Sufficient evidence of family relationship (including birth certificates) and the probability of inheritance must also be supplied.</w:t>
            </w:r>
          </w:p>
          <w:p w14:paraId="77B4F90F"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Provisional access to the NEBDS can provided on clinical diagnosis by an Approved Specialist Health Care Professional or a multidisciplinary EB clinic.</w:t>
            </w:r>
          </w:p>
          <w:p w14:paraId="74C3AB22" w14:textId="07626ED4"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ascii="Segoe UI Symbol" w:hAnsi="Segoe UI Symbol" w:cs="Segoe UI Symbol"/>
                <w:sz w:val="12"/>
                <w:szCs w:val="12"/>
              </w:rPr>
              <w:t>➤</w:t>
            </w:r>
            <w:r w:rsidRPr="009434AE">
              <w:rPr>
                <w:rFonts w:cstheme="minorHAnsi"/>
                <w:sz w:val="12"/>
                <w:szCs w:val="12"/>
              </w:rPr>
              <w:t xml:space="preserve"> Note that clinical diagnosis must be followed by a skin biopsy, genetic </w:t>
            </w:r>
            <w:proofErr w:type="gramStart"/>
            <w:r w:rsidRPr="009434AE">
              <w:rPr>
                <w:rFonts w:cstheme="minorHAnsi"/>
                <w:sz w:val="12"/>
                <w:szCs w:val="12"/>
              </w:rPr>
              <w:t>testing</w:t>
            </w:r>
            <w:proofErr w:type="gramEnd"/>
            <w:r w:rsidRPr="009434AE">
              <w:rPr>
                <w:rFonts w:cstheme="minorHAnsi"/>
                <w:sz w:val="12"/>
                <w:szCs w:val="12"/>
              </w:rPr>
              <w:t xml:space="preserve"> or genetic tests of a family member:</w:t>
            </w:r>
          </w:p>
          <w:p w14:paraId="11892CC4"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within six (6) months of provisional approval; or</w:t>
            </w:r>
          </w:p>
          <w:p w14:paraId="568726F4"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within three (3) months for a newborn</w:t>
            </w:r>
          </w:p>
          <w:p w14:paraId="19EE50FC" w14:textId="66427B8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Where a new applicant’s eligibility to access the scheme is unclear (in accordance with the </w:t>
            </w:r>
            <w:r w:rsidR="00426202">
              <w:rPr>
                <w:rFonts w:cstheme="minorHAnsi"/>
                <w:sz w:val="12"/>
                <w:szCs w:val="12"/>
              </w:rPr>
              <w:t>e</w:t>
            </w:r>
            <w:r w:rsidRPr="009434AE">
              <w:rPr>
                <w:rFonts w:cstheme="minorHAnsi"/>
                <w:sz w:val="12"/>
                <w:szCs w:val="12"/>
              </w:rPr>
              <w:t xml:space="preserve">ligibility </w:t>
            </w:r>
            <w:r w:rsidR="00426202">
              <w:rPr>
                <w:rFonts w:cstheme="minorHAnsi"/>
                <w:sz w:val="12"/>
                <w:szCs w:val="12"/>
              </w:rPr>
              <w:t>g</w:t>
            </w:r>
            <w:r w:rsidRPr="009434AE">
              <w:rPr>
                <w:rFonts w:cstheme="minorHAnsi"/>
                <w:sz w:val="12"/>
                <w:szCs w:val="12"/>
              </w:rPr>
              <w:t>uidelines), the application can be referred to the Clinical Advisory Committee (CAC) who will assess the application and make a recommendation regarding eligibility to access the NEBDS. Please note, in these circumstances the approved specialist health care professional is required to provide a detailed letter clearly outlining the applicant’s case, their expert opinion of the EB sub type category, and any additional supporting evidence, including clinical photographs.</w:t>
            </w:r>
          </w:p>
        </w:tc>
        <w:tc>
          <w:tcPr>
            <w:tcW w:w="2260" w:type="dxa"/>
          </w:tcPr>
          <w:p w14:paraId="66A58E10" w14:textId="201BD66A"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lastRenderedPageBreak/>
              <w:t>Participant must be younger than 65, meet the residency requirements and disability requirements. Disability requirements include:</w:t>
            </w:r>
          </w:p>
          <w:p w14:paraId="7847F6B1" w14:textId="77777777" w:rsidR="00B473D9" w:rsidRPr="009434AE" w:rsidRDefault="00B473D9" w:rsidP="00E442CB">
            <w:pPr>
              <w:pStyle w:val="ListParagraph"/>
              <w:numPr>
                <w:ilvl w:val="0"/>
                <w:numId w:val="41"/>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Disability is caused by an impairment.</w:t>
            </w:r>
          </w:p>
          <w:p w14:paraId="7BCFE04E" w14:textId="77777777" w:rsidR="00B473D9" w:rsidRPr="009434AE" w:rsidRDefault="00B473D9" w:rsidP="00E442CB">
            <w:pPr>
              <w:pStyle w:val="ListParagraph"/>
              <w:numPr>
                <w:ilvl w:val="0"/>
                <w:numId w:val="41"/>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The impairment is likely to be permanent.</w:t>
            </w:r>
          </w:p>
          <w:p w14:paraId="70DD01DA" w14:textId="0EA92F1C" w:rsidR="00B473D9" w:rsidRPr="009434AE" w:rsidRDefault="00B473D9" w:rsidP="00E442CB">
            <w:pPr>
              <w:pStyle w:val="ListParagraph"/>
              <w:numPr>
                <w:ilvl w:val="0"/>
                <w:numId w:val="41"/>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The permanent impairment substantially reduces </w:t>
            </w:r>
            <w:r w:rsidR="00772B09" w:rsidRPr="009434AE">
              <w:rPr>
                <w:rFonts w:cstheme="minorHAnsi"/>
                <w:sz w:val="12"/>
                <w:szCs w:val="12"/>
              </w:rPr>
              <w:t>one’s</w:t>
            </w:r>
            <w:r w:rsidRPr="009434AE">
              <w:rPr>
                <w:rFonts w:cstheme="minorHAnsi"/>
                <w:sz w:val="12"/>
                <w:szCs w:val="12"/>
              </w:rPr>
              <w:t xml:space="preserve"> </w:t>
            </w:r>
            <w:r w:rsidRPr="009434AE">
              <w:rPr>
                <w:rFonts w:cstheme="minorHAnsi"/>
                <w:sz w:val="12"/>
                <w:szCs w:val="12"/>
              </w:rPr>
              <w:lastRenderedPageBreak/>
              <w:t>functional capacity to undertake one or more of the following activities: moving around, communicating, socialising, learning, or undertaking self-care or self-management tasks.</w:t>
            </w:r>
          </w:p>
          <w:p w14:paraId="699CE93A" w14:textId="77777777" w:rsidR="00B473D9" w:rsidRPr="009434AE" w:rsidRDefault="00B473D9" w:rsidP="00E442CB">
            <w:pPr>
              <w:pStyle w:val="ListParagraph"/>
              <w:numPr>
                <w:ilvl w:val="0"/>
                <w:numId w:val="41"/>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The permanent impairment affects their ability to work, study or take part in social life.</w:t>
            </w:r>
          </w:p>
          <w:p w14:paraId="43AC389A" w14:textId="77777777" w:rsidR="00B473D9" w:rsidRPr="009434AE" w:rsidRDefault="00B473D9" w:rsidP="00E442CB">
            <w:pPr>
              <w:pStyle w:val="ListParagraph"/>
              <w:numPr>
                <w:ilvl w:val="0"/>
                <w:numId w:val="41"/>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They will likely need support under the NDIS for their whole life.</w:t>
            </w:r>
          </w:p>
        </w:tc>
      </w:tr>
      <w:tr w:rsidR="00B473D9" w:rsidRPr="009434AE" w14:paraId="2ED219CF" w14:textId="77777777" w:rsidTr="00B473D9">
        <w:tc>
          <w:tcPr>
            <w:cnfStyle w:val="001000000000" w:firstRow="0" w:lastRow="0" w:firstColumn="1" w:lastColumn="0" w:oddVBand="0" w:evenVBand="0" w:oddHBand="0" w:evenHBand="0" w:firstRowFirstColumn="0" w:firstRowLastColumn="0" w:lastRowFirstColumn="0" w:lastRowLastColumn="0"/>
            <w:tcW w:w="1788" w:type="dxa"/>
          </w:tcPr>
          <w:p w14:paraId="5B242B21" w14:textId="77777777" w:rsidR="00B473D9" w:rsidRPr="009434AE" w:rsidRDefault="00B473D9" w:rsidP="005C7AC1">
            <w:pPr>
              <w:spacing w:before="0" w:after="0"/>
              <w:rPr>
                <w:rFonts w:cstheme="minorHAnsi"/>
                <w:b w:val="0"/>
                <w:bCs/>
                <w:sz w:val="12"/>
                <w:szCs w:val="12"/>
              </w:rPr>
            </w:pPr>
            <w:r w:rsidRPr="009434AE">
              <w:rPr>
                <w:rFonts w:cstheme="minorHAnsi"/>
                <w:bCs/>
                <w:sz w:val="12"/>
                <w:szCs w:val="12"/>
              </w:rPr>
              <w:lastRenderedPageBreak/>
              <w:t>Range of products and supports</w:t>
            </w:r>
          </w:p>
        </w:tc>
        <w:tc>
          <w:tcPr>
            <w:tcW w:w="1482" w:type="dxa"/>
          </w:tcPr>
          <w:p w14:paraId="15978AAD" w14:textId="77777777"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Types and diversity of stoma-related products offered through the scheme.</w:t>
            </w:r>
          </w:p>
        </w:tc>
        <w:tc>
          <w:tcPr>
            <w:tcW w:w="2260" w:type="dxa"/>
          </w:tcPr>
          <w:p w14:paraId="71AFC1B9" w14:textId="1F44EAC8" w:rsidR="00B473D9" w:rsidRPr="009434AE" w:rsidRDefault="00B473D9" w:rsidP="00E442CB">
            <w:pPr>
              <w:numPr>
                <w:ilvl w:val="0"/>
                <w:numId w:val="31"/>
              </w:numPr>
              <w:spacing w:before="0" w:after="0"/>
              <w:ind w:left="171" w:hanging="171"/>
              <w:contextualSpacing/>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 xml:space="preserve">3,792 stoma products and appliances listed on the </w:t>
            </w:r>
            <w:hyperlink r:id="rId72" w:history="1">
              <w:r w:rsidRPr="009434AE">
                <w:rPr>
                  <w:rFonts w:cstheme="minorHAnsi"/>
                  <w:color w:val="3B0083" w:themeColor="hyperlink"/>
                  <w:sz w:val="12"/>
                  <w:szCs w:val="12"/>
                  <w:u w:val="single"/>
                </w:rPr>
                <w:t>Stoma Appliance Scheme</w:t>
              </w:r>
            </w:hyperlink>
            <w:r w:rsidRPr="009434AE">
              <w:rPr>
                <w:rFonts w:cstheme="minorHAnsi"/>
                <w:sz w:val="12"/>
                <w:szCs w:val="12"/>
              </w:rPr>
              <w:t xml:space="preserve"> </w:t>
            </w:r>
          </w:p>
        </w:tc>
        <w:tc>
          <w:tcPr>
            <w:tcW w:w="2260" w:type="dxa"/>
          </w:tcPr>
          <w:p w14:paraId="7EA7BCDB" w14:textId="66FD5794"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Any continence products can be purchased with the provided CAPS funding.</w:t>
            </w:r>
          </w:p>
          <w:p w14:paraId="04051812" w14:textId="77777777"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A list of products is available on from Continence Foundation of Australia.</w:t>
            </w:r>
          </w:p>
        </w:tc>
        <w:tc>
          <w:tcPr>
            <w:tcW w:w="2260" w:type="dxa"/>
          </w:tcPr>
          <w:p w14:paraId="52791D6A" w14:textId="77777777"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NDSS subsidised products are available through NDSS Access Points (usually community pharmacies).</w:t>
            </w:r>
          </w:p>
          <w:p w14:paraId="0B6A522A" w14:textId="77777777"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The NDSS provides subsidised access to the following products for the management of diabetes:</w:t>
            </w:r>
          </w:p>
          <w:p w14:paraId="08DEC2E5" w14:textId="77777777" w:rsidR="00B473D9" w:rsidRPr="009434AE" w:rsidRDefault="00B473D9" w:rsidP="00E442CB">
            <w:pPr>
              <w:pStyle w:val="ListParagraph"/>
              <w:numPr>
                <w:ilvl w:val="0"/>
                <w:numId w:val="31"/>
              </w:numPr>
              <w:spacing w:before="0" w:after="0" w:line="259" w:lineRule="auto"/>
              <w:ind w:left="227" w:hanging="227"/>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lastRenderedPageBreak/>
              <w:t xml:space="preserve">syringes and needles (limit 1,200 syringes or </w:t>
            </w:r>
            <w:proofErr w:type="spellStart"/>
            <w:r w:rsidRPr="009434AE">
              <w:rPr>
                <w:rFonts w:cstheme="minorHAnsi"/>
                <w:sz w:val="12"/>
                <w:szCs w:val="12"/>
              </w:rPr>
              <w:t>pin</w:t>
            </w:r>
            <w:proofErr w:type="spellEnd"/>
            <w:r w:rsidRPr="009434AE">
              <w:rPr>
                <w:rFonts w:cstheme="minorHAnsi"/>
                <w:sz w:val="12"/>
                <w:szCs w:val="12"/>
              </w:rPr>
              <w:t xml:space="preserve"> needles or)</w:t>
            </w:r>
          </w:p>
          <w:p w14:paraId="64E7700E" w14:textId="77777777" w:rsidR="00B473D9" w:rsidRPr="009434AE" w:rsidRDefault="00B473D9" w:rsidP="00E442CB">
            <w:pPr>
              <w:pStyle w:val="ListParagraph"/>
              <w:numPr>
                <w:ilvl w:val="0"/>
                <w:numId w:val="31"/>
              </w:numPr>
              <w:spacing w:before="0" w:after="0" w:line="259" w:lineRule="auto"/>
              <w:ind w:left="227" w:hanging="227"/>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blood glucose test strips and urine test strips (limit is 900 strips) and/or</w:t>
            </w:r>
          </w:p>
          <w:p w14:paraId="1DC2B104" w14:textId="77777777" w:rsidR="00B473D9" w:rsidRPr="009434AE" w:rsidRDefault="00B473D9" w:rsidP="00E442CB">
            <w:pPr>
              <w:pStyle w:val="ListParagraph"/>
              <w:numPr>
                <w:ilvl w:val="0"/>
                <w:numId w:val="31"/>
              </w:numPr>
              <w:spacing w:before="0" w:after="0" w:line="259" w:lineRule="auto"/>
              <w:ind w:left="227" w:hanging="227"/>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 xml:space="preserve">insulin pump consumables (limits: 90 insulin pump </w:t>
            </w:r>
            <w:proofErr w:type="spellStart"/>
            <w:r w:rsidRPr="009434AE">
              <w:rPr>
                <w:rFonts w:cstheme="minorHAnsi"/>
                <w:sz w:val="12"/>
                <w:szCs w:val="12"/>
              </w:rPr>
              <w:t>cannulae</w:t>
            </w:r>
            <w:proofErr w:type="spellEnd"/>
            <w:r w:rsidRPr="009434AE">
              <w:rPr>
                <w:rFonts w:cstheme="minorHAnsi"/>
                <w:sz w:val="12"/>
                <w:szCs w:val="12"/>
              </w:rPr>
              <w:t xml:space="preserve"> and/or 90 insulin pump reservoirs/cartridges).</w:t>
            </w:r>
          </w:p>
          <w:p w14:paraId="510D9775" w14:textId="4CDE36F9" w:rsidR="00B473D9" w:rsidRPr="009434AE" w:rsidRDefault="00B473D9" w:rsidP="00E442CB">
            <w:pPr>
              <w:pStyle w:val="ListParagraph"/>
              <w:numPr>
                <w:ilvl w:val="0"/>
                <w:numId w:val="31"/>
              </w:numPr>
              <w:spacing w:before="0" w:after="0" w:line="259" w:lineRule="auto"/>
              <w:ind w:left="227" w:hanging="227"/>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continuous glucose monitoring products (limits based on use of device as advised by manufacturer).</w:t>
            </w:r>
          </w:p>
          <w:p w14:paraId="11783567" w14:textId="77777777"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The NDSS also provides support services for people with diabetes.</w:t>
            </w:r>
          </w:p>
          <w:p w14:paraId="4BA57859" w14:textId="77777777"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Supplies can be ordered at a NDSS Access Point.</w:t>
            </w:r>
          </w:p>
        </w:tc>
        <w:tc>
          <w:tcPr>
            <w:tcW w:w="2260" w:type="dxa"/>
          </w:tcPr>
          <w:p w14:paraId="2606D68F" w14:textId="2015B603"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lastRenderedPageBreak/>
              <w:t>An extensive list of dressings has been approved for subsidised supply to eligible applicants under the NEB DS. Currently 24 categories of products</w:t>
            </w:r>
          </w:p>
          <w:p w14:paraId="6F61F8D3" w14:textId="77777777"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 xml:space="preserve">Recipients can order dressings up to the amount of their Standard </w:t>
            </w:r>
            <w:r w:rsidRPr="009434AE">
              <w:rPr>
                <w:rFonts w:cstheme="minorHAnsi"/>
                <w:sz w:val="12"/>
                <w:szCs w:val="12"/>
              </w:rPr>
              <w:lastRenderedPageBreak/>
              <w:t>Order prescribed by their Treating Healthcare Professional.</w:t>
            </w:r>
          </w:p>
        </w:tc>
        <w:tc>
          <w:tcPr>
            <w:tcW w:w="2260" w:type="dxa"/>
          </w:tcPr>
          <w:p w14:paraId="1C939E6E" w14:textId="77777777"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lastRenderedPageBreak/>
              <w:t>Examples of the things that can be purchased under the NDIS Consumables budget include (related to stoma care):</w:t>
            </w:r>
          </w:p>
          <w:p w14:paraId="6631AB77" w14:textId="77777777" w:rsidR="00B473D9" w:rsidRPr="009434AE" w:rsidRDefault="00B473D9" w:rsidP="00E442CB">
            <w:pPr>
              <w:pStyle w:val="ListParagraph"/>
              <w:numPr>
                <w:ilvl w:val="0"/>
                <w:numId w:val="40"/>
              </w:numPr>
              <w:spacing w:before="0" w:after="0" w:line="259" w:lineRule="auto"/>
              <w:ind w:left="227" w:hanging="227"/>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Continence products (subject to meeting the age requirements)</w:t>
            </w:r>
          </w:p>
          <w:p w14:paraId="1A8BD557" w14:textId="77777777" w:rsidR="00B473D9" w:rsidRPr="009434AE" w:rsidRDefault="00B473D9" w:rsidP="00E442CB">
            <w:pPr>
              <w:pStyle w:val="ListParagraph"/>
              <w:numPr>
                <w:ilvl w:val="0"/>
                <w:numId w:val="40"/>
              </w:numPr>
              <w:spacing w:before="0" w:after="0" w:line="259" w:lineRule="auto"/>
              <w:ind w:left="227" w:hanging="227"/>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Catheters</w:t>
            </w:r>
          </w:p>
          <w:p w14:paraId="01842DAC" w14:textId="77777777" w:rsidR="00B473D9" w:rsidRPr="009434AE" w:rsidRDefault="00B473D9" w:rsidP="00E442CB">
            <w:pPr>
              <w:pStyle w:val="ListParagraph"/>
              <w:numPr>
                <w:ilvl w:val="0"/>
                <w:numId w:val="40"/>
              </w:numPr>
              <w:spacing w:before="0" w:after="0" w:line="259" w:lineRule="auto"/>
              <w:ind w:left="227" w:hanging="227"/>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lastRenderedPageBreak/>
              <w:t>Absorbent products and pads</w:t>
            </w:r>
          </w:p>
          <w:p w14:paraId="46D8C267" w14:textId="77777777" w:rsidR="00B473D9" w:rsidRPr="009434AE" w:rsidRDefault="00B473D9" w:rsidP="00E442CB">
            <w:pPr>
              <w:pStyle w:val="ListParagraph"/>
              <w:numPr>
                <w:ilvl w:val="0"/>
                <w:numId w:val="40"/>
              </w:numPr>
              <w:spacing w:before="0" w:after="0" w:line="259" w:lineRule="auto"/>
              <w:ind w:left="227" w:hanging="227"/>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Disability-related wound and skincare</w:t>
            </w:r>
          </w:p>
          <w:p w14:paraId="04A6B5A0" w14:textId="77777777" w:rsidR="00B473D9" w:rsidRPr="009434AE" w:rsidRDefault="00B473D9" w:rsidP="00E442CB">
            <w:pPr>
              <w:pStyle w:val="ListParagraph"/>
              <w:numPr>
                <w:ilvl w:val="0"/>
                <w:numId w:val="40"/>
              </w:numPr>
              <w:spacing w:before="0" w:after="0" w:line="259" w:lineRule="auto"/>
              <w:ind w:left="227" w:hanging="227"/>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Personal care and safety products</w:t>
            </w:r>
          </w:p>
          <w:p w14:paraId="0A926FA7" w14:textId="77777777" w:rsidR="00B473D9" w:rsidRPr="009434AE" w:rsidRDefault="00B473D9" w:rsidP="005C7AC1">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p>
        </w:tc>
      </w:tr>
      <w:tr w:rsidR="00B473D9" w:rsidRPr="009434AE" w14:paraId="64F1C506" w14:textId="77777777" w:rsidTr="00B47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tcPr>
          <w:p w14:paraId="4D34E042" w14:textId="77777777" w:rsidR="00B473D9" w:rsidRPr="009434AE" w:rsidRDefault="00B473D9" w:rsidP="005C7AC1">
            <w:pPr>
              <w:spacing w:before="0" w:after="0"/>
              <w:rPr>
                <w:rFonts w:cstheme="minorHAnsi"/>
                <w:b w:val="0"/>
                <w:bCs/>
                <w:sz w:val="12"/>
                <w:szCs w:val="12"/>
              </w:rPr>
            </w:pPr>
            <w:r w:rsidRPr="009434AE">
              <w:rPr>
                <w:rFonts w:cstheme="minorHAnsi"/>
                <w:bCs/>
                <w:sz w:val="12"/>
                <w:szCs w:val="12"/>
              </w:rPr>
              <w:lastRenderedPageBreak/>
              <w:t>Financial support</w:t>
            </w:r>
          </w:p>
        </w:tc>
        <w:tc>
          <w:tcPr>
            <w:tcW w:w="1482" w:type="dxa"/>
          </w:tcPr>
          <w:p w14:paraId="008C1773"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Level and type of financial assistance provided, including subsidies, grants, etc.</w:t>
            </w:r>
          </w:p>
        </w:tc>
        <w:tc>
          <w:tcPr>
            <w:tcW w:w="2260" w:type="dxa"/>
          </w:tcPr>
          <w:p w14:paraId="196C5798" w14:textId="77777777" w:rsidR="00B473D9" w:rsidRPr="009434AE" w:rsidRDefault="00B473D9" w:rsidP="00E442CB">
            <w:pPr>
              <w:numPr>
                <w:ilvl w:val="0"/>
                <w:numId w:val="31"/>
              </w:numPr>
              <w:spacing w:before="0" w:after="0"/>
              <w:ind w:left="170" w:hanging="17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Funding is provided (via associations) to cover the costs of stoma appliances and products.</w:t>
            </w:r>
          </w:p>
          <w:p w14:paraId="6C691A44" w14:textId="77777777" w:rsidR="00B473D9" w:rsidRPr="009434AE" w:rsidRDefault="00B473D9" w:rsidP="00E442CB">
            <w:pPr>
              <w:numPr>
                <w:ilvl w:val="0"/>
                <w:numId w:val="31"/>
              </w:numPr>
              <w:spacing w:before="0" w:after="0"/>
              <w:ind w:left="170" w:hanging="17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The </w:t>
            </w:r>
            <w:r>
              <w:rPr>
                <w:rFonts w:cstheme="minorHAnsi"/>
                <w:sz w:val="12"/>
                <w:szCs w:val="12"/>
              </w:rPr>
              <w:t>Scheme</w:t>
            </w:r>
            <w:r w:rsidRPr="009434AE">
              <w:rPr>
                <w:rFonts w:cstheme="minorHAnsi"/>
                <w:sz w:val="12"/>
                <w:szCs w:val="12"/>
              </w:rPr>
              <w:t xml:space="preserve"> Schedule specifies the maximum number of units available to participants under the Scheme monthly or annually.</w:t>
            </w:r>
          </w:p>
        </w:tc>
        <w:tc>
          <w:tcPr>
            <w:tcW w:w="2260" w:type="dxa"/>
          </w:tcPr>
          <w:p w14:paraId="172182F4"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The CAPS payment rate for 2023–24 is $676.50. The payment may increase or decrease a little every year following the Government’s budget process.</w:t>
            </w:r>
          </w:p>
        </w:tc>
        <w:tc>
          <w:tcPr>
            <w:tcW w:w="2260" w:type="dxa"/>
          </w:tcPr>
          <w:p w14:paraId="7BA97738" w14:textId="7607C701"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Products available up to the limits</w:t>
            </w:r>
            <w:r w:rsidR="005D3225">
              <w:rPr>
                <w:rFonts w:cstheme="minorHAnsi"/>
                <w:sz w:val="12"/>
                <w:szCs w:val="12"/>
              </w:rPr>
              <w:t>.</w:t>
            </w:r>
          </w:p>
        </w:tc>
        <w:tc>
          <w:tcPr>
            <w:tcW w:w="2260" w:type="dxa"/>
          </w:tcPr>
          <w:p w14:paraId="2F4FA278" w14:textId="7BF4647B"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A monthly supply of approved dressings is delivered to eligible recipients’ homes.</w:t>
            </w:r>
          </w:p>
          <w:p w14:paraId="1D18AAA4"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Recipients are required to contribute to the cost of their monthly supply of dressings. This contribution is equivalent to one PBS co-payment and the Australian Government meets the remaining costs. </w:t>
            </w:r>
          </w:p>
        </w:tc>
        <w:tc>
          <w:tcPr>
            <w:tcW w:w="2260" w:type="dxa"/>
          </w:tcPr>
          <w:p w14:paraId="56570F46" w14:textId="77777777" w:rsidR="00B473D9" w:rsidRPr="009434AE" w:rsidRDefault="00B473D9" w:rsidP="005C7AC1">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Annual plan. The consumables budget can be used to purchase reasonable and necessary everyday items valued at up to $1500</w:t>
            </w:r>
          </w:p>
        </w:tc>
      </w:tr>
      <w:tr w:rsidR="000979DC" w:rsidRPr="009434AE" w14:paraId="7ABC69B4" w14:textId="77777777" w:rsidTr="00B473D9">
        <w:tc>
          <w:tcPr>
            <w:cnfStyle w:val="001000000000" w:firstRow="0" w:lastRow="0" w:firstColumn="1" w:lastColumn="0" w:oddVBand="0" w:evenVBand="0" w:oddHBand="0" w:evenHBand="0" w:firstRowFirstColumn="0" w:firstRowLastColumn="0" w:lastRowFirstColumn="0" w:lastRowLastColumn="0"/>
            <w:tcW w:w="1788" w:type="dxa"/>
          </w:tcPr>
          <w:p w14:paraId="2A2053CB" w14:textId="77777777" w:rsidR="000979DC" w:rsidRPr="009434AE" w:rsidRDefault="000979DC" w:rsidP="000979DC">
            <w:pPr>
              <w:spacing w:before="0" w:after="0"/>
              <w:rPr>
                <w:rFonts w:cstheme="minorHAnsi"/>
                <w:b w:val="0"/>
                <w:bCs/>
                <w:sz w:val="12"/>
                <w:szCs w:val="12"/>
              </w:rPr>
            </w:pPr>
            <w:r w:rsidRPr="009434AE">
              <w:rPr>
                <w:rFonts w:cstheme="minorHAnsi"/>
                <w:bCs/>
                <w:sz w:val="12"/>
                <w:szCs w:val="12"/>
              </w:rPr>
              <w:t>Quality Assurance</w:t>
            </w:r>
          </w:p>
        </w:tc>
        <w:tc>
          <w:tcPr>
            <w:tcW w:w="1482" w:type="dxa"/>
          </w:tcPr>
          <w:p w14:paraId="353B59B4" w14:textId="77777777" w:rsidR="000979DC" w:rsidRPr="009434AE" w:rsidRDefault="000979DC" w:rsidP="000979DC">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Procedures in place to ensure the quality and safety of stoma appliances and other resources offered.</w:t>
            </w:r>
          </w:p>
        </w:tc>
        <w:tc>
          <w:tcPr>
            <w:tcW w:w="2260" w:type="dxa"/>
          </w:tcPr>
          <w:p w14:paraId="40ED28C1" w14:textId="3D75BE0D" w:rsidR="000979DC" w:rsidRPr="009434AE" w:rsidRDefault="000979DC" w:rsidP="00E442CB">
            <w:pPr>
              <w:numPr>
                <w:ilvl w:val="0"/>
                <w:numId w:val="31"/>
              </w:numPr>
              <w:spacing w:before="0" w:after="0"/>
              <w:ind w:left="170" w:hanging="17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 xml:space="preserve">Prior to their listing on the </w:t>
            </w:r>
            <w:r>
              <w:rPr>
                <w:rFonts w:cstheme="minorHAnsi"/>
                <w:sz w:val="12"/>
                <w:szCs w:val="12"/>
              </w:rPr>
              <w:t>Scheme</w:t>
            </w:r>
            <w:r w:rsidRPr="009434AE">
              <w:rPr>
                <w:rFonts w:cstheme="minorHAnsi"/>
                <w:sz w:val="12"/>
                <w:szCs w:val="12"/>
              </w:rPr>
              <w:t xml:space="preserve"> Schedule, products must be assessed by the SPAP </w:t>
            </w:r>
            <w:proofErr w:type="gramStart"/>
            <w:r w:rsidRPr="009434AE">
              <w:rPr>
                <w:rFonts w:cstheme="minorHAnsi"/>
                <w:sz w:val="12"/>
                <w:szCs w:val="12"/>
              </w:rPr>
              <w:t>on the basis of</w:t>
            </w:r>
            <w:proofErr w:type="gramEnd"/>
            <w:r w:rsidRPr="009434AE">
              <w:rPr>
                <w:rFonts w:cstheme="minorHAnsi"/>
                <w:sz w:val="12"/>
                <w:szCs w:val="12"/>
              </w:rPr>
              <w:t xml:space="preserve"> their comparative clinical function and effectiveness, comparative cost</w:t>
            </w:r>
            <w:r w:rsidR="00C472E4">
              <w:rPr>
                <w:rFonts w:cstheme="minorHAnsi"/>
                <w:sz w:val="12"/>
                <w:szCs w:val="12"/>
              </w:rPr>
              <w:t>-</w:t>
            </w:r>
            <w:r w:rsidRPr="009434AE">
              <w:rPr>
                <w:rFonts w:cstheme="minorHAnsi"/>
                <w:sz w:val="12"/>
                <w:szCs w:val="12"/>
              </w:rPr>
              <w:t>effectiveness and comparative safety.</w:t>
            </w:r>
          </w:p>
          <w:p w14:paraId="65415033" w14:textId="77777777" w:rsidR="000979DC" w:rsidRPr="009434AE" w:rsidRDefault="000979DC" w:rsidP="00E442CB">
            <w:pPr>
              <w:numPr>
                <w:ilvl w:val="0"/>
                <w:numId w:val="31"/>
              </w:numPr>
              <w:spacing w:before="0" w:after="0"/>
              <w:ind w:left="170" w:hanging="17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 xml:space="preserve">Products approved for listing will be published on the </w:t>
            </w:r>
            <w:r>
              <w:rPr>
                <w:rFonts w:cstheme="minorHAnsi"/>
                <w:sz w:val="12"/>
                <w:szCs w:val="12"/>
              </w:rPr>
              <w:t>Scheme</w:t>
            </w:r>
            <w:r w:rsidRPr="009434AE">
              <w:rPr>
                <w:rFonts w:cstheme="minorHAnsi"/>
                <w:sz w:val="12"/>
                <w:szCs w:val="12"/>
              </w:rPr>
              <w:t xml:space="preserve"> Schedule.</w:t>
            </w:r>
          </w:p>
          <w:p w14:paraId="15AE9770" w14:textId="77777777" w:rsidR="000979DC" w:rsidRPr="009434AE" w:rsidRDefault="000979DC" w:rsidP="00E442CB">
            <w:pPr>
              <w:numPr>
                <w:ilvl w:val="0"/>
                <w:numId w:val="31"/>
              </w:numPr>
              <w:spacing w:before="0" w:after="0"/>
              <w:ind w:left="170" w:hanging="17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Stoma associations must comply with the Stoma Appliance Scheme Operational Guidelines and reporting requirements.</w:t>
            </w:r>
          </w:p>
        </w:tc>
        <w:tc>
          <w:tcPr>
            <w:tcW w:w="2260" w:type="dxa"/>
          </w:tcPr>
          <w:p w14:paraId="65F44E2B" w14:textId="2DD26F6D" w:rsidR="000979DC" w:rsidRPr="000979DC" w:rsidRDefault="000979DC" w:rsidP="000979DC">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0979DC">
              <w:rPr>
                <w:rFonts w:cstheme="minorHAnsi"/>
                <w:sz w:val="12"/>
                <w:szCs w:val="12"/>
              </w:rPr>
              <w:t>Information not available.</w:t>
            </w:r>
          </w:p>
        </w:tc>
        <w:tc>
          <w:tcPr>
            <w:tcW w:w="2260" w:type="dxa"/>
          </w:tcPr>
          <w:p w14:paraId="6867C772" w14:textId="0C154AE3" w:rsidR="000979DC" w:rsidRPr="000979DC" w:rsidRDefault="000979DC" w:rsidP="000979DC">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0979DC">
              <w:rPr>
                <w:rFonts w:cstheme="minorHAnsi"/>
                <w:sz w:val="12"/>
                <w:szCs w:val="12"/>
              </w:rPr>
              <w:t>Information not available.</w:t>
            </w:r>
          </w:p>
        </w:tc>
        <w:tc>
          <w:tcPr>
            <w:tcW w:w="2260" w:type="dxa"/>
          </w:tcPr>
          <w:p w14:paraId="705B5BF8" w14:textId="6C0D1A33" w:rsidR="000979DC" w:rsidRPr="000979DC" w:rsidRDefault="000979DC" w:rsidP="000979DC">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0979DC">
              <w:rPr>
                <w:rFonts w:cstheme="minorHAnsi"/>
                <w:sz w:val="12"/>
                <w:szCs w:val="12"/>
              </w:rPr>
              <w:t>Information not available.</w:t>
            </w:r>
          </w:p>
        </w:tc>
        <w:tc>
          <w:tcPr>
            <w:tcW w:w="2260" w:type="dxa"/>
          </w:tcPr>
          <w:p w14:paraId="7BE42716" w14:textId="1F228092" w:rsidR="000979DC" w:rsidRPr="009434AE" w:rsidRDefault="000979DC" w:rsidP="000979DC">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 xml:space="preserve">NDIS Plans are developed in consultation with the NDIS participant with early childhood partner, a Local Area Coordinator (LAC) or </w:t>
            </w:r>
            <w:proofErr w:type="gramStart"/>
            <w:r w:rsidRPr="009434AE">
              <w:rPr>
                <w:rFonts w:cstheme="minorHAnsi"/>
                <w:sz w:val="12"/>
                <w:szCs w:val="12"/>
              </w:rPr>
              <w:t>an</w:t>
            </w:r>
            <w:proofErr w:type="gramEnd"/>
            <w:r w:rsidRPr="009434AE">
              <w:rPr>
                <w:rFonts w:cstheme="minorHAnsi"/>
                <w:sz w:val="12"/>
                <w:szCs w:val="12"/>
              </w:rPr>
              <w:t xml:space="preserve"> N</w:t>
            </w:r>
            <w:r w:rsidR="00EF36DF">
              <w:rPr>
                <w:rFonts w:cstheme="minorHAnsi"/>
                <w:sz w:val="12"/>
                <w:szCs w:val="12"/>
              </w:rPr>
              <w:t>ational Disability Insurance Agency (NDIA)</w:t>
            </w:r>
            <w:r w:rsidRPr="009434AE">
              <w:rPr>
                <w:rFonts w:cstheme="minorHAnsi"/>
                <w:sz w:val="12"/>
                <w:szCs w:val="12"/>
              </w:rPr>
              <w:t xml:space="preserve"> planner.</w:t>
            </w:r>
          </w:p>
        </w:tc>
      </w:tr>
      <w:tr w:rsidR="000979DC" w:rsidRPr="009434AE" w14:paraId="3E269BF3" w14:textId="77777777" w:rsidTr="00B47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tcPr>
          <w:p w14:paraId="29302231" w14:textId="77777777" w:rsidR="000979DC" w:rsidRPr="009434AE" w:rsidRDefault="000979DC" w:rsidP="000979DC">
            <w:pPr>
              <w:spacing w:before="0" w:after="0"/>
              <w:rPr>
                <w:rFonts w:cstheme="minorHAnsi"/>
                <w:b w:val="0"/>
                <w:bCs/>
                <w:sz w:val="12"/>
                <w:szCs w:val="12"/>
              </w:rPr>
            </w:pPr>
            <w:r w:rsidRPr="009434AE">
              <w:rPr>
                <w:rFonts w:cstheme="minorHAnsi"/>
                <w:bCs/>
                <w:sz w:val="12"/>
                <w:szCs w:val="12"/>
              </w:rPr>
              <w:t>Requirements for Providers</w:t>
            </w:r>
          </w:p>
        </w:tc>
        <w:tc>
          <w:tcPr>
            <w:tcW w:w="1482" w:type="dxa"/>
          </w:tcPr>
          <w:p w14:paraId="369C78C2" w14:textId="77777777" w:rsidR="000979DC" w:rsidRPr="009434AE" w:rsidRDefault="000979DC" w:rsidP="000979DC">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Criteria and responsibilities that providers of the </w:t>
            </w:r>
            <w:r w:rsidRPr="009434AE">
              <w:rPr>
                <w:rFonts w:cstheme="minorHAnsi"/>
                <w:sz w:val="12"/>
                <w:szCs w:val="12"/>
              </w:rPr>
              <w:lastRenderedPageBreak/>
              <w:t>scheme must fulfill, including eligibility and dispute resolution.</w:t>
            </w:r>
          </w:p>
        </w:tc>
        <w:tc>
          <w:tcPr>
            <w:tcW w:w="2260" w:type="dxa"/>
          </w:tcPr>
          <w:p w14:paraId="2BD184D7" w14:textId="1F814BDD" w:rsidR="000979DC" w:rsidRPr="009434AE" w:rsidRDefault="000979DC" w:rsidP="00E442CB">
            <w:pPr>
              <w:numPr>
                <w:ilvl w:val="0"/>
                <w:numId w:val="31"/>
              </w:numPr>
              <w:spacing w:before="0" w:after="0"/>
              <w:ind w:left="170" w:hanging="17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lastRenderedPageBreak/>
              <w:t>A sponsor of a stoma-related product must have an A</w:t>
            </w:r>
            <w:r w:rsidR="004138A3">
              <w:rPr>
                <w:rFonts w:cstheme="minorHAnsi"/>
                <w:sz w:val="12"/>
                <w:szCs w:val="12"/>
              </w:rPr>
              <w:t>BN</w:t>
            </w:r>
            <w:r w:rsidRPr="009434AE">
              <w:rPr>
                <w:rFonts w:cstheme="minorHAnsi"/>
                <w:sz w:val="12"/>
                <w:szCs w:val="12"/>
              </w:rPr>
              <w:t xml:space="preserve"> and </w:t>
            </w:r>
            <w:r w:rsidRPr="009434AE">
              <w:rPr>
                <w:rFonts w:cstheme="minorHAnsi"/>
                <w:sz w:val="12"/>
                <w:szCs w:val="12"/>
              </w:rPr>
              <w:lastRenderedPageBreak/>
              <w:t>be able to guarantee supply of the product.</w:t>
            </w:r>
          </w:p>
          <w:p w14:paraId="1FE20832" w14:textId="7838A329" w:rsidR="000979DC" w:rsidRPr="009434AE" w:rsidRDefault="000979DC" w:rsidP="00E442CB">
            <w:pPr>
              <w:numPr>
                <w:ilvl w:val="0"/>
                <w:numId w:val="31"/>
              </w:numPr>
              <w:spacing w:before="0" w:after="0"/>
              <w:ind w:left="170" w:hanging="17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Products must be registered on the A</w:t>
            </w:r>
            <w:r w:rsidR="004138A3">
              <w:rPr>
                <w:rFonts w:cstheme="minorHAnsi"/>
                <w:sz w:val="12"/>
                <w:szCs w:val="12"/>
              </w:rPr>
              <w:t>RTG</w:t>
            </w:r>
            <w:r w:rsidRPr="009434AE">
              <w:rPr>
                <w:rFonts w:cstheme="minorHAnsi"/>
                <w:sz w:val="12"/>
                <w:szCs w:val="12"/>
              </w:rPr>
              <w:t>.</w:t>
            </w:r>
          </w:p>
        </w:tc>
        <w:tc>
          <w:tcPr>
            <w:tcW w:w="2260" w:type="dxa"/>
          </w:tcPr>
          <w:p w14:paraId="3D6122B5" w14:textId="77777777" w:rsidR="000979DC" w:rsidRPr="009434AE" w:rsidRDefault="000979DC" w:rsidP="000979DC">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lastRenderedPageBreak/>
              <w:t xml:space="preserve">CAPS applicants are required to obtain a continence assessment from an appropriate Health </w:t>
            </w:r>
            <w:r w:rsidRPr="009434AE">
              <w:rPr>
                <w:rFonts w:cstheme="minorHAnsi"/>
                <w:sz w:val="12"/>
                <w:szCs w:val="12"/>
              </w:rPr>
              <w:lastRenderedPageBreak/>
              <w:t xml:space="preserve">Professional who cannot be a family member. A Health Professional should only complete the Health Report (Section 3) of the CAPS Application Form if they are able to make an accurate assessment of the applicant in relation to their incontinence and the cause of their incontinence. The Health Professional’s assessment must be based on evidence that the applicant has been diagnosed with an eligible neurological condition or an eligible other condition. </w:t>
            </w:r>
          </w:p>
        </w:tc>
        <w:tc>
          <w:tcPr>
            <w:tcW w:w="2260" w:type="dxa"/>
          </w:tcPr>
          <w:p w14:paraId="527D4A9A" w14:textId="69BFC941" w:rsidR="000979DC" w:rsidRPr="009434AE" w:rsidRDefault="000979DC" w:rsidP="000979DC">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lastRenderedPageBreak/>
              <w:t xml:space="preserve">The NDSS Registration Form can be completed and certified online by a health professional through the </w:t>
            </w:r>
            <w:r w:rsidRPr="009434AE">
              <w:rPr>
                <w:rFonts w:cstheme="minorHAnsi"/>
                <w:sz w:val="12"/>
                <w:szCs w:val="12"/>
              </w:rPr>
              <w:lastRenderedPageBreak/>
              <w:t>new NDSS Health Professional Portal or by using the form available to print from the NDSS website.</w:t>
            </w:r>
          </w:p>
          <w:p w14:paraId="2BA3CF69" w14:textId="77777777" w:rsidR="000979DC" w:rsidRPr="009434AE" w:rsidRDefault="000979DC" w:rsidP="000979DC">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Once completed by a health professional, the form is processed, and if all required information is supplied, confirmed within minutes. If a printed form is submitted, it can take up to seven days on receipt, to be processed and confirmation sent.</w:t>
            </w:r>
          </w:p>
          <w:p w14:paraId="4658C457" w14:textId="77777777" w:rsidR="000979DC" w:rsidRPr="009434AE" w:rsidRDefault="000979DC" w:rsidP="000979DC">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An authorised health professional such as doctor, endocrinologist, obstetrician, credentialled nurse educator, nurse practitioner or practice nurse.</w:t>
            </w:r>
          </w:p>
        </w:tc>
        <w:tc>
          <w:tcPr>
            <w:tcW w:w="2260" w:type="dxa"/>
          </w:tcPr>
          <w:p w14:paraId="5671053C" w14:textId="4ECDA67D" w:rsidR="000979DC" w:rsidRPr="009434AE" w:rsidRDefault="000979DC" w:rsidP="000979DC">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0979DC">
              <w:rPr>
                <w:rFonts w:cstheme="minorHAnsi"/>
                <w:sz w:val="12"/>
                <w:szCs w:val="12"/>
              </w:rPr>
              <w:lastRenderedPageBreak/>
              <w:t>Information not available.</w:t>
            </w:r>
          </w:p>
        </w:tc>
        <w:tc>
          <w:tcPr>
            <w:tcW w:w="2260" w:type="dxa"/>
          </w:tcPr>
          <w:p w14:paraId="48E2C183" w14:textId="236A6EA5" w:rsidR="000979DC" w:rsidRPr="009434AE" w:rsidRDefault="000979DC" w:rsidP="000979DC">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Have input to NDIS application process (Section 2) describing the </w:t>
            </w:r>
            <w:r w:rsidRPr="009434AE">
              <w:rPr>
                <w:rFonts w:cstheme="minorHAnsi"/>
                <w:sz w:val="12"/>
                <w:szCs w:val="12"/>
              </w:rPr>
              <w:lastRenderedPageBreak/>
              <w:t>disability and needs of the potential participant</w:t>
            </w:r>
            <w:r w:rsidR="005D3225">
              <w:rPr>
                <w:rFonts w:cstheme="minorHAnsi"/>
                <w:sz w:val="12"/>
                <w:szCs w:val="12"/>
              </w:rPr>
              <w:t>.</w:t>
            </w:r>
          </w:p>
        </w:tc>
      </w:tr>
      <w:tr w:rsidR="000979DC" w:rsidRPr="009434AE" w14:paraId="52EB50FC" w14:textId="77777777" w:rsidTr="00B473D9">
        <w:tc>
          <w:tcPr>
            <w:cnfStyle w:val="001000000000" w:firstRow="0" w:lastRow="0" w:firstColumn="1" w:lastColumn="0" w:oddVBand="0" w:evenVBand="0" w:oddHBand="0" w:evenHBand="0" w:firstRowFirstColumn="0" w:firstRowLastColumn="0" w:lastRowFirstColumn="0" w:lastRowLastColumn="0"/>
            <w:tcW w:w="1788" w:type="dxa"/>
          </w:tcPr>
          <w:p w14:paraId="6A399F8D" w14:textId="77777777" w:rsidR="000979DC" w:rsidRPr="009434AE" w:rsidRDefault="000979DC" w:rsidP="000979DC">
            <w:pPr>
              <w:spacing w:before="0" w:after="0"/>
              <w:rPr>
                <w:rFonts w:cstheme="minorHAnsi"/>
                <w:b w:val="0"/>
                <w:bCs/>
                <w:sz w:val="12"/>
                <w:szCs w:val="12"/>
              </w:rPr>
            </w:pPr>
            <w:r w:rsidRPr="009434AE">
              <w:rPr>
                <w:rFonts w:cstheme="minorHAnsi"/>
                <w:bCs/>
                <w:sz w:val="12"/>
                <w:szCs w:val="12"/>
              </w:rPr>
              <w:lastRenderedPageBreak/>
              <w:t>Requirements for Participants</w:t>
            </w:r>
          </w:p>
        </w:tc>
        <w:tc>
          <w:tcPr>
            <w:tcW w:w="1482" w:type="dxa"/>
          </w:tcPr>
          <w:p w14:paraId="3FAAE21A" w14:textId="77777777" w:rsidR="000979DC" w:rsidRPr="009434AE" w:rsidRDefault="000979DC" w:rsidP="000979DC">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Conditions and procedures that individual participants must adhere to for successful enrolment and ongoing participation.</w:t>
            </w:r>
          </w:p>
        </w:tc>
        <w:tc>
          <w:tcPr>
            <w:tcW w:w="2260" w:type="dxa"/>
          </w:tcPr>
          <w:p w14:paraId="19B0DF48" w14:textId="77777777" w:rsidR="000979DC" w:rsidRPr="009434AE" w:rsidRDefault="000979DC" w:rsidP="00E442CB">
            <w:pPr>
              <w:numPr>
                <w:ilvl w:val="0"/>
                <w:numId w:val="31"/>
              </w:numPr>
              <w:spacing w:before="0" w:after="0"/>
              <w:ind w:left="170" w:hanging="17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A participant must be a current financial member of an approved stoma association.</w:t>
            </w:r>
          </w:p>
          <w:p w14:paraId="31728CD9" w14:textId="77777777" w:rsidR="000979DC" w:rsidRPr="009434AE" w:rsidRDefault="000979DC" w:rsidP="00E442CB">
            <w:pPr>
              <w:numPr>
                <w:ilvl w:val="0"/>
                <w:numId w:val="31"/>
              </w:numPr>
              <w:spacing w:before="0" w:after="0"/>
              <w:ind w:left="170" w:hanging="17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 xml:space="preserve">A participant must only use products supplied through the </w:t>
            </w:r>
            <w:r>
              <w:rPr>
                <w:rFonts w:cstheme="minorHAnsi"/>
                <w:sz w:val="12"/>
                <w:szCs w:val="12"/>
              </w:rPr>
              <w:t>Scheme</w:t>
            </w:r>
            <w:r w:rsidRPr="009434AE">
              <w:rPr>
                <w:rFonts w:cstheme="minorHAnsi"/>
                <w:sz w:val="12"/>
                <w:szCs w:val="12"/>
              </w:rPr>
              <w:t xml:space="preserve"> for their own personal use.</w:t>
            </w:r>
          </w:p>
        </w:tc>
        <w:tc>
          <w:tcPr>
            <w:tcW w:w="2260" w:type="dxa"/>
          </w:tcPr>
          <w:p w14:paraId="12922372" w14:textId="77777777" w:rsidR="000979DC" w:rsidRPr="009434AE" w:rsidRDefault="000979DC" w:rsidP="000979DC">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 xml:space="preserve">CAPS clients do not need to reapply each financial </w:t>
            </w:r>
            <w:proofErr w:type="gramStart"/>
            <w:r w:rsidRPr="009434AE">
              <w:rPr>
                <w:rFonts w:cstheme="minorHAnsi"/>
                <w:sz w:val="12"/>
                <w:szCs w:val="12"/>
              </w:rPr>
              <w:t>year,</w:t>
            </w:r>
            <w:proofErr w:type="gramEnd"/>
            <w:r w:rsidRPr="009434AE">
              <w:rPr>
                <w:rFonts w:cstheme="minorHAnsi"/>
                <w:sz w:val="12"/>
                <w:szCs w:val="12"/>
              </w:rPr>
              <w:t xml:space="preserve"> however it is advisable for children aged 5 years to 15 years to have their continence reassessed at least every 2 years by a Health Professional.</w:t>
            </w:r>
          </w:p>
        </w:tc>
        <w:tc>
          <w:tcPr>
            <w:tcW w:w="2260" w:type="dxa"/>
          </w:tcPr>
          <w:p w14:paraId="0B669240" w14:textId="77777777" w:rsidR="000979DC" w:rsidRPr="009434AE" w:rsidRDefault="000979DC" w:rsidP="000979DC">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Registration with the NDSS is free all eligible individuals and only needs to be done once.</w:t>
            </w:r>
          </w:p>
          <w:p w14:paraId="79055FD0" w14:textId="77777777" w:rsidR="000979DC" w:rsidRPr="009434AE" w:rsidRDefault="000979DC" w:rsidP="000979DC">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p>
        </w:tc>
        <w:tc>
          <w:tcPr>
            <w:tcW w:w="2260" w:type="dxa"/>
          </w:tcPr>
          <w:p w14:paraId="5E39A21A" w14:textId="6D7CD1AA" w:rsidR="000979DC" w:rsidRPr="009434AE" w:rsidRDefault="000979DC" w:rsidP="000979DC">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0979DC">
              <w:rPr>
                <w:rFonts w:cstheme="minorHAnsi"/>
                <w:sz w:val="12"/>
                <w:szCs w:val="12"/>
              </w:rPr>
              <w:t>Information not available.</w:t>
            </w:r>
          </w:p>
        </w:tc>
        <w:tc>
          <w:tcPr>
            <w:tcW w:w="2260" w:type="dxa"/>
          </w:tcPr>
          <w:p w14:paraId="640C9CE1" w14:textId="45237E64" w:rsidR="000979DC" w:rsidRPr="009434AE" w:rsidRDefault="000979DC" w:rsidP="000979DC">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Complete the form and attend meeting with the allocated planner</w:t>
            </w:r>
            <w:r w:rsidR="005D3225">
              <w:rPr>
                <w:rFonts w:cstheme="minorHAnsi"/>
                <w:sz w:val="12"/>
                <w:szCs w:val="12"/>
              </w:rPr>
              <w:t>.</w:t>
            </w:r>
            <w:r w:rsidRPr="009434AE">
              <w:rPr>
                <w:rFonts w:cstheme="minorHAnsi"/>
                <w:sz w:val="12"/>
                <w:szCs w:val="12"/>
              </w:rPr>
              <w:t xml:space="preserve"> </w:t>
            </w:r>
          </w:p>
        </w:tc>
      </w:tr>
      <w:tr w:rsidR="009702E5" w:rsidRPr="009434AE" w14:paraId="67472512" w14:textId="77777777" w:rsidTr="00B47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tcPr>
          <w:p w14:paraId="288EA6F2" w14:textId="77777777" w:rsidR="009702E5" w:rsidRPr="009434AE" w:rsidRDefault="009702E5" w:rsidP="009702E5">
            <w:pPr>
              <w:spacing w:before="0" w:after="0"/>
              <w:rPr>
                <w:rFonts w:cstheme="minorHAnsi"/>
                <w:b w:val="0"/>
                <w:bCs/>
                <w:sz w:val="12"/>
                <w:szCs w:val="12"/>
              </w:rPr>
            </w:pPr>
            <w:r w:rsidRPr="009434AE">
              <w:rPr>
                <w:rFonts w:cstheme="minorHAnsi"/>
                <w:bCs/>
                <w:sz w:val="12"/>
                <w:szCs w:val="12"/>
              </w:rPr>
              <w:t>Fees and Charges</w:t>
            </w:r>
          </w:p>
        </w:tc>
        <w:tc>
          <w:tcPr>
            <w:tcW w:w="1482" w:type="dxa"/>
          </w:tcPr>
          <w:p w14:paraId="03A74BC3" w14:textId="77777777"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Details on any access or membership fees associated with participating in the scheme.</w:t>
            </w:r>
          </w:p>
        </w:tc>
        <w:tc>
          <w:tcPr>
            <w:tcW w:w="2260" w:type="dxa"/>
          </w:tcPr>
          <w:p w14:paraId="44123402" w14:textId="77777777" w:rsidR="009702E5" w:rsidRPr="009434AE" w:rsidRDefault="009702E5" w:rsidP="00E442CB">
            <w:pPr>
              <w:numPr>
                <w:ilvl w:val="0"/>
                <w:numId w:val="31"/>
              </w:numPr>
              <w:spacing w:before="0" w:after="0" w:line="259" w:lineRule="auto"/>
              <w:ind w:left="170" w:hanging="17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Annual stoma association membership fee – set by associations (e.g. NSW Stoma membership is $65 for concession holders and $75 for full members)</w:t>
            </w:r>
          </w:p>
          <w:p w14:paraId="09620519" w14:textId="4218DB8E" w:rsidR="009702E5" w:rsidRPr="009434AE" w:rsidRDefault="009702E5" w:rsidP="00E442CB">
            <w:pPr>
              <w:numPr>
                <w:ilvl w:val="0"/>
                <w:numId w:val="31"/>
              </w:numPr>
              <w:spacing w:before="0" w:after="0" w:line="259" w:lineRule="auto"/>
              <w:ind w:left="170" w:hanging="17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Participants are responsible for any costs (e.g. postage and handling costs) associated with obtaining stoma</w:t>
            </w:r>
            <w:r w:rsidR="006A0BD8">
              <w:rPr>
                <w:rFonts w:cstheme="minorHAnsi"/>
                <w:sz w:val="12"/>
                <w:szCs w:val="12"/>
              </w:rPr>
              <w:t>-</w:t>
            </w:r>
            <w:r w:rsidRPr="009434AE">
              <w:rPr>
                <w:rFonts w:cstheme="minorHAnsi"/>
                <w:sz w:val="12"/>
                <w:szCs w:val="12"/>
              </w:rPr>
              <w:t>related products.</w:t>
            </w:r>
          </w:p>
        </w:tc>
        <w:tc>
          <w:tcPr>
            <w:tcW w:w="2260" w:type="dxa"/>
          </w:tcPr>
          <w:p w14:paraId="106A57CB" w14:textId="3DEC2298" w:rsidR="009702E5" w:rsidRPr="009434AE" w:rsidRDefault="00EC6A7F"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Pr>
                <w:rFonts w:cstheme="minorHAnsi"/>
                <w:sz w:val="12"/>
                <w:szCs w:val="12"/>
              </w:rPr>
              <w:t>N/A</w:t>
            </w:r>
            <w:r w:rsidR="009702E5" w:rsidRPr="000979DC">
              <w:rPr>
                <w:rFonts w:cstheme="minorHAnsi"/>
                <w:sz w:val="12"/>
                <w:szCs w:val="12"/>
              </w:rPr>
              <w:t>.</w:t>
            </w:r>
          </w:p>
        </w:tc>
        <w:tc>
          <w:tcPr>
            <w:tcW w:w="2260" w:type="dxa"/>
          </w:tcPr>
          <w:p w14:paraId="5AB6B3B4" w14:textId="116D2B60" w:rsidR="009702E5" w:rsidRPr="00AD7ED7" w:rsidRDefault="00EC6A7F"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highlight w:val="yellow"/>
              </w:rPr>
            </w:pPr>
            <w:r>
              <w:rPr>
                <w:rFonts w:cstheme="minorHAnsi"/>
                <w:sz w:val="12"/>
                <w:szCs w:val="12"/>
              </w:rPr>
              <w:t>N/A</w:t>
            </w:r>
            <w:r w:rsidR="009702E5" w:rsidRPr="000979DC">
              <w:rPr>
                <w:rFonts w:cstheme="minorHAnsi"/>
                <w:sz w:val="12"/>
                <w:szCs w:val="12"/>
              </w:rPr>
              <w:t>.</w:t>
            </w:r>
          </w:p>
        </w:tc>
        <w:tc>
          <w:tcPr>
            <w:tcW w:w="2260" w:type="dxa"/>
          </w:tcPr>
          <w:p w14:paraId="2E18D9A2" w14:textId="57969940" w:rsidR="009702E5" w:rsidRPr="00AD7ED7" w:rsidRDefault="00EC6A7F"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highlight w:val="yellow"/>
              </w:rPr>
            </w:pPr>
            <w:r>
              <w:rPr>
                <w:rFonts w:cstheme="minorHAnsi"/>
                <w:sz w:val="12"/>
                <w:szCs w:val="12"/>
              </w:rPr>
              <w:t>N/A</w:t>
            </w:r>
            <w:r w:rsidR="009702E5" w:rsidRPr="000979DC">
              <w:rPr>
                <w:rFonts w:cstheme="minorHAnsi"/>
                <w:sz w:val="12"/>
                <w:szCs w:val="12"/>
              </w:rPr>
              <w:t>.</w:t>
            </w:r>
          </w:p>
        </w:tc>
        <w:tc>
          <w:tcPr>
            <w:tcW w:w="2260" w:type="dxa"/>
          </w:tcPr>
          <w:p w14:paraId="0A61DC25" w14:textId="77777777"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None</w:t>
            </w:r>
          </w:p>
        </w:tc>
      </w:tr>
      <w:tr w:rsidR="009702E5" w:rsidRPr="009434AE" w14:paraId="22E3FF61" w14:textId="77777777" w:rsidTr="00B473D9">
        <w:tc>
          <w:tcPr>
            <w:cnfStyle w:val="001000000000" w:firstRow="0" w:lastRow="0" w:firstColumn="1" w:lastColumn="0" w:oddVBand="0" w:evenVBand="0" w:oddHBand="0" w:evenHBand="0" w:firstRowFirstColumn="0" w:firstRowLastColumn="0" w:lastRowFirstColumn="0" w:lastRowLastColumn="0"/>
            <w:tcW w:w="1788" w:type="dxa"/>
          </w:tcPr>
          <w:p w14:paraId="2F661522" w14:textId="77777777" w:rsidR="009702E5" w:rsidRPr="009434AE" w:rsidRDefault="009702E5" w:rsidP="009702E5">
            <w:pPr>
              <w:spacing w:before="0" w:after="0"/>
              <w:rPr>
                <w:rFonts w:cstheme="minorHAnsi"/>
                <w:b w:val="0"/>
                <w:bCs/>
                <w:sz w:val="12"/>
                <w:szCs w:val="12"/>
              </w:rPr>
            </w:pPr>
            <w:r w:rsidRPr="009434AE">
              <w:rPr>
                <w:rFonts w:cstheme="minorHAnsi"/>
                <w:bCs/>
                <w:sz w:val="12"/>
                <w:szCs w:val="12"/>
              </w:rPr>
              <w:t>Application process</w:t>
            </w:r>
          </w:p>
        </w:tc>
        <w:tc>
          <w:tcPr>
            <w:tcW w:w="1482" w:type="dxa"/>
          </w:tcPr>
          <w:p w14:paraId="7A457AE9" w14:textId="77777777"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Steps required for an individual to apply for and receive assistance from the scheme.</w:t>
            </w:r>
          </w:p>
        </w:tc>
        <w:tc>
          <w:tcPr>
            <w:tcW w:w="2260" w:type="dxa"/>
          </w:tcPr>
          <w:p w14:paraId="56893A60" w14:textId="77777777"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A member of a stoma association needs to:</w:t>
            </w:r>
          </w:p>
          <w:p w14:paraId="699146EB" w14:textId="77777777" w:rsidR="009702E5" w:rsidRPr="009434AE" w:rsidRDefault="009702E5" w:rsidP="00E442CB">
            <w:pPr>
              <w:numPr>
                <w:ilvl w:val="0"/>
                <w:numId w:val="31"/>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complete part 1 of the Stoma Appliance Scheme application form (PB049)</w:t>
            </w:r>
          </w:p>
          <w:p w14:paraId="055AA19B" w14:textId="77777777" w:rsidR="009702E5" w:rsidRPr="009434AE" w:rsidRDefault="009702E5" w:rsidP="00E442CB">
            <w:pPr>
              <w:numPr>
                <w:ilvl w:val="0"/>
                <w:numId w:val="31"/>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get their medical practitioner or stomal therapy nurse to complete Part 2</w:t>
            </w:r>
          </w:p>
          <w:p w14:paraId="00F670EF" w14:textId="77777777" w:rsidR="009702E5" w:rsidRPr="009434AE" w:rsidRDefault="009702E5" w:rsidP="00E442CB">
            <w:pPr>
              <w:numPr>
                <w:ilvl w:val="0"/>
                <w:numId w:val="31"/>
              </w:numPr>
              <w:spacing w:before="0" w:after="0" w:line="259" w:lineRule="auto"/>
              <w:ind w:left="170" w:hanging="17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send the completed form.</w:t>
            </w:r>
          </w:p>
        </w:tc>
        <w:tc>
          <w:tcPr>
            <w:tcW w:w="2260" w:type="dxa"/>
          </w:tcPr>
          <w:p w14:paraId="09572817" w14:textId="5E6E056E"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 xml:space="preserve">There are </w:t>
            </w:r>
            <w:r w:rsidR="00606B3E">
              <w:rPr>
                <w:rFonts w:cstheme="minorHAnsi"/>
                <w:sz w:val="12"/>
                <w:szCs w:val="12"/>
              </w:rPr>
              <w:t>four</w:t>
            </w:r>
            <w:r w:rsidRPr="009434AE">
              <w:rPr>
                <w:rFonts w:cstheme="minorHAnsi"/>
                <w:sz w:val="12"/>
                <w:szCs w:val="12"/>
              </w:rPr>
              <w:t xml:space="preserve"> steps in applying for CAPS:</w:t>
            </w:r>
          </w:p>
          <w:p w14:paraId="6FA9B4B9" w14:textId="77777777" w:rsidR="009702E5" w:rsidRPr="009434AE" w:rsidRDefault="009702E5" w:rsidP="00E442CB">
            <w:pPr>
              <w:pStyle w:val="ListParagraph"/>
              <w:numPr>
                <w:ilvl w:val="0"/>
                <w:numId w:val="37"/>
              </w:numPr>
              <w:spacing w:before="0" w:after="0" w:line="259" w:lineRule="auto"/>
              <w:ind w:left="227" w:hanging="227"/>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Obtain Application Guidelines and Application Form.</w:t>
            </w:r>
          </w:p>
          <w:p w14:paraId="5C8715A7" w14:textId="77777777" w:rsidR="009702E5" w:rsidRPr="009434AE" w:rsidRDefault="009702E5" w:rsidP="00E442CB">
            <w:pPr>
              <w:pStyle w:val="ListParagraph"/>
              <w:numPr>
                <w:ilvl w:val="0"/>
                <w:numId w:val="37"/>
              </w:numPr>
              <w:spacing w:before="0" w:after="0" w:line="259" w:lineRule="auto"/>
              <w:ind w:left="227" w:hanging="227"/>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Get a doctor or health professional to complete their part of the form.</w:t>
            </w:r>
          </w:p>
          <w:p w14:paraId="4556943D" w14:textId="77777777" w:rsidR="009702E5" w:rsidRPr="009434AE" w:rsidRDefault="009702E5" w:rsidP="00E442CB">
            <w:pPr>
              <w:pStyle w:val="ListParagraph"/>
              <w:numPr>
                <w:ilvl w:val="0"/>
                <w:numId w:val="37"/>
              </w:numPr>
              <w:spacing w:before="0" w:after="0" w:line="259" w:lineRule="auto"/>
              <w:ind w:left="227" w:hanging="227"/>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Submit the application.</w:t>
            </w:r>
          </w:p>
          <w:p w14:paraId="2581C992" w14:textId="77777777" w:rsidR="009702E5" w:rsidRPr="009434AE" w:rsidRDefault="009702E5" w:rsidP="00E442CB">
            <w:pPr>
              <w:pStyle w:val="ListParagraph"/>
              <w:numPr>
                <w:ilvl w:val="0"/>
                <w:numId w:val="37"/>
              </w:numPr>
              <w:spacing w:before="0" w:after="0" w:line="259" w:lineRule="auto"/>
              <w:ind w:left="227" w:hanging="227"/>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Wait for the result.</w:t>
            </w:r>
          </w:p>
        </w:tc>
        <w:tc>
          <w:tcPr>
            <w:tcW w:w="2260" w:type="dxa"/>
          </w:tcPr>
          <w:p w14:paraId="7F1E9E9B" w14:textId="77777777"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NDSS registration can be completed and certified online by a health professional through the NDSS Health Professional Portal or by using the form available to print from the NDSS website.</w:t>
            </w:r>
          </w:p>
        </w:tc>
        <w:tc>
          <w:tcPr>
            <w:tcW w:w="2260" w:type="dxa"/>
          </w:tcPr>
          <w:p w14:paraId="54B7A5D4" w14:textId="7E9E5621"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0979DC">
              <w:rPr>
                <w:rFonts w:cstheme="minorHAnsi"/>
                <w:sz w:val="12"/>
                <w:szCs w:val="12"/>
              </w:rPr>
              <w:t>Information not available.</w:t>
            </w:r>
          </w:p>
        </w:tc>
        <w:tc>
          <w:tcPr>
            <w:tcW w:w="2260" w:type="dxa"/>
          </w:tcPr>
          <w:p w14:paraId="2461AA3B" w14:textId="77777777"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If applicant is aged 9 and older, they can apply by:</w:t>
            </w:r>
          </w:p>
          <w:p w14:paraId="51CC68B5" w14:textId="57B2D83C" w:rsidR="009702E5" w:rsidRPr="009434AE" w:rsidRDefault="009702E5" w:rsidP="00E442CB">
            <w:pPr>
              <w:pStyle w:val="ListParagraph"/>
              <w:numPr>
                <w:ilvl w:val="0"/>
                <w:numId w:val="48"/>
              </w:numPr>
              <w:spacing w:before="0" w:after="0" w:line="259" w:lineRule="auto"/>
              <w:ind w:left="227" w:hanging="227"/>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L</w:t>
            </w:r>
            <w:r w:rsidR="00C545F7">
              <w:rPr>
                <w:rFonts w:cstheme="minorHAnsi"/>
                <w:sz w:val="12"/>
                <w:szCs w:val="12"/>
              </w:rPr>
              <w:t>AC</w:t>
            </w:r>
            <w:r w:rsidRPr="009434AE">
              <w:rPr>
                <w:rFonts w:cstheme="minorHAnsi"/>
                <w:sz w:val="12"/>
                <w:szCs w:val="12"/>
              </w:rPr>
              <w:t xml:space="preserve"> or local NDIS office can help complete the application </w:t>
            </w:r>
            <w:proofErr w:type="gramStart"/>
            <w:r w:rsidRPr="009434AE">
              <w:rPr>
                <w:rFonts w:cstheme="minorHAnsi"/>
                <w:sz w:val="12"/>
                <w:szCs w:val="12"/>
              </w:rPr>
              <w:t>process</w:t>
            </w:r>
            <w:proofErr w:type="gramEnd"/>
          </w:p>
          <w:p w14:paraId="29D9C857" w14:textId="77777777" w:rsidR="009702E5" w:rsidRPr="009434AE" w:rsidRDefault="009702E5" w:rsidP="00E442CB">
            <w:pPr>
              <w:pStyle w:val="ListParagraph"/>
              <w:numPr>
                <w:ilvl w:val="0"/>
                <w:numId w:val="42"/>
              </w:numPr>
              <w:spacing w:before="0" w:after="0" w:line="259" w:lineRule="auto"/>
              <w:ind w:left="227" w:hanging="227"/>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Complete application over the phone</w:t>
            </w:r>
          </w:p>
          <w:p w14:paraId="22E76A41" w14:textId="77777777" w:rsidR="009702E5" w:rsidRPr="009434AE" w:rsidRDefault="009702E5" w:rsidP="00E442CB">
            <w:pPr>
              <w:pStyle w:val="ListParagraph"/>
              <w:numPr>
                <w:ilvl w:val="0"/>
                <w:numId w:val="42"/>
              </w:numPr>
              <w:spacing w:before="0" w:after="0" w:line="259" w:lineRule="auto"/>
              <w:ind w:left="227" w:hanging="227"/>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 xml:space="preserve">Complete </w:t>
            </w:r>
            <w:proofErr w:type="gramStart"/>
            <w:r w:rsidRPr="009434AE">
              <w:rPr>
                <w:rFonts w:cstheme="minorHAnsi"/>
                <w:sz w:val="12"/>
                <w:szCs w:val="12"/>
              </w:rPr>
              <w:t>an</w:t>
            </w:r>
            <w:proofErr w:type="gramEnd"/>
            <w:r w:rsidRPr="009434AE">
              <w:rPr>
                <w:rFonts w:cstheme="minorHAnsi"/>
                <w:sz w:val="12"/>
                <w:szCs w:val="12"/>
              </w:rPr>
              <w:t xml:space="preserve"> NDIS application form online or print and paper based.</w:t>
            </w:r>
          </w:p>
        </w:tc>
      </w:tr>
      <w:tr w:rsidR="009702E5" w:rsidRPr="009434AE" w14:paraId="6E40252B" w14:textId="77777777" w:rsidTr="00B47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tcPr>
          <w:p w14:paraId="1FC8F5D2" w14:textId="77777777" w:rsidR="009702E5" w:rsidRPr="009434AE" w:rsidRDefault="009702E5" w:rsidP="009702E5">
            <w:pPr>
              <w:spacing w:before="0" w:after="0"/>
              <w:rPr>
                <w:rFonts w:cstheme="minorHAnsi"/>
                <w:b w:val="0"/>
                <w:bCs/>
                <w:sz w:val="12"/>
                <w:szCs w:val="12"/>
              </w:rPr>
            </w:pPr>
            <w:r w:rsidRPr="009434AE">
              <w:rPr>
                <w:rFonts w:cstheme="minorHAnsi"/>
                <w:bCs/>
                <w:sz w:val="12"/>
                <w:szCs w:val="12"/>
              </w:rPr>
              <w:lastRenderedPageBreak/>
              <w:t>Claims process</w:t>
            </w:r>
          </w:p>
        </w:tc>
        <w:tc>
          <w:tcPr>
            <w:tcW w:w="1482" w:type="dxa"/>
          </w:tcPr>
          <w:p w14:paraId="7B8B3AFF" w14:textId="77777777"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Processes for preparing, submitting, and receiving payment for claims.</w:t>
            </w:r>
          </w:p>
        </w:tc>
        <w:tc>
          <w:tcPr>
            <w:tcW w:w="2260" w:type="dxa"/>
          </w:tcPr>
          <w:p w14:paraId="2763544E" w14:textId="61D0493D"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To claim a reimbursement, a stoma association needs to upload an electronic claim file through H</w:t>
            </w:r>
            <w:r w:rsidR="004B60AF">
              <w:rPr>
                <w:rFonts w:cstheme="minorHAnsi"/>
                <w:sz w:val="12"/>
                <w:szCs w:val="12"/>
              </w:rPr>
              <w:t>POS</w:t>
            </w:r>
            <w:r w:rsidRPr="009434AE">
              <w:rPr>
                <w:rFonts w:cstheme="minorHAnsi"/>
                <w:sz w:val="12"/>
                <w:szCs w:val="12"/>
              </w:rPr>
              <w:t>.</w:t>
            </w:r>
          </w:p>
          <w:p w14:paraId="28A5FDFE" w14:textId="77777777"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b/>
                <w:bCs/>
                <w:sz w:val="12"/>
                <w:szCs w:val="12"/>
              </w:rPr>
              <w:t>Note:</w:t>
            </w:r>
            <w:r w:rsidRPr="009434AE">
              <w:rPr>
                <w:rFonts w:cstheme="minorHAnsi"/>
                <w:sz w:val="12"/>
                <w:szCs w:val="12"/>
              </w:rPr>
              <w:t xml:space="preserve"> Stoma associations no longer need to send Services Australia copies of the claim paperwork or patient forms PB049 and PB050.</w:t>
            </w:r>
          </w:p>
        </w:tc>
        <w:tc>
          <w:tcPr>
            <w:tcW w:w="2260" w:type="dxa"/>
          </w:tcPr>
          <w:p w14:paraId="030DC1F5" w14:textId="77777777"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Services Australia administers CAPS. They process the application and make the payments.</w:t>
            </w:r>
          </w:p>
        </w:tc>
        <w:tc>
          <w:tcPr>
            <w:tcW w:w="2260" w:type="dxa"/>
          </w:tcPr>
          <w:p w14:paraId="41D68ED3" w14:textId="69631A34" w:rsidR="009702E5" w:rsidRPr="00AD7ED7"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highlight w:val="yellow"/>
              </w:rPr>
            </w:pPr>
            <w:r w:rsidRPr="000979DC">
              <w:rPr>
                <w:rFonts w:cstheme="minorHAnsi"/>
                <w:sz w:val="12"/>
                <w:szCs w:val="12"/>
              </w:rPr>
              <w:t>Information not available.</w:t>
            </w:r>
          </w:p>
        </w:tc>
        <w:tc>
          <w:tcPr>
            <w:tcW w:w="2260" w:type="dxa"/>
          </w:tcPr>
          <w:p w14:paraId="5F31FEAF" w14:textId="77777777"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The monthly Standard Order is initially prescribed by the recipient’s Treating Healthcare Professional and may be varied from time to time by Treating Healthcare Professionals to meet changing wound care needs.</w:t>
            </w:r>
          </w:p>
        </w:tc>
        <w:tc>
          <w:tcPr>
            <w:tcW w:w="2260" w:type="dxa"/>
          </w:tcPr>
          <w:p w14:paraId="1C045BBD" w14:textId="7DB4A2FB"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Once plan is approved, participants can spend their plan according to the approved categories</w:t>
            </w:r>
            <w:r w:rsidR="005D3225">
              <w:rPr>
                <w:rFonts w:cstheme="minorHAnsi"/>
                <w:sz w:val="12"/>
                <w:szCs w:val="12"/>
              </w:rPr>
              <w:t>.</w:t>
            </w:r>
          </w:p>
        </w:tc>
      </w:tr>
      <w:tr w:rsidR="009702E5" w:rsidRPr="009434AE" w14:paraId="17735C82" w14:textId="77777777" w:rsidTr="00B473D9">
        <w:tc>
          <w:tcPr>
            <w:cnfStyle w:val="001000000000" w:firstRow="0" w:lastRow="0" w:firstColumn="1" w:lastColumn="0" w:oddVBand="0" w:evenVBand="0" w:oddHBand="0" w:evenHBand="0" w:firstRowFirstColumn="0" w:firstRowLastColumn="0" w:lastRowFirstColumn="0" w:lastRowLastColumn="0"/>
            <w:tcW w:w="1788" w:type="dxa"/>
          </w:tcPr>
          <w:p w14:paraId="2DDED5B6" w14:textId="77777777" w:rsidR="009702E5" w:rsidRPr="009434AE" w:rsidRDefault="009702E5" w:rsidP="009702E5">
            <w:pPr>
              <w:spacing w:before="0" w:after="0"/>
              <w:rPr>
                <w:rFonts w:cstheme="minorHAnsi"/>
                <w:b w:val="0"/>
                <w:bCs/>
                <w:sz w:val="12"/>
                <w:szCs w:val="12"/>
              </w:rPr>
            </w:pPr>
            <w:r w:rsidRPr="009434AE">
              <w:rPr>
                <w:rFonts w:cstheme="minorHAnsi"/>
                <w:bCs/>
                <w:sz w:val="12"/>
                <w:szCs w:val="12"/>
              </w:rPr>
              <w:t>Payments of claims</w:t>
            </w:r>
          </w:p>
        </w:tc>
        <w:tc>
          <w:tcPr>
            <w:tcW w:w="1482" w:type="dxa"/>
          </w:tcPr>
          <w:p w14:paraId="58B980F4" w14:textId="77777777"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 xml:space="preserve">Processes for transferring funds to cover the cost of stoma-related products and services. </w:t>
            </w:r>
          </w:p>
        </w:tc>
        <w:tc>
          <w:tcPr>
            <w:tcW w:w="2260" w:type="dxa"/>
          </w:tcPr>
          <w:p w14:paraId="5F9508AD" w14:textId="15DD8387"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Payments for all claims processed by Services Australia are paid via electronic funds transfer to the financial institution nominated by the stoma association</w:t>
            </w:r>
            <w:r w:rsidR="005D3225">
              <w:rPr>
                <w:rFonts w:cstheme="minorHAnsi"/>
                <w:sz w:val="12"/>
                <w:szCs w:val="12"/>
              </w:rPr>
              <w:t>.</w:t>
            </w:r>
          </w:p>
        </w:tc>
        <w:tc>
          <w:tcPr>
            <w:tcW w:w="2260" w:type="dxa"/>
          </w:tcPr>
          <w:p w14:paraId="737AAE3C" w14:textId="7D98A524"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CAPS payment is paid into your choice of an Australian bank account.</w:t>
            </w:r>
          </w:p>
          <w:p w14:paraId="447B2863" w14:textId="77777777"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CAPS is not a retrospective payment scheme. The applicant’s initial CAPS payment is based on a pro-rata rate calculated from the date Services Australia receives a complete application form. Applicants can receive the CAPS payment in one annual payment or in two bi-annual payments. Annual payments are paid in July and bi-annual payments are paid in July and January of each financial year.</w:t>
            </w:r>
          </w:p>
        </w:tc>
        <w:tc>
          <w:tcPr>
            <w:tcW w:w="2260" w:type="dxa"/>
          </w:tcPr>
          <w:p w14:paraId="43C929B8" w14:textId="52BC81B0" w:rsidR="009702E5" w:rsidRPr="00AD7ED7"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highlight w:val="yellow"/>
              </w:rPr>
            </w:pPr>
            <w:r w:rsidRPr="000979DC">
              <w:rPr>
                <w:rFonts w:cstheme="minorHAnsi"/>
                <w:sz w:val="12"/>
                <w:szCs w:val="12"/>
              </w:rPr>
              <w:t>Information not available.</w:t>
            </w:r>
          </w:p>
        </w:tc>
        <w:tc>
          <w:tcPr>
            <w:tcW w:w="2260" w:type="dxa"/>
          </w:tcPr>
          <w:p w14:paraId="175243D3" w14:textId="65BFA907" w:rsidR="009702E5" w:rsidRPr="009434AE" w:rsidRDefault="00EC6A7F"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Pr>
                <w:rFonts w:cstheme="minorHAnsi"/>
                <w:sz w:val="12"/>
                <w:szCs w:val="12"/>
              </w:rPr>
              <w:t>N/A</w:t>
            </w:r>
            <w:r w:rsidR="009702E5" w:rsidRPr="000979DC">
              <w:rPr>
                <w:rFonts w:cstheme="minorHAnsi"/>
                <w:sz w:val="12"/>
                <w:szCs w:val="12"/>
              </w:rPr>
              <w:t>.</w:t>
            </w:r>
          </w:p>
        </w:tc>
        <w:tc>
          <w:tcPr>
            <w:tcW w:w="2260" w:type="dxa"/>
          </w:tcPr>
          <w:p w14:paraId="4A00B02C" w14:textId="7EEDA253" w:rsidR="009702E5" w:rsidRPr="009434AE" w:rsidRDefault="00EC6A7F"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Pr>
                <w:rFonts w:cstheme="minorHAnsi"/>
                <w:sz w:val="12"/>
                <w:szCs w:val="12"/>
              </w:rPr>
              <w:t>N/A</w:t>
            </w:r>
            <w:r w:rsidR="009702E5" w:rsidRPr="000979DC">
              <w:rPr>
                <w:rFonts w:cstheme="minorHAnsi"/>
                <w:sz w:val="12"/>
                <w:szCs w:val="12"/>
              </w:rPr>
              <w:t>.</w:t>
            </w:r>
          </w:p>
        </w:tc>
      </w:tr>
      <w:tr w:rsidR="009702E5" w:rsidRPr="009434AE" w14:paraId="64386FA6" w14:textId="77777777" w:rsidTr="00B47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tcPr>
          <w:p w14:paraId="3FB09682" w14:textId="77777777" w:rsidR="009702E5" w:rsidRPr="009434AE" w:rsidRDefault="009702E5" w:rsidP="009702E5">
            <w:pPr>
              <w:spacing w:before="0" w:after="0"/>
              <w:rPr>
                <w:rFonts w:cstheme="minorHAnsi"/>
                <w:b w:val="0"/>
                <w:bCs/>
                <w:sz w:val="12"/>
                <w:szCs w:val="12"/>
              </w:rPr>
            </w:pPr>
            <w:r w:rsidRPr="009434AE">
              <w:rPr>
                <w:rFonts w:cstheme="minorHAnsi"/>
                <w:bCs/>
                <w:sz w:val="12"/>
                <w:szCs w:val="12"/>
              </w:rPr>
              <w:t>Pricing</w:t>
            </w:r>
          </w:p>
        </w:tc>
        <w:tc>
          <w:tcPr>
            <w:tcW w:w="1482" w:type="dxa"/>
          </w:tcPr>
          <w:p w14:paraId="748AC44D" w14:textId="77777777"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How pricing is structured for products and services.</w:t>
            </w:r>
          </w:p>
        </w:tc>
        <w:tc>
          <w:tcPr>
            <w:tcW w:w="2260" w:type="dxa"/>
          </w:tcPr>
          <w:p w14:paraId="0A99BE54" w14:textId="640450CF"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Product prices in the </w:t>
            </w:r>
            <w:r>
              <w:rPr>
                <w:rFonts w:cstheme="minorHAnsi"/>
                <w:sz w:val="12"/>
                <w:szCs w:val="12"/>
              </w:rPr>
              <w:t>Scheme</w:t>
            </w:r>
            <w:r w:rsidRPr="009434AE">
              <w:rPr>
                <w:rFonts w:cstheme="minorHAnsi"/>
                <w:sz w:val="12"/>
                <w:szCs w:val="12"/>
              </w:rPr>
              <w:t xml:space="preserve"> Schedule are set by the Department following advice from SPAP and negotiation with </w:t>
            </w:r>
            <w:r>
              <w:rPr>
                <w:rFonts w:cstheme="minorHAnsi"/>
                <w:sz w:val="12"/>
                <w:szCs w:val="12"/>
              </w:rPr>
              <w:t>Scheme</w:t>
            </w:r>
            <w:r w:rsidRPr="009434AE">
              <w:rPr>
                <w:rFonts w:cstheme="minorHAnsi"/>
                <w:sz w:val="12"/>
                <w:szCs w:val="12"/>
              </w:rPr>
              <w:t xml:space="preserve"> sponsors.</w:t>
            </w:r>
          </w:p>
          <w:p w14:paraId="472755D6" w14:textId="77777777"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There are two pricing categories:</w:t>
            </w:r>
          </w:p>
          <w:p w14:paraId="4B14CADC" w14:textId="77777777" w:rsidR="009702E5" w:rsidRPr="009434AE" w:rsidRDefault="009702E5" w:rsidP="00E442CB">
            <w:pPr>
              <w:numPr>
                <w:ilvl w:val="0"/>
                <w:numId w:val="31"/>
              </w:numPr>
              <w:spacing w:before="0" w:after="0"/>
              <w:ind w:left="170" w:hanging="17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b/>
                <w:bCs/>
                <w:sz w:val="12"/>
                <w:szCs w:val="12"/>
              </w:rPr>
              <w:t>Benchmark prices</w:t>
            </w:r>
            <w:r w:rsidRPr="009434AE">
              <w:rPr>
                <w:rFonts w:cstheme="minorHAnsi"/>
                <w:sz w:val="12"/>
                <w:szCs w:val="12"/>
              </w:rPr>
              <w:t xml:space="preserve"> – the product prices set by the Department and defined in the </w:t>
            </w:r>
            <w:r>
              <w:rPr>
                <w:rFonts w:cstheme="minorHAnsi"/>
                <w:sz w:val="12"/>
                <w:szCs w:val="12"/>
              </w:rPr>
              <w:t>Scheme</w:t>
            </w:r>
            <w:r w:rsidRPr="009434AE">
              <w:rPr>
                <w:rFonts w:cstheme="minorHAnsi"/>
                <w:sz w:val="12"/>
                <w:szCs w:val="12"/>
              </w:rPr>
              <w:t xml:space="preserve"> Schedule.</w:t>
            </w:r>
          </w:p>
          <w:p w14:paraId="77B724C6" w14:textId="77777777" w:rsidR="009702E5" w:rsidRPr="009434AE" w:rsidRDefault="009702E5" w:rsidP="00E442CB">
            <w:pPr>
              <w:numPr>
                <w:ilvl w:val="0"/>
                <w:numId w:val="31"/>
              </w:numPr>
              <w:spacing w:before="0" w:after="0"/>
              <w:ind w:left="170" w:hanging="17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b/>
                <w:bCs/>
                <w:sz w:val="12"/>
                <w:szCs w:val="12"/>
              </w:rPr>
              <w:t>Premium prices</w:t>
            </w:r>
            <w:r w:rsidRPr="009434AE">
              <w:rPr>
                <w:rFonts w:cstheme="minorHAnsi"/>
                <w:sz w:val="12"/>
                <w:szCs w:val="12"/>
              </w:rPr>
              <w:t xml:space="preserve"> - Products may be listed at a price higher than the benchmark if they are assessed by SPAP as providing improved health outcomes and are cost-effective at the higher price.</w:t>
            </w:r>
          </w:p>
        </w:tc>
        <w:tc>
          <w:tcPr>
            <w:tcW w:w="2260" w:type="dxa"/>
          </w:tcPr>
          <w:p w14:paraId="480AAB60" w14:textId="470466ED" w:rsidR="009702E5" w:rsidRPr="00AD7ED7"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highlight w:val="yellow"/>
              </w:rPr>
            </w:pPr>
            <w:r w:rsidRPr="000979DC">
              <w:rPr>
                <w:rFonts w:cstheme="minorHAnsi"/>
                <w:sz w:val="12"/>
                <w:szCs w:val="12"/>
              </w:rPr>
              <w:t>Information not available.</w:t>
            </w:r>
          </w:p>
        </w:tc>
        <w:tc>
          <w:tcPr>
            <w:tcW w:w="2260" w:type="dxa"/>
          </w:tcPr>
          <w:p w14:paraId="5C5D6DFF" w14:textId="788484A2" w:rsidR="009702E5" w:rsidRPr="00AD7ED7"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highlight w:val="yellow"/>
              </w:rPr>
            </w:pPr>
            <w:r w:rsidRPr="000979DC">
              <w:rPr>
                <w:rFonts w:cstheme="minorHAnsi"/>
                <w:sz w:val="12"/>
                <w:szCs w:val="12"/>
              </w:rPr>
              <w:t>Information not available.</w:t>
            </w:r>
          </w:p>
        </w:tc>
        <w:tc>
          <w:tcPr>
            <w:tcW w:w="2260" w:type="dxa"/>
          </w:tcPr>
          <w:p w14:paraId="0751AD9A" w14:textId="70056C74" w:rsidR="009702E5" w:rsidRPr="00AD7ED7"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highlight w:val="yellow"/>
              </w:rPr>
            </w:pPr>
            <w:r w:rsidRPr="000979DC">
              <w:rPr>
                <w:rFonts w:cstheme="minorHAnsi"/>
                <w:sz w:val="12"/>
                <w:szCs w:val="12"/>
              </w:rPr>
              <w:t>Information not available.</w:t>
            </w:r>
          </w:p>
        </w:tc>
        <w:tc>
          <w:tcPr>
            <w:tcW w:w="2260" w:type="dxa"/>
          </w:tcPr>
          <w:p w14:paraId="637D97E1" w14:textId="7E999FB6" w:rsidR="009702E5" w:rsidRPr="00AD7ED7"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highlight w:val="yellow"/>
              </w:rPr>
            </w:pPr>
            <w:r w:rsidRPr="000979DC">
              <w:rPr>
                <w:rFonts w:cstheme="minorHAnsi"/>
                <w:sz w:val="12"/>
                <w:szCs w:val="12"/>
              </w:rPr>
              <w:t>Information not available.</w:t>
            </w:r>
          </w:p>
        </w:tc>
      </w:tr>
      <w:tr w:rsidR="009702E5" w:rsidRPr="009434AE" w14:paraId="6CFF48B5" w14:textId="77777777" w:rsidTr="00B473D9">
        <w:tc>
          <w:tcPr>
            <w:cnfStyle w:val="001000000000" w:firstRow="0" w:lastRow="0" w:firstColumn="1" w:lastColumn="0" w:oddVBand="0" w:evenVBand="0" w:oddHBand="0" w:evenHBand="0" w:firstRowFirstColumn="0" w:firstRowLastColumn="0" w:lastRowFirstColumn="0" w:lastRowLastColumn="0"/>
            <w:tcW w:w="1788" w:type="dxa"/>
          </w:tcPr>
          <w:p w14:paraId="64201622" w14:textId="77777777" w:rsidR="009702E5" w:rsidRPr="009434AE" w:rsidRDefault="009702E5" w:rsidP="009702E5">
            <w:pPr>
              <w:spacing w:before="0" w:after="0"/>
              <w:rPr>
                <w:rFonts w:cstheme="minorHAnsi"/>
                <w:b w:val="0"/>
                <w:bCs/>
                <w:sz w:val="12"/>
                <w:szCs w:val="12"/>
              </w:rPr>
            </w:pPr>
            <w:r w:rsidRPr="009434AE">
              <w:rPr>
                <w:rFonts w:cstheme="minorHAnsi"/>
                <w:bCs/>
                <w:sz w:val="12"/>
                <w:szCs w:val="12"/>
              </w:rPr>
              <w:t>Frequency and process for reviewing pricing of products/appliances</w:t>
            </w:r>
          </w:p>
        </w:tc>
        <w:tc>
          <w:tcPr>
            <w:tcW w:w="1482" w:type="dxa"/>
          </w:tcPr>
          <w:p w14:paraId="3DFE0698" w14:textId="77777777" w:rsidR="009702E5" w:rsidRPr="009434AE" w:rsidRDefault="009702E5" w:rsidP="009702E5">
            <w:pPr>
              <w:spacing w:before="0" w:after="0" w:line="252" w:lineRule="auto"/>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color w:val="000000"/>
                <w:sz w:val="12"/>
                <w:szCs w:val="12"/>
              </w:rPr>
              <w:t>Up until 2013 there was annual indexation of the prices.</w:t>
            </w:r>
          </w:p>
          <w:p w14:paraId="554FD2CE" w14:textId="77777777"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color w:val="000000"/>
                <w:sz w:val="12"/>
                <w:szCs w:val="12"/>
              </w:rPr>
              <w:t xml:space="preserve">Post 2013 budget review, there was a commitment to remove the annual indexation process </w:t>
            </w:r>
            <w:r w:rsidRPr="009434AE">
              <w:rPr>
                <w:rFonts w:cstheme="minorHAnsi"/>
                <w:color w:val="000000"/>
                <w:sz w:val="12"/>
                <w:szCs w:val="12"/>
              </w:rPr>
              <w:lastRenderedPageBreak/>
              <w:t>and undertake annual pricing reviews. To date no review has been undertaken and prices have been maintained at 2013 prices.</w:t>
            </w:r>
          </w:p>
        </w:tc>
        <w:tc>
          <w:tcPr>
            <w:tcW w:w="2260" w:type="dxa"/>
          </w:tcPr>
          <w:p w14:paraId="7256FDA7" w14:textId="6E0B8DC2"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color w:val="000000"/>
                <w:sz w:val="12"/>
                <w:szCs w:val="12"/>
              </w:rPr>
              <w:lastRenderedPageBreak/>
              <w:t>Frequency and process for reviewing pricing of products/appliances</w:t>
            </w:r>
            <w:r w:rsidR="005D3225">
              <w:rPr>
                <w:rFonts w:cstheme="minorHAnsi"/>
                <w:color w:val="000000"/>
                <w:sz w:val="12"/>
                <w:szCs w:val="12"/>
              </w:rPr>
              <w:t>.</w:t>
            </w:r>
          </w:p>
        </w:tc>
        <w:tc>
          <w:tcPr>
            <w:tcW w:w="2260" w:type="dxa"/>
          </w:tcPr>
          <w:p w14:paraId="0E4DE130" w14:textId="1ABD903E" w:rsidR="009702E5" w:rsidRPr="00AD7ED7"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highlight w:val="yellow"/>
              </w:rPr>
            </w:pPr>
            <w:r w:rsidRPr="000979DC">
              <w:rPr>
                <w:rFonts w:cstheme="minorHAnsi"/>
                <w:sz w:val="12"/>
                <w:szCs w:val="12"/>
              </w:rPr>
              <w:t>Information not available.</w:t>
            </w:r>
          </w:p>
        </w:tc>
        <w:tc>
          <w:tcPr>
            <w:tcW w:w="2260" w:type="dxa"/>
          </w:tcPr>
          <w:p w14:paraId="5CC4A91B" w14:textId="77777777"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From 1 November 2020, MSAC became the designated HTA body to consider diabetes-related products for subsidisation under the NDSS.</w:t>
            </w:r>
          </w:p>
        </w:tc>
        <w:tc>
          <w:tcPr>
            <w:tcW w:w="2260" w:type="dxa"/>
          </w:tcPr>
          <w:p w14:paraId="7F985343" w14:textId="213BF245"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0979DC">
              <w:rPr>
                <w:rFonts w:cstheme="minorHAnsi"/>
                <w:sz w:val="12"/>
                <w:szCs w:val="12"/>
              </w:rPr>
              <w:t>Information not available.</w:t>
            </w:r>
          </w:p>
        </w:tc>
        <w:tc>
          <w:tcPr>
            <w:tcW w:w="2260" w:type="dxa"/>
          </w:tcPr>
          <w:p w14:paraId="11BF251B" w14:textId="77777777"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 xml:space="preserve">Annual pricing review that involves a combination of market data, research, public </w:t>
            </w:r>
            <w:proofErr w:type="gramStart"/>
            <w:r w:rsidRPr="009434AE">
              <w:rPr>
                <w:rFonts w:cstheme="minorHAnsi"/>
                <w:sz w:val="12"/>
                <w:szCs w:val="12"/>
              </w:rPr>
              <w:t>consultation</w:t>
            </w:r>
            <w:proofErr w:type="gramEnd"/>
            <w:r w:rsidRPr="009434AE">
              <w:rPr>
                <w:rFonts w:cstheme="minorHAnsi"/>
                <w:sz w:val="12"/>
                <w:szCs w:val="12"/>
              </w:rPr>
              <w:t xml:space="preserve"> and regular industry engagement informs changes to pricing arrangements and price limits.</w:t>
            </w:r>
          </w:p>
        </w:tc>
      </w:tr>
      <w:tr w:rsidR="009702E5" w:rsidRPr="009434AE" w14:paraId="3CD3A725" w14:textId="77777777" w:rsidTr="00B47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tcPr>
          <w:p w14:paraId="18954809" w14:textId="77777777" w:rsidR="009702E5" w:rsidRPr="009434AE" w:rsidRDefault="009702E5" w:rsidP="009702E5">
            <w:pPr>
              <w:spacing w:before="0" w:after="0"/>
              <w:rPr>
                <w:rFonts w:cstheme="minorHAnsi"/>
                <w:b w:val="0"/>
                <w:bCs/>
                <w:sz w:val="12"/>
                <w:szCs w:val="12"/>
              </w:rPr>
            </w:pPr>
            <w:r w:rsidRPr="009434AE">
              <w:rPr>
                <w:rFonts w:cstheme="minorHAnsi"/>
                <w:bCs/>
                <w:sz w:val="12"/>
                <w:szCs w:val="12"/>
              </w:rPr>
              <w:t>Reporting</w:t>
            </w:r>
          </w:p>
        </w:tc>
        <w:tc>
          <w:tcPr>
            <w:tcW w:w="1482" w:type="dxa"/>
          </w:tcPr>
          <w:p w14:paraId="31F9338C" w14:textId="77777777"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What types of reporting are required and to whom they should be directed.</w:t>
            </w:r>
          </w:p>
        </w:tc>
        <w:tc>
          <w:tcPr>
            <w:tcW w:w="2260" w:type="dxa"/>
          </w:tcPr>
          <w:p w14:paraId="403B5721" w14:textId="77777777"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Stoma associations are required to provide ACSA with:</w:t>
            </w:r>
          </w:p>
          <w:p w14:paraId="3F8A5B97" w14:textId="77777777" w:rsidR="009702E5" w:rsidRPr="009434AE" w:rsidRDefault="009702E5" w:rsidP="00E442CB">
            <w:pPr>
              <w:numPr>
                <w:ilvl w:val="0"/>
                <w:numId w:val="31"/>
              </w:numPr>
              <w:spacing w:before="0" w:after="0" w:line="259" w:lineRule="auto"/>
              <w:ind w:left="170" w:hanging="17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monthly new membership numbers and statistics</w:t>
            </w:r>
          </w:p>
          <w:p w14:paraId="39E87816" w14:textId="77777777" w:rsidR="009702E5" w:rsidRPr="009434AE" w:rsidRDefault="009702E5" w:rsidP="00E442CB">
            <w:pPr>
              <w:numPr>
                <w:ilvl w:val="0"/>
                <w:numId w:val="31"/>
              </w:numPr>
              <w:spacing w:before="0" w:after="0" w:line="259" w:lineRule="auto"/>
              <w:ind w:left="170" w:hanging="17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annual membership numbers and statistics</w:t>
            </w:r>
          </w:p>
          <w:p w14:paraId="2653C1BB" w14:textId="77777777" w:rsidR="009702E5" w:rsidRPr="009434AE" w:rsidRDefault="009702E5" w:rsidP="00E442CB">
            <w:pPr>
              <w:numPr>
                <w:ilvl w:val="0"/>
                <w:numId w:val="31"/>
              </w:numPr>
              <w:spacing w:before="0" w:after="0" w:line="259" w:lineRule="auto"/>
              <w:ind w:left="170" w:hanging="17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details of members accessing the </w:t>
            </w:r>
            <w:r>
              <w:rPr>
                <w:rFonts w:cstheme="minorHAnsi"/>
                <w:sz w:val="12"/>
                <w:szCs w:val="12"/>
              </w:rPr>
              <w:t>Scheme</w:t>
            </w:r>
          </w:p>
          <w:p w14:paraId="763BDF53" w14:textId="77777777" w:rsidR="009702E5" w:rsidRPr="009434AE" w:rsidRDefault="009702E5" w:rsidP="00E442CB">
            <w:pPr>
              <w:numPr>
                <w:ilvl w:val="0"/>
                <w:numId w:val="31"/>
              </w:numPr>
              <w:spacing w:before="0" w:after="0" w:line="259" w:lineRule="auto"/>
              <w:ind w:left="170" w:hanging="17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yearly financial statements</w:t>
            </w:r>
          </w:p>
          <w:p w14:paraId="71F35C6D" w14:textId="77777777" w:rsidR="009702E5" w:rsidRPr="009434AE" w:rsidRDefault="009702E5" w:rsidP="00E442CB">
            <w:pPr>
              <w:numPr>
                <w:ilvl w:val="0"/>
                <w:numId w:val="31"/>
              </w:numPr>
              <w:spacing w:before="0" w:after="0" w:line="259" w:lineRule="auto"/>
              <w:ind w:left="170" w:hanging="17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any other information related to </w:t>
            </w:r>
            <w:r>
              <w:rPr>
                <w:rFonts w:cstheme="minorHAnsi"/>
                <w:sz w:val="12"/>
                <w:szCs w:val="12"/>
              </w:rPr>
              <w:t>Scheme</w:t>
            </w:r>
            <w:r w:rsidRPr="009434AE">
              <w:rPr>
                <w:rFonts w:cstheme="minorHAnsi"/>
                <w:sz w:val="12"/>
                <w:szCs w:val="12"/>
              </w:rPr>
              <w:t xml:space="preserve"> activities as requested.</w:t>
            </w:r>
          </w:p>
          <w:p w14:paraId="202DA362" w14:textId="77777777"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ACSA is required to provide the above information to the Department on an annual basis, or as requested.</w:t>
            </w:r>
          </w:p>
        </w:tc>
        <w:tc>
          <w:tcPr>
            <w:tcW w:w="2260" w:type="dxa"/>
          </w:tcPr>
          <w:p w14:paraId="11E19BBB" w14:textId="45D91177" w:rsidR="009702E5" w:rsidRPr="00AD7ED7"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highlight w:val="yellow"/>
              </w:rPr>
            </w:pPr>
            <w:r w:rsidRPr="000979DC">
              <w:rPr>
                <w:rFonts w:cstheme="minorHAnsi"/>
                <w:sz w:val="12"/>
                <w:szCs w:val="12"/>
              </w:rPr>
              <w:t>Information not available.</w:t>
            </w:r>
          </w:p>
        </w:tc>
        <w:tc>
          <w:tcPr>
            <w:tcW w:w="2260" w:type="dxa"/>
          </w:tcPr>
          <w:p w14:paraId="17200018" w14:textId="4C91C00B" w:rsidR="009702E5" w:rsidRPr="00AD7ED7"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highlight w:val="yellow"/>
              </w:rPr>
            </w:pPr>
            <w:r w:rsidRPr="000979DC">
              <w:rPr>
                <w:rFonts w:cstheme="minorHAnsi"/>
                <w:sz w:val="12"/>
                <w:szCs w:val="12"/>
              </w:rPr>
              <w:t>Information not available.</w:t>
            </w:r>
          </w:p>
        </w:tc>
        <w:tc>
          <w:tcPr>
            <w:tcW w:w="2260" w:type="dxa"/>
          </w:tcPr>
          <w:p w14:paraId="41B0642C" w14:textId="12B3C14D" w:rsidR="009702E5" w:rsidRPr="00AD7ED7"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highlight w:val="yellow"/>
              </w:rPr>
            </w:pPr>
            <w:r w:rsidRPr="000979DC">
              <w:rPr>
                <w:rFonts w:cstheme="minorHAnsi"/>
                <w:sz w:val="12"/>
                <w:szCs w:val="12"/>
              </w:rPr>
              <w:t>Information not available.</w:t>
            </w:r>
          </w:p>
        </w:tc>
        <w:tc>
          <w:tcPr>
            <w:tcW w:w="2260" w:type="dxa"/>
          </w:tcPr>
          <w:p w14:paraId="26FFC274" w14:textId="4C4A42C3"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Annual report published on NDIS website and annual pricing by component area</w:t>
            </w:r>
            <w:r w:rsidR="005D3225">
              <w:rPr>
                <w:rFonts w:cstheme="minorHAnsi"/>
                <w:sz w:val="12"/>
                <w:szCs w:val="12"/>
              </w:rPr>
              <w:t>.</w:t>
            </w:r>
          </w:p>
        </w:tc>
      </w:tr>
      <w:tr w:rsidR="009702E5" w:rsidRPr="009434AE" w14:paraId="4A142C5A" w14:textId="77777777" w:rsidTr="00B473D9">
        <w:tc>
          <w:tcPr>
            <w:cnfStyle w:val="001000000000" w:firstRow="0" w:lastRow="0" w:firstColumn="1" w:lastColumn="0" w:oddVBand="0" w:evenVBand="0" w:oddHBand="0" w:evenHBand="0" w:firstRowFirstColumn="0" w:firstRowLastColumn="0" w:lastRowFirstColumn="0" w:lastRowLastColumn="0"/>
            <w:tcW w:w="1788" w:type="dxa"/>
          </w:tcPr>
          <w:p w14:paraId="1EC00977" w14:textId="77777777" w:rsidR="009702E5" w:rsidRPr="009434AE" w:rsidRDefault="009702E5" w:rsidP="009702E5">
            <w:pPr>
              <w:spacing w:before="0" w:after="0"/>
              <w:rPr>
                <w:rFonts w:cstheme="minorHAnsi"/>
                <w:b w:val="0"/>
                <w:bCs/>
                <w:sz w:val="12"/>
                <w:szCs w:val="12"/>
              </w:rPr>
            </w:pPr>
            <w:r w:rsidRPr="009434AE">
              <w:rPr>
                <w:rFonts w:cstheme="minorHAnsi"/>
                <w:bCs/>
                <w:sz w:val="12"/>
                <w:szCs w:val="12"/>
              </w:rPr>
              <w:t>Ordering</w:t>
            </w:r>
          </w:p>
        </w:tc>
        <w:tc>
          <w:tcPr>
            <w:tcW w:w="1482" w:type="dxa"/>
          </w:tcPr>
          <w:p w14:paraId="4837D799" w14:textId="77777777"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The procedure by which participants request specific stoma-related products or services. This involves selecting items based on eligibility, adhering to set limits, and submitting the request through designated channels.</w:t>
            </w:r>
          </w:p>
        </w:tc>
        <w:tc>
          <w:tcPr>
            <w:tcW w:w="2260" w:type="dxa"/>
          </w:tcPr>
          <w:p w14:paraId="2156D95B" w14:textId="53FDB441" w:rsidR="009702E5" w:rsidRPr="009434AE" w:rsidRDefault="009702E5" w:rsidP="00E442CB">
            <w:pPr>
              <w:numPr>
                <w:ilvl w:val="0"/>
                <w:numId w:val="32"/>
              </w:numPr>
              <w:spacing w:before="0" w:after="0"/>
              <w:ind w:left="170" w:hanging="17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 xml:space="preserve">Orders must be in writing by post, fax, </w:t>
            </w:r>
            <w:proofErr w:type="gramStart"/>
            <w:r w:rsidRPr="009434AE">
              <w:rPr>
                <w:rFonts w:cstheme="minorHAnsi"/>
                <w:sz w:val="12"/>
                <w:szCs w:val="12"/>
              </w:rPr>
              <w:t>email</w:t>
            </w:r>
            <w:proofErr w:type="gramEnd"/>
            <w:r w:rsidRPr="009434AE">
              <w:rPr>
                <w:rFonts w:cstheme="minorHAnsi"/>
                <w:sz w:val="12"/>
                <w:szCs w:val="12"/>
              </w:rPr>
              <w:t xml:space="preserve"> or online form (e.g. </w:t>
            </w:r>
            <w:hyperlink r:id="rId73" w:history="1">
              <w:r w:rsidRPr="009434AE">
                <w:rPr>
                  <w:rFonts w:cstheme="minorHAnsi"/>
                  <w:color w:val="3B0083" w:themeColor="hyperlink"/>
                  <w:sz w:val="12"/>
                  <w:szCs w:val="12"/>
                  <w:u w:val="single"/>
                </w:rPr>
                <w:t>NSW Online Order Form</w:t>
              </w:r>
            </w:hyperlink>
            <w:r w:rsidRPr="009434AE">
              <w:rPr>
                <w:rFonts w:cstheme="minorHAnsi"/>
                <w:sz w:val="12"/>
                <w:szCs w:val="12"/>
              </w:rPr>
              <w:t>) via a stoma association.</w:t>
            </w:r>
          </w:p>
          <w:p w14:paraId="1BDD4A8F" w14:textId="77777777" w:rsidR="009702E5" w:rsidRPr="009434AE" w:rsidRDefault="009702E5" w:rsidP="00E442CB">
            <w:pPr>
              <w:numPr>
                <w:ilvl w:val="0"/>
                <w:numId w:val="31"/>
              </w:numPr>
              <w:spacing w:before="0" w:after="0"/>
              <w:ind w:left="170" w:hanging="17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Members are entitled to one supply per month only.</w:t>
            </w:r>
          </w:p>
          <w:p w14:paraId="138202E7" w14:textId="77777777" w:rsidR="009702E5" w:rsidRPr="009434AE" w:rsidRDefault="009702E5" w:rsidP="00E442CB">
            <w:pPr>
              <w:numPr>
                <w:ilvl w:val="0"/>
                <w:numId w:val="31"/>
              </w:numPr>
              <w:spacing w:before="0" w:after="0"/>
              <w:ind w:left="170" w:hanging="17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 xml:space="preserve">Maximum quantities are determined by </w:t>
            </w:r>
            <w:r>
              <w:rPr>
                <w:rFonts w:cstheme="minorHAnsi"/>
                <w:sz w:val="12"/>
                <w:szCs w:val="12"/>
              </w:rPr>
              <w:t>Scheme</w:t>
            </w:r>
            <w:r w:rsidRPr="009434AE">
              <w:rPr>
                <w:rFonts w:cstheme="minorHAnsi"/>
                <w:sz w:val="12"/>
                <w:szCs w:val="12"/>
              </w:rPr>
              <w:t xml:space="preserve"> Schedule.</w:t>
            </w:r>
          </w:p>
        </w:tc>
        <w:tc>
          <w:tcPr>
            <w:tcW w:w="2260" w:type="dxa"/>
          </w:tcPr>
          <w:p w14:paraId="7DB61F2C" w14:textId="3C9DAD96" w:rsidR="009702E5" w:rsidRPr="009434AE" w:rsidRDefault="00EC6A7F"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Pr>
                <w:rFonts w:cstheme="minorHAnsi"/>
                <w:sz w:val="12"/>
                <w:szCs w:val="12"/>
              </w:rPr>
              <w:t>N/A.</w:t>
            </w:r>
          </w:p>
        </w:tc>
        <w:tc>
          <w:tcPr>
            <w:tcW w:w="2260" w:type="dxa"/>
          </w:tcPr>
          <w:p w14:paraId="4ED6D138" w14:textId="7FE40381" w:rsidR="009702E5" w:rsidRPr="009434AE" w:rsidRDefault="00EC6A7F"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Pr>
                <w:rFonts w:cstheme="minorHAnsi"/>
                <w:sz w:val="12"/>
                <w:szCs w:val="12"/>
              </w:rPr>
              <w:t>N/A.</w:t>
            </w:r>
          </w:p>
        </w:tc>
        <w:tc>
          <w:tcPr>
            <w:tcW w:w="2260" w:type="dxa"/>
          </w:tcPr>
          <w:p w14:paraId="22254376" w14:textId="191C67F4" w:rsidR="009702E5" w:rsidRPr="009702E5"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highlight w:val="yellow"/>
              </w:rPr>
            </w:pPr>
            <w:r w:rsidRPr="000979DC">
              <w:rPr>
                <w:rFonts w:cstheme="minorHAnsi"/>
                <w:sz w:val="12"/>
                <w:szCs w:val="12"/>
              </w:rPr>
              <w:t>Information not available.</w:t>
            </w:r>
          </w:p>
        </w:tc>
        <w:tc>
          <w:tcPr>
            <w:tcW w:w="2260" w:type="dxa"/>
          </w:tcPr>
          <w:p w14:paraId="0A99D1D9" w14:textId="10D03A33" w:rsidR="009702E5" w:rsidRPr="009434AE" w:rsidRDefault="00EC6A7F"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Pr>
                <w:rFonts w:cstheme="minorHAnsi"/>
                <w:sz w:val="12"/>
                <w:szCs w:val="12"/>
              </w:rPr>
              <w:t>N/A.</w:t>
            </w:r>
          </w:p>
        </w:tc>
      </w:tr>
      <w:tr w:rsidR="009702E5" w:rsidRPr="009434AE" w14:paraId="2F7E70D7" w14:textId="77777777" w:rsidTr="00B47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tcPr>
          <w:p w14:paraId="02F64D38" w14:textId="77777777" w:rsidR="009702E5" w:rsidRPr="009434AE" w:rsidRDefault="009702E5" w:rsidP="009702E5">
            <w:pPr>
              <w:spacing w:before="0" w:after="0"/>
              <w:rPr>
                <w:rFonts w:cstheme="minorHAnsi"/>
                <w:b w:val="0"/>
                <w:bCs/>
                <w:sz w:val="12"/>
                <w:szCs w:val="12"/>
              </w:rPr>
            </w:pPr>
            <w:r w:rsidRPr="009434AE">
              <w:rPr>
                <w:rFonts w:cstheme="minorHAnsi"/>
                <w:bCs/>
                <w:sz w:val="12"/>
                <w:szCs w:val="12"/>
              </w:rPr>
              <w:t>Customer Support</w:t>
            </w:r>
          </w:p>
        </w:tc>
        <w:tc>
          <w:tcPr>
            <w:tcW w:w="1482" w:type="dxa"/>
          </w:tcPr>
          <w:p w14:paraId="3DFD0CA0" w14:textId="57F01345"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Types of support services offered (e.g., hotlines, consultations) and their availability at some associations</w:t>
            </w:r>
            <w:r w:rsidR="005D3225">
              <w:rPr>
                <w:rFonts w:cstheme="minorHAnsi"/>
                <w:sz w:val="12"/>
                <w:szCs w:val="12"/>
              </w:rPr>
              <w:t>.</w:t>
            </w:r>
          </w:p>
        </w:tc>
        <w:tc>
          <w:tcPr>
            <w:tcW w:w="2260" w:type="dxa"/>
          </w:tcPr>
          <w:p w14:paraId="2FDA2135" w14:textId="77777777" w:rsidR="009702E5" w:rsidRPr="009434AE" w:rsidRDefault="009702E5" w:rsidP="00E442CB">
            <w:pPr>
              <w:numPr>
                <w:ilvl w:val="0"/>
                <w:numId w:val="31"/>
              </w:numPr>
              <w:spacing w:before="0" w:after="0"/>
              <w:ind w:left="170" w:hanging="17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Support during business hours available via associations may include – website, email, </w:t>
            </w:r>
            <w:proofErr w:type="gramStart"/>
            <w:r w:rsidRPr="009434AE">
              <w:rPr>
                <w:rFonts w:cstheme="minorHAnsi"/>
                <w:sz w:val="12"/>
                <w:szCs w:val="12"/>
              </w:rPr>
              <w:t>telephone</w:t>
            </w:r>
            <w:proofErr w:type="gramEnd"/>
            <w:r w:rsidRPr="009434AE">
              <w:rPr>
                <w:rFonts w:cstheme="minorHAnsi"/>
                <w:sz w:val="12"/>
                <w:szCs w:val="12"/>
              </w:rPr>
              <w:t xml:space="preserve"> and in-person (via office premises).</w:t>
            </w:r>
          </w:p>
          <w:p w14:paraId="5E38B8E2" w14:textId="381D6921" w:rsidR="009702E5" w:rsidRPr="009434AE" w:rsidRDefault="009702E5" w:rsidP="00E442CB">
            <w:pPr>
              <w:numPr>
                <w:ilvl w:val="0"/>
                <w:numId w:val="31"/>
              </w:numPr>
              <w:spacing w:before="0" w:after="0"/>
              <w:ind w:left="170" w:hanging="17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Some associations offer After Hours emergency support e.g. the QLD Ostomate Support After Hours emergency support service</w:t>
            </w:r>
            <w:r w:rsidR="00402896">
              <w:rPr>
                <w:rFonts w:cstheme="minorHAnsi"/>
                <w:sz w:val="12"/>
                <w:szCs w:val="12"/>
              </w:rPr>
              <w:t>.</w:t>
            </w:r>
          </w:p>
          <w:p w14:paraId="41198CA5" w14:textId="77777777"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p>
        </w:tc>
        <w:tc>
          <w:tcPr>
            <w:tcW w:w="2260" w:type="dxa"/>
          </w:tcPr>
          <w:p w14:paraId="0C3567EB" w14:textId="149D036C"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CAPS team. Contact to report a change in circumstances or if any questions about CAPS payments. The CAPS team is part of Services Australia and operates from 8.30am to 5pm (AEST) Monday to Friday.</w:t>
            </w:r>
          </w:p>
          <w:p w14:paraId="77E04AE7" w14:textId="7DE1769B"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National Continence Helpline: is staffed by a team of continence nurse advis</w:t>
            </w:r>
            <w:r w:rsidR="00C92AD3">
              <w:rPr>
                <w:rFonts w:cstheme="minorHAnsi"/>
                <w:sz w:val="12"/>
                <w:szCs w:val="12"/>
              </w:rPr>
              <w:t>o</w:t>
            </w:r>
            <w:r w:rsidRPr="009434AE">
              <w:rPr>
                <w:rFonts w:cstheme="minorHAnsi"/>
                <w:sz w:val="12"/>
                <w:szCs w:val="12"/>
              </w:rPr>
              <w:t xml:space="preserve">rs and is available to anyone in Australia. It operates </w:t>
            </w:r>
            <w:r w:rsidRPr="009434AE">
              <w:rPr>
                <w:rFonts w:cstheme="minorHAnsi"/>
                <w:sz w:val="12"/>
                <w:szCs w:val="12"/>
              </w:rPr>
              <w:lastRenderedPageBreak/>
              <w:t>from 8am to 8pm (AEST) Monday to Friday.</w:t>
            </w:r>
          </w:p>
        </w:tc>
        <w:tc>
          <w:tcPr>
            <w:tcW w:w="2260" w:type="dxa"/>
          </w:tcPr>
          <w:p w14:paraId="72A68A62" w14:textId="736DB911"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lastRenderedPageBreak/>
              <w:t>Contact the N</w:t>
            </w:r>
            <w:r w:rsidR="004B60AF">
              <w:rPr>
                <w:rFonts w:cstheme="minorHAnsi"/>
                <w:sz w:val="12"/>
                <w:szCs w:val="12"/>
              </w:rPr>
              <w:t>DSS</w:t>
            </w:r>
            <w:r w:rsidRPr="009434AE">
              <w:rPr>
                <w:rFonts w:cstheme="minorHAnsi"/>
                <w:sz w:val="12"/>
                <w:szCs w:val="12"/>
              </w:rPr>
              <w:t xml:space="preserve"> for information about access to subsidised diabetes products and support.</w:t>
            </w:r>
          </w:p>
        </w:tc>
        <w:tc>
          <w:tcPr>
            <w:tcW w:w="2260" w:type="dxa"/>
          </w:tcPr>
          <w:p w14:paraId="7A17C536" w14:textId="1BE78F92" w:rsidR="009702E5" w:rsidRPr="00AD7ED7"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highlight w:val="yellow"/>
              </w:rPr>
            </w:pPr>
            <w:r w:rsidRPr="000979DC">
              <w:rPr>
                <w:rFonts w:cstheme="minorHAnsi"/>
                <w:sz w:val="12"/>
                <w:szCs w:val="12"/>
              </w:rPr>
              <w:t>Information not available.</w:t>
            </w:r>
          </w:p>
        </w:tc>
        <w:tc>
          <w:tcPr>
            <w:tcW w:w="2260" w:type="dxa"/>
          </w:tcPr>
          <w:p w14:paraId="7CF5B34E" w14:textId="77777777"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Offices and contacts by area</w:t>
            </w:r>
          </w:p>
          <w:p w14:paraId="78ECBFED" w14:textId="40519B7B" w:rsidR="009702E5" w:rsidRPr="009434AE" w:rsidRDefault="009702E5" w:rsidP="00E442CB">
            <w:pPr>
              <w:pStyle w:val="ListParagraph"/>
              <w:numPr>
                <w:ilvl w:val="0"/>
                <w:numId w:val="43"/>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L</w:t>
            </w:r>
            <w:r w:rsidR="004B60AF">
              <w:rPr>
                <w:rFonts w:cstheme="minorHAnsi"/>
                <w:sz w:val="12"/>
                <w:szCs w:val="12"/>
              </w:rPr>
              <w:t>AC</w:t>
            </w:r>
          </w:p>
          <w:p w14:paraId="2D8BEC66" w14:textId="77777777" w:rsidR="009702E5" w:rsidRPr="009434AE" w:rsidRDefault="009702E5" w:rsidP="00E442CB">
            <w:pPr>
              <w:pStyle w:val="ListParagraph"/>
              <w:numPr>
                <w:ilvl w:val="0"/>
                <w:numId w:val="43"/>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Early childhood partner for children younger than 9</w:t>
            </w:r>
          </w:p>
          <w:p w14:paraId="6BF8BDEC" w14:textId="66990120" w:rsidR="009702E5" w:rsidRPr="009434AE" w:rsidRDefault="009702E5" w:rsidP="00E442CB">
            <w:pPr>
              <w:pStyle w:val="ListParagraph"/>
              <w:numPr>
                <w:ilvl w:val="0"/>
                <w:numId w:val="43"/>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Local NDIS offices</w:t>
            </w:r>
          </w:p>
          <w:p w14:paraId="409B01C4" w14:textId="77777777"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Phone NDIS on 1800 800 110 or chat </w:t>
            </w:r>
            <w:proofErr w:type="gramStart"/>
            <w:r w:rsidRPr="009434AE">
              <w:rPr>
                <w:rFonts w:cstheme="minorHAnsi"/>
                <w:sz w:val="12"/>
                <w:szCs w:val="12"/>
              </w:rPr>
              <w:t>now</w:t>
            </w:r>
            <w:proofErr w:type="gramEnd"/>
          </w:p>
          <w:p w14:paraId="159F9FF0" w14:textId="77777777"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Via the NDIS website</w:t>
            </w:r>
          </w:p>
          <w:p w14:paraId="27C76499" w14:textId="77777777" w:rsidR="009702E5" w:rsidRPr="009434AE" w:rsidRDefault="009702E5" w:rsidP="00E442CB">
            <w:pPr>
              <w:pStyle w:val="ListParagraph"/>
              <w:numPr>
                <w:ilvl w:val="0"/>
                <w:numId w:val="44"/>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Contact and feedback </w:t>
            </w:r>
            <w:proofErr w:type="gramStart"/>
            <w:r w:rsidRPr="009434AE">
              <w:rPr>
                <w:rFonts w:cstheme="minorHAnsi"/>
                <w:sz w:val="12"/>
                <w:szCs w:val="12"/>
              </w:rPr>
              <w:t>form</w:t>
            </w:r>
            <w:proofErr w:type="gramEnd"/>
          </w:p>
          <w:p w14:paraId="276B1414" w14:textId="77777777" w:rsidR="009702E5" w:rsidRPr="009434AE" w:rsidRDefault="009702E5" w:rsidP="00E442CB">
            <w:pPr>
              <w:pStyle w:val="ListParagraph"/>
              <w:numPr>
                <w:ilvl w:val="0"/>
                <w:numId w:val="44"/>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Make an </w:t>
            </w:r>
            <w:proofErr w:type="gramStart"/>
            <w:r w:rsidRPr="009434AE">
              <w:rPr>
                <w:rFonts w:cstheme="minorHAnsi"/>
                <w:sz w:val="12"/>
                <w:szCs w:val="12"/>
              </w:rPr>
              <w:t>enquiry</w:t>
            </w:r>
            <w:proofErr w:type="gramEnd"/>
          </w:p>
          <w:p w14:paraId="51EE1C94" w14:textId="77777777" w:rsidR="009702E5" w:rsidRPr="009434AE" w:rsidRDefault="009702E5" w:rsidP="00E442CB">
            <w:pPr>
              <w:pStyle w:val="ListParagraph"/>
              <w:numPr>
                <w:ilvl w:val="0"/>
                <w:numId w:val="44"/>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 xml:space="preserve">Request a call </w:t>
            </w:r>
            <w:proofErr w:type="gramStart"/>
            <w:r w:rsidRPr="009434AE">
              <w:rPr>
                <w:rFonts w:cstheme="minorHAnsi"/>
                <w:sz w:val="12"/>
                <w:szCs w:val="12"/>
              </w:rPr>
              <w:t>back</w:t>
            </w:r>
            <w:proofErr w:type="gramEnd"/>
          </w:p>
          <w:p w14:paraId="36CB4763" w14:textId="77777777" w:rsidR="009702E5" w:rsidRPr="009434AE" w:rsidRDefault="009702E5" w:rsidP="00E442CB">
            <w:pPr>
              <w:pStyle w:val="ListParagraph"/>
              <w:numPr>
                <w:ilvl w:val="0"/>
                <w:numId w:val="44"/>
              </w:numPr>
              <w:spacing w:before="0" w:after="0" w:line="259" w:lineRule="auto"/>
              <w:ind w:left="227" w:hanging="227"/>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lastRenderedPageBreak/>
              <w:t>Feedback or complaints</w:t>
            </w:r>
          </w:p>
        </w:tc>
      </w:tr>
      <w:tr w:rsidR="009702E5" w:rsidRPr="009434AE" w14:paraId="7F8E6CDD" w14:textId="77777777" w:rsidTr="00B473D9">
        <w:tc>
          <w:tcPr>
            <w:cnfStyle w:val="001000000000" w:firstRow="0" w:lastRow="0" w:firstColumn="1" w:lastColumn="0" w:oddVBand="0" w:evenVBand="0" w:oddHBand="0" w:evenHBand="0" w:firstRowFirstColumn="0" w:firstRowLastColumn="0" w:lastRowFirstColumn="0" w:lastRowLastColumn="0"/>
            <w:tcW w:w="1788" w:type="dxa"/>
          </w:tcPr>
          <w:p w14:paraId="20BBB3B6" w14:textId="77777777" w:rsidR="009702E5" w:rsidRPr="009434AE" w:rsidRDefault="009702E5" w:rsidP="009702E5">
            <w:pPr>
              <w:spacing w:before="0" w:after="0"/>
              <w:rPr>
                <w:rFonts w:cstheme="minorHAnsi"/>
                <w:b w:val="0"/>
                <w:bCs/>
                <w:sz w:val="12"/>
                <w:szCs w:val="12"/>
              </w:rPr>
            </w:pPr>
            <w:r w:rsidRPr="009434AE">
              <w:rPr>
                <w:rFonts w:cstheme="minorHAnsi"/>
                <w:bCs/>
                <w:sz w:val="12"/>
                <w:szCs w:val="12"/>
              </w:rPr>
              <w:lastRenderedPageBreak/>
              <w:t>Public Awareness</w:t>
            </w:r>
          </w:p>
        </w:tc>
        <w:tc>
          <w:tcPr>
            <w:tcW w:w="1482" w:type="dxa"/>
          </w:tcPr>
          <w:p w14:paraId="5BEA0B28" w14:textId="77777777"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Measures to educate the public about the scheme.</w:t>
            </w:r>
          </w:p>
        </w:tc>
        <w:tc>
          <w:tcPr>
            <w:tcW w:w="2260" w:type="dxa"/>
          </w:tcPr>
          <w:p w14:paraId="3CBAE6A8" w14:textId="1C3EA5AC"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 xml:space="preserve">Via ACSA </w:t>
            </w:r>
            <w:r w:rsidR="0045535C" w:rsidRPr="009434AE">
              <w:rPr>
                <w:rFonts w:cstheme="minorHAnsi"/>
                <w:sz w:val="12"/>
                <w:szCs w:val="12"/>
              </w:rPr>
              <w:t>whose</w:t>
            </w:r>
            <w:r w:rsidRPr="009434AE">
              <w:rPr>
                <w:rFonts w:cstheme="minorHAnsi"/>
                <w:sz w:val="12"/>
                <w:szCs w:val="12"/>
              </w:rPr>
              <w:t xml:space="preserve"> mission is to provide support and assistance to all stoma associations in carrying out their work in promoting the general wellbeing of persons who have undergone ostomy surgery in Australia.</w:t>
            </w:r>
          </w:p>
        </w:tc>
        <w:tc>
          <w:tcPr>
            <w:tcW w:w="2260" w:type="dxa"/>
          </w:tcPr>
          <w:p w14:paraId="692F8ECD" w14:textId="5FF87A20"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0979DC">
              <w:rPr>
                <w:rFonts w:cstheme="minorHAnsi"/>
                <w:sz w:val="12"/>
                <w:szCs w:val="12"/>
              </w:rPr>
              <w:t>Information not available.</w:t>
            </w:r>
          </w:p>
        </w:tc>
        <w:tc>
          <w:tcPr>
            <w:tcW w:w="2260" w:type="dxa"/>
          </w:tcPr>
          <w:p w14:paraId="60862B28" w14:textId="60EA6501"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0979DC">
              <w:rPr>
                <w:rFonts w:cstheme="minorHAnsi"/>
                <w:sz w:val="12"/>
                <w:szCs w:val="12"/>
              </w:rPr>
              <w:t>Information not available.</w:t>
            </w:r>
          </w:p>
        </w:tc>
        <w:tc>
          <w:tcPr>
            <w:tcW w:w="2260" w:type="dxa"/>
          </w:tcPr>
          <w:p w14:paraId="163291D3" w14:textId="77777777"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Independence Australia and DEBRA Australia</w:t>
            </w:r>
          </w:p>
        </w:tc>
        <w:tc>
          <w:tcPr>
            <w:tcW w:w="2260" w:type="dxa"/>
          </w:tcPr>
          <w:p w14:paraId="2D10FB88" w14:textId="433F63ED"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0979DC">
              <w:rPr>
                <w:rFonts w:cstheme="minorHAnsi"/>
                <w:sz w:val="12"/>
                <w:szCs w:val="12"/>
              </w:rPr>
              <w:t>Information not available.</w:t>
            </w:r>
          </w:p>
        </w:tc>
      </w:tr>
      <w:tr w:rsidR="009702E5" w:rsidRPr="009434AE" w14:paraId="6D4044D8" w14:textId="77777777" w:rsidTr="00B47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tcPr>
          <w:p w14:paraId="15F36009" w14:textId="77777777" w:rsidR="009702E5" w:rsidRPr="009434AE" w:rsidRDefault="009702E5" w:rsidP="009702E5">
            <w:pPr>
              <w:spacing w:before="0" w:after="0"/>
              <w:rPr>
                <w:rFonts w:cstheme="minorHAnsi"/>
                <w:b w:val="0"/>
                <w:bCs/>
                <w:sz w:val="12"/>
                <w:szCs w:val="12"/>
              </w:rPr>
            </w:pPr>
            <w:r w:rsidRPr="009434AE">
              <w:rPr>
                <w:rFonts w:cstheme="minorHAnsi"/>
                <w:bCs/>
                <w:sz w:val="12"/>
                <w:szCs w:val="12"/>
              </w:rPr>
              <w:t>Governance arrangements</w:t>
            </w:r>
          </w:p>
        </w:tc>
        <w:tc>
          <w:tcPr>
            <w:tcW w:w="1482" w:type="dxa"/>
          </w:tcPr>
          <w:p w14:paraId="34B7F596" w14:textId="77777777"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The bodies or panels responsible for overall governance, policy direction, quality assurance, and compliance.</w:t>
            </w:r>
          </w:p>
        </w:tc>
        <w:tc>
          <w:tcPr>
            <w:tcW w:w="2260" w:type="dxa"/>
          </w:tcPr>
          <w:p w14:paraId="10555DCD" w14:textId="77777777" w:rsidR="009702E5" w:rsidRPr="009434AE" w:rsidRDefault="009702E5" w:rsidP="00E442CB">
            <w:pPr>
              <w:numPr>
                <w:ilvl w:val="0"/>
                <w:numId w:val="31"/>
              </w:numPr>
              <w:spacing w:before="0" w:after="0" w:line="259" w:lineRule="auto"/>
              <w:ind w:left="170" w:hanging="170"/>
              <w:cnfStyle w:val="000000010000" w:firstRow="0" w:lastRow="0" w:firstColumn="0" w:lastColumn="0" w:oddVBand="0" w:evenVBand="0" w:oddHBand="0" w:evenHBand="1" w:firstRowFirstColumn="0" w:firstRowLastColumn="0" w:lastRowFirstColumn="0" w:lastRowLastColumn="0"/>
              <w:rPr>
                <w:rFonts w:cstheme="minorHAnsi"/>
                <w:sz w:val="12"/>
                <w:szCs w:val="12"/>
              </w:rPr>
            </w:pPr>
            <w:r>
              <w:rPr>
                <w:rFonts w:cstheme="minorHAnsi"/>
                <w:b/>
                <w:bCs/>
                <w:sz w:val="12"/>
                <w:szCs w:val="12"/>
              </w:rPr>
              <w:t>Scheme</w:t>
            </w:r>
            <w:r w:rsidRPr="009434AE">
              <w:rPr>
                <w:rFonts w:cstheme="minorHAnsi"/>
                <w:b/>
                <w:bCs/>
                <w:sz w:val="12"/>
                <w:szCs w:val="12"/>
              </w:rPr>
              <w:t xml:space="preserve"> participants</w:t>
            </w:r>
            <w:r w:rsidRPr="009434AE">
              <w:rPr>
                <w:rFonts w:cstheme="minorHAnsi"/>
                <w:sz w:val="12"/>
                <w:szCs w:val="12"/>
              </w:rPr>
              <w:t xml:space="preserve"> – an eligible person registered with an </w:t>
            </w:r>
            <w:proofErr w:type="gramStart"/>
            <w:r w:rsidRPr="009434AE">
              <w:rPr>
                <w:rFonts w:cstheme="minorHAnsi"/>
                <w:sz w:val="12"/>
                <w:szCs w:val="12"/>
              </w:rPr>
              <w:t>association</w:t>
            </w:r>
            <w:proofErr w:type="gramEnd"/>
          </w:p>
          <w:p w14:paraId="35FC40F0" w14:textId="288E3A73" w:rsidR="009702E5" w:rsidRPr="009434AE" w:rsidRDefault="009702E5" w:rsidP="00E442CB">
            <w:pPr>
              <w:numPr>
                <w:ilvl w:val="0"/>
                <w:numId w:val="31"/>
              </w:numPr>
              <w:spacing w:before="0" w:after="0" w:line="259" w:lineRule="auto"/>
              <w:ind w:left="170" w:hanging="17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b/>
                <w:bCs/>
                <w:sz w:val="12"/>
                <w:szCs w:val="12"/>
              </w:rPr>
              <w:t>Stoma associations</w:t>
            </w:r>
            <w:r w:rsidRPr="009434AE">
              <w:rPr>
                <w:rFonts w:cstheme="minorHAnsi"/>
                <w:sz w:val="12"/>
                <w:szCs w:val="12"/>
              </w:rPr>
              <w:t xml:space="preserve"> – responsible for ordering and distributing stoma</w:t>
            </w:r>
            <w:r w:rsidR="006A0BD8">
              <w:rPr>
                <w:rFonts w:cstheme="minorHAnsi"/>
                <w:sz w:val="12"/>
                <w:szCs w:val="12"/>
              </w:rPr>
              <w:t>-</w:t>
            </w:r>
            <w:r w:rsidRPr="009434AE">
              <w:rPr>
                <w:rFonts w:cstheme="minorHAnsi"/>
                <w:sz w:val="12"/>
                <w:szCs w:val="12"/>
              </w:rPr>
              <w:t xml:space="preserve">related </w:t>
            </w:r>
            <w:proofErr w:type="gramStart"/>
            <w:r w:rsidRPr="009434AE">
              <w:rPr>
                <w:rFonts w:cstheme="minorHAnsi"/>
                <w:sz w:val="12"/>
                <w:szCs w:val="12"/>
              </w:rPr>
              <w:t>products</w:t>
            </w:r>
            <w:proofErr w:type="gramEnd"/>
          </w:p>
          <w:p w14:paraId="29540B42" w14:textId="16CD1FFD" w:rsidR="009702E5" w:rsidRPr="009434AE" w:rsidRDefault="009702E5" w:rsidP="00E442CB">
            <w:pPr>
              <w:pStyle w:val="ListParagraph"/>
              <w:numPr>
                <w:ilvl w:val="0"/>
                <w:numId w:val="31"/>
              </w:numPr>
              <w:spacing w:before="0" w:after="0" w:line="259" w:lineRule="auto"/>
              <w:ind w:left="170" w:hanging="170"/>
              <w:contextualSpacing w:val="0"/>
              <w:cnfStyle w:val="000000010000" w:firstRow="0" w:lastRow="0" w:firstColumn="0" w:lastColumn="0" w:oddVBand="0" w:evenVBand="0" w:oddHBand="0" w:evenHBand="1" w:firstRowFirstColumn="0" w:firstRowLastColumn="0" w:lastRowFirstColumn="0" w:lastRowLastColumn="0"/>
              <w:rPr>
                <w:rFonts w:cstheme="minorHAnsi"/>
                <w:b/>
                <w:bCs/>
                <w:sz w:val="12"/>
                <w:szCs w:val="12"/>
              </w:rPr>
            </w:pPr>
            <w:r w:rsidRPr="009434AE">
              <w:rPr>
                <w:rFonts w:cstheme="minorHAnsi"/>
                <w:b/>
                <w:bCs/>
                <w:sz w:val="12"/>
                <w:szCs w:val="12"/>
              </w:rPr>
              <w:t>Health professionals (e.g. medical and S</w:t>
            </w:r>
            <w:r w:rsidR="00B835EB">
              <w:rPr>
                <w:rFonts w:cstheme="minorHAnsi"/>
                <w:b/>
                <w:bCs/>
                <w:sz w:val="12"/>
                <w:szCs w:val="12"/>
              </w:rPr>
              <w:t>TNs</w:t>
            </w:r>
            <w:r w:rsidRPr="009434AE">
              <w:rPr>
                <w:rFonts w:cstheme="minorHAnsi"/>
                <w:b/>
                <w:bCs/>
                <w:sz w:val="12"/>
                <w:szCs w:val="12"/>
              </w:rPr>
              <w:t xml:space="preserve"> </w:t>
            </w:r>
            <w:r w:rsidRPr="009434AE">
              <w:rPr>
                <w:rFonts w:cstheme="minorHAnsi"/>
                <w:sz w:val="12"/>
                <w:szCs w:val="12"/>
              </w:rPr>
              <w:t>assess and sign-off if patient is eligibility and should access restricted products</w:t>
            </w:r>
          </w:p>
          <w:p w14:paraId="1840B52D" w14:textId="061E9E95" w:rsidR="009702E5" w:rsidRPr="009434AE" w:rsidRDefault="009702E5" w:rsidP="00E442CB">
            <w:pPr>
              <w:numPr>
                <w:ilvl w:val="0"/>
                <w:numId w:val="31"/>
              </w:numPr>
              <w:spacing w:before="0" w:after="0" w:line="259" w:lineRule="auto"/>
              <w:ind w:left="170" w:hanging="170"/>
              <w:cnfStyle w:val="000000010000" w:firstRow="0" w:lastRow="0" w:firstColumn="0" w:lastColumn="0" w:oddVBand="0" w:evenVBand="0" w:oddHBand="0" w:evenHBand="1" w:firstRowFirstColumn="0" w:firstRowLastColumn="0" w:lastRowFirstColumn="0" w:lastRowLastColumn="0"/>
              <w:rPr>
                <w:rFonts w:cstheme="minorHAnsi"/>
                <w:sz w:val="12"/>
                <w:szCs w:val="12"/>
              </w:rPr>
            </w:pPr>
            <w:r>
              <w:rPr>
                <w:rFonts w:cstheme="minorHAnsi"/>
                <w:b/>
                <w:bCs/>
                <w:sz w:val="12"/>
                <w:szCs w:val="12"/>
              </w:rPr>
              <w:t>Scheme</w:t>
            </w:r>
            <w:r w:rsidRPr="009434AE">
              <w:rPr>
                <w:rFonts w:cstheme="minorHAnsi"/>
                <w:b/>
                <w:bCs/>
                <w:sz w:val="12"/>
                <w:szCs w:val="12"/>
              </w:rPr>
              <w:t xml:space="preserve"> sponsor</w:t>
            </w:r>
            <w:r w:rsidRPr="009434AE">
              <w:rPr>
                <w:rFonts w:cstheme="minorHAnsi"/>
                <w:sz w:val="12"/>
                <w:szCs w:val="12"/>
              </w:rPr>
              <w:t xml:space="preserve"> is a manufacturer or distributor of stoma</w:t>
            </w:r>
            <w:r w:rsidR="006A0BD8">
              <w:rPr>
                <w:rFonts w:cstheme="minorHAnsi"/>
                <w:sz w:val="12"/>
                <w:szCs w:val="12"/>
              </w:rPr>
              <w:t>-</w:t>
            </w:r>
            <w:r w:rsidRPr="009434AE">
              <w:rPr>
                <w:rFonts w:cstheme="minorHAnsi"/>
                <w:sz w:val="12"/>
                <w:szCs w:val="12"/>
              </w:rPr>
              <w:t xml:space="preserve">related </w:t>
            </w:r>
            <w:proofErr w:type="gramStart"/>
            <w:r w:rsidRPr="009434AE">
              <w:rPr>
                <w:rFonts w:cstheme="minorHAnsi"/>
                <w:sz w:val="12"/>
                <w:szCs w:val="12"/>
              </w:rPr>
              <w:t>products</w:t>
            </w:r>
            <w:proofErr w:type="gramEnd"/>
          </w:p>
          <w:p w14:paraId="05733CCB" w14:textId="471D6AF4" w:rsidR="009702E5" w:rsidRPr="009434AE" w:rsidRDefault="009702E5" w:rsidP="00E442CB">
            <w:pPr>
              <w:numPr>
                <w:ilvl w:val="0"/>
                <w:numId w:val="31"/>
              </w:numPr>
              <w:spacing w:before="0" w:after="0" w:line="259" w:lineRule="auto"/>
              <w:ind w:left="170" w:hanging="17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b/>
                <w:bCs/>
                <w:sz w:val="12"/>
                <w:szCs w:val="12"/>
              </w:rPr>
              <w:t>Services Australia</w:t>
            </w:r>
            <w:r w:rsidRPr="009434AE">
              <w:rPr>
                <w:rFonts w:cstheme="minorHAnsi"/>
                <w:sz w:val="12"/>
                <w:szCs w:val="12"/>
              </w:rPr>
              <w:t xml:space="preserve"> – claims processing and payments</w:t>
            </w:r>
          </w:p>
          <w:p w14:paraId="30EFE920" w14:textId="4B7A5F5F" w:rsidR="009702E5" w:rsidRPr="009434AE" w:rsidRDefault="009702E5" w:rsidP="00E442CB">
            <w:pPr>
              <w:numPr>
                <w:ilvl w:val="0"/>
                <w:numId w:val="31"/>
              </w:numPr>
              <w:spacing w:before="0" w:after="0" w:line="259" w:lineRule="auto"/>
              <w:ind w:left="170" w:hanging="17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b/>
                <w:bCs/>
                <w:sz w:val="12"/>
                <w:szCs w:val="12"/>
              </w:rPr>
              <w:t>A</w:t>
            </w:r>
            <w:r w:rsidR="004138A3">
              <w:rPr>
                <w:rFonts w:cstheme="minorHAnsi"/>
                <w:b/>
                <w:bCs/>
                <w:sz w:val="12"/>
                <w:szCs w:val="12"/>
              </w:rPr>
              <w:t>CSA</w:t>
            </w:r>
            <w:r w:rsidRPr="009434AE">
              <w:rPr>
                <w:rFonts w:cstheme="minorHAnsi"/>
                <w:sz w:val="12"/>
                <w:szCs w:val="12"/>
              </w:rPr>
              <w:t xml:space="preserve"> – represents individual stoma </w:t>
            </w:r>
            <w:proofErr w:type="gramStart"/>
            <w:r w:rsidRPr="009434AE">
              <w:rPr>
                <w:rFonts w:cstheme="minorHAnsi"/>
                <w:sz w:val="12"/>
                <w:szCs w:val="12"/>
              </w:rPr>
              <w:t>associations</w:t>
            </w:r>
            <w:proofErr w:type="gramEnd"/>
          </w:p>
          <w:p w14:paraId="7ECF3EFF" w14:textId="7284FDDA" w:rsidR="009702E5" w:rsidRPr="009434AE" w:rsidRDefault="009702E5" w:rsidP="00E442CB">
            <w:pPr>
              <w:numPr>
                <w:ilvl w:val="0"/>
                <w:numId w:val="31"/>
              </w:numPr>
              <w:spacing w:before="0" w:after="0" w:line="259" w:lineRule="auto"/>
              <w:ind w:left="170" w:hanging="17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b/>
                <w:bCs/>
                <w:sz w:val="12"/>
                <w:szCs w:val="12"/>
              </w:rPr>
              <w:t>S</w:t>
            </w:r>
            <w:r w:rsidR="001607C6">
              <w:rPr>
                <w:rFonts w:cstheme="minorHAnsi"/>
                <w:b/>
                <w:bCs/>
                <w:sz w:val="12"/>
                <w:szCs w:val="12"/>
              </w:rPr>
              <w:t>PAP</w:t>
            </w:r>
            <w:r w:rsidRPr="009434AE">
              <w:rPr>
                <w:rFonts w:cstheme="minorHAnsi"/>
                <w:sz w:val="12"/>
                <w:szCs w:val="12"/>
              </w:rPr>
              <w:t xml:space="preserve"> - an independent technical advice panel responsible for assessing stoma products and makes recommendations to Government regarding any changes, including new listings, to the Stoma Appliance Scheme Schedule</w:t>
            </w:r>
          </w:p>
          <w:p w14:paraId="6FB0BCB0" w14:textId="4D56599C" w:rsidR="009702E5" w:rsidRPr="009434AE" w:rsidRDefault="009702E5" w:rsidP="00E442CB">
            <w:pPr>
              <w:numPr>
                <w:ilvl w:val="0"/>
                <w:numId w:val="31"/>
              </w:numPr>
              <w:spacing w:before="0" w:after="0" w:line="259" w:lineRule="auto"/>
              <w:ind w:left="170" w:hanging="17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b/>
                <w:bCs/>
                <w:sz w:val="12"/>
                <w:szCs w:val="12"/>
              </w:rPr>
              <w:t xml:space="preserve">Australian Government </w:t>
            </w:r>
            <w:proofErr w:type="spellStart"/>
            <w:r w:rsidRPr="009434AE">
              <w:rPr>
                <w:rFonts w:cstheme="minorHAnsi"/>
                <w:b/>
                <w:bCs/>
                <w:sz w:val="12"/>
                <w:szCs w:val="12"/>
              </w:rPr>
              <w:t>D</w:t>
            </w:r>
            <w:r w:rsidR="006E2782">
              <w:rPr>
                <w:rFonts w:cstheme="minorHAnsi"/>
                <w:b/>
                <w:bCs/>
                <w:sz w:val="12"/>
                <w:szCs w:val="12"/>
              </w:rPr>
              <w:t>oHAC</w:t>
            </w:r>
            <w:proofErr w:type="spellEnd"/>
            <w:r w:rsidRPr="009434AE">
              <w:rPr>
                <w:rFonts w:cstheme="minorHAnsi"/>
                <w:sz w:val="12"/>
                <w:szCs w:val="12"/>
              </w:rPr>
              <w:t xml:space="preserve"> – overall scheme responsibility</w:t>
            </w:r>
          </w:p>
        </w:tc>
        <w:tc>
          <w:tcPr>
            <w:tcW w:w="2260" w:type="dxa"/>
          </w:tcPr>
          <w:p w14:paraId="6A43961C" w14:textId="3812DE81"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proofErr w:type="spellStart"/>
            <w:r w:rsidRPr="009434AE">
              <w:rPr>
                <w:rFonts w:cstheme="minorHAnsi"/>
                <w:sz w:val="12"/>
                <w:szCs w:val="12"/>
              </w:rPr>
              <w:t>D</w:t>
            </w:r>
            <w:r w:rsidR="006E2782">
              <w:rPr>
                <w:rFonts w:cstheme="minorHAnsi"/>
                <w:sz w:val="12"/>
                <w:szCs w:val="12"/>
              </w:rPr>
              <w:t>oHAC</w:t>
            </w:r>
            <w:proofErr w:type="spellEnd"/>
            <w:r w:rsidRPr="009434AE">
              <w:rPr>
                <w:rFonts w:cstheme="minorHAnsi"/>
                <w:sz w:val="12"/>
                <w:szCs w:val="12"/>
              </w:rPr>
              <w:t xml:space="preserve"> is responsible for CAPS policy. They also manage communications about CAPS. They work with Services Australia on eligibility and payment issues and respond to policy enquiries.</w:t>
            </w:r>
          </w:p>
        </w:tc>
        <w:tc>
          <w:tcPr>
            <w:tcW w:w="2260" w:type="dxa"/>
          </w:tcPr>
          <w:p w14:paraId="3DE298D9" w14:textId="57098F7F"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0979DC">
              <w:rPr>
                <w:rFonts w:cstheme="minorHAnsi"/>
                <w:sz w:val="12"/>
                <w:szCs w:val="12"/>
              </w:rPr>
              <w:t>Information not available.</w:t>
            </w:r>
          </w:p>
        </w:tc>
        <w:tc>
          <w:tcPr>
            <w:tcW w:w="2260" w:type="dxa"/>
          </w:tcPr>
          <w:p w14:paraId="390E8D28" w14:textId="77777777"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The scheme is currently administered by Independence Australia on behalf of the Australian Government.</w:t>
            </w:r>
          </w:p>
          <w:p w14:paraId="7E4A0694" w14:textId="3739665D"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A C</w:t>
            </w:r>
            <w:r w:rsidR="00023694">
              <w:rPr>
                <w:rFonts w:cstheme="minorHAnsi"/>
                <w:sz w:val="12"/>
                <w:szCs w:val="12"/>
              </w:rPr>
              <w:t>AC</w:t>
            </w:r>
            <w:r w:rsidRPr="009434AE">
              <w:rPr>
                <w:rFonts w:cstheme="minorHAnsi"/>
                <w:sz w:val="12"/>
                <w:szCs w:val="12"/>
              </w:rPr>
              <w:t xml:space="preserve"> provides advice on the operation of the scheme, eligibility criteria and dressings to be subsidised under the scheme.</w:t>
            </w:r>
          </w:p>
          <w:p w14:paraId="78EB4DCE" w14:textId="02B5B93B"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The committee consists of a variety of clinical experts and an EB consumer representative, who may seek input from DEBRA Australia (a not</w:t>
            </w:r>
            <w:r w:rsidR="003A664D">
              <w:rPr>
                <w:rFonts w:cstheme="minorHAnsi"/>
                <w:sz w:val="12"/>
                <w:szCs w:val="12"/>
              </w:rPr>
              <w:t>-</w:t>
            </w:r>
            <w:r w:rsidRPr="009434AE">
              <w:rPr>
                <w:rFonts w:cstheme="minorHAnsi"/>
                <w:sz w:val="12"/>
                <w:szCs w:val="12"/>
              </w:rPr>
              <w:t>for</w:t>
            </w:r>
            <w:r w:rsidR="003A664D">
              <w:rPr>
                <w:rFonts w:cstheme="minorHAnsi"/>
                <w:sz w:val="12"/>
                <w:szCs w:val="12"/>
              </w:rPr>
              <w:t>-</w:t>
            </w:r>
            <w:r w:rsidRPr="009434AE">
              <w:rPr>
                <w:rFonts w:cstheme="minorHAnsi"/>
                <w:sz w:val="12"/>
                <w:szCs w:val="12"/>
              </w:rPr>
              <w:t xml:space="preserve">profit </w:t>
            </w:r>
            <w:proofErr w:type="gramStart"/>
            <w:r w:rsidRPr="009434AE">
              <w:rPr>
                <w:rFonts w:cstheme="minorHAnsi"/>
                <w:sz w:val="12"/>
                <w:szCs w:val="12"/>
              </w:rPr>
              <w:t>volunteer based</w:t>
            </w:r>
            <w:proofErr w:type="gramEnd"/>
            <w:r w:rsidRPr="009434AE">
              <w:rPr>
                <w:rFonts w:cstheme="minorHAnsi"/>
                <w:sz w:val="12"/>
                <w:szCs w:val="12"/>
              </w:rPr>
              <w:t xml:space="preserve"> organisation) and EB nurses from time to time.</w:t>
            </w:r>
          </w:p>
          <w:p w14:paraId="7614C35B" w14:textId="77777777"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p>
        </w:tc>
        <w:tc>
          <w:tcPr>
            <w:tcW w:w="2260" w:type="dxa"/>
          </w:tcPr>
          <w:p w14:paraId="15976D14" w14:textId="6054CD66"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The N</w:t>
            </w:r>
            <w:r w:rsidR="00EF36DF">
              <w:rPr>
                <w:rFonts w:cstheme="minorHAnsi"/>
                <w:sz w:val="12"/>
                <w:szCs w:val="12"/>
              </w:rPr>
              <w:t>DIA</w:t>
            </w:r>
            <w:r w:rsidRPr="009434AE">
              <w:rPr>
                <w:rFonts w:cstheme="minorHAnsi"/>
                <w:sz w:val="12"/>
                <w:szCs w:val="12"/>
              </w:rPr>
              <w:t xml:space="preserve"> administers the scheme. It is governed by a Board. The NDIA Board is advised by the Independent Advisory Council.</w:t>
            </w:r>
          </w:p>
        </w:tc>
      </w:tr>
      <w:tr w:rsidR="009702E5" w:rsidRPr="009434AE" w14:paraId="4FECE6A0" w14:textId="77777777" w:rsidTr="00B473D9">
        <w:tc>
          <w:tcPr>
            <w:cnfStyle w:val="001000000000" w:firstRow="0" w:lastRow="0" w:firstColumn="1" w:lastColumn="0" w:oddVBand="0" w:evenVBand="0" w:oddHBand="0" w:evenHBand="0" w:firstRowFirstColumn="0" w:firstRowLastColumn="0" w:lastRowFirstColumn="0" w:lastRowLastColumn="0"/>
            <w:tcW w:w="1788" w:type="dxa"/>
          </w:tcPr>
          <w:p w14:paraId="559E1598" w14:textId="77777777" w:rsidR="009702E5" w:rsidRPr="009434AE" w:rsidRDefault="009702E5" w:rsidP="009702E5">
            <w:pPr>
              <w:spacing w:before="0" w:after="0"/>
              <w:rPr>
                <w:rFonts w:cstheme="minorHAnsi"/>
                <w:b w:val="0"/>
                <w:bCs/>
                <w:sz w:val="12"/>
                <w:szCs w:val="12"/>
              </w:rPr>
            </w:pPr>
            <w:r w:rsidRPr="009434AE">
              <w:rPr>
                <w:rFonts w:cstheme="minorHAnsi"/>
                <w:bCs/>
                <w:sz w:val="12"/>
                <w:szCs w:val="12"/>
              </w:rPr>
              <w:t>Policy documents and operational guidelines</w:t>
            </w:r>
          </w:p>
        </w:tc>
        <w:tc>
          <w:tcPr>
            <w:tcW w:w="1482" w:type="dxa"/>
          </w:tcPr>
          <w:p w14:paraId="2CAF3D44" w14:textId="77777777"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 xml:space="preserve">Official written instruments that outline the framework, objectives, and operational </w:t>
            </w:r>
            <w:r w:rsidRPr="009434AE">
              <w:rPr>
                <w:rFonts w:cstheme="minorHAnsi"/>
                <w:sz w:val="12"/>
                <w:szCs w:val="12"/>
              </w:rPr>
              <w:lastRenderedPageBreak/>
              <w:t>procedures governing the scheme. These documents set the formal rules, delineate responsibilities, and offer step-by-step instructions for both administration and participation.</w:t>
            </w:r>
          </w:p>
        </w:tc>
        <w:tc>
          <w:tcPr>
            <w:tcW w:w="2260" w:type="dxa"/>
          </w:tcPr>
          <w:p w14:paraId="59CE1366" w14:textId="5A0CB4B7" w:rsidR="009702E5" w:rsidRPr="009434AE" w:rsidRDefault="002557C9"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hyperlink r:id="rId74" w:history="1">
              <w:r w:rsidR="009702E5" w:rsidRPr="009434AE">
                <w:rPr>
                  <w:rFonts w:cstheme="minorHAnsi"/>
                  <w:color w:val="3B0083" w:themeColor="hyperlink"/>
                  <w:sz w:val="12"/>
                  <w:szCs w:val="12"/>
                  <w:u w:val="single"/>
                </w:rPr>
                <w:t>Stoma Appliance Scheme Operational Guidelines</w:t>
              </w:r>
            </w:hyperlink>
          </w:p>
          <w:p w14:paraId="51CB04A6" w14:textId="5596EAF7" w:rsidR="009702E5" w:rsidRPr="009434AE" w:rsidRDefault="002557C9"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hyperlink r:id="rId75" w:history="1">
              <w:r w:rsidR="009702E5" w:rsidRPr="009434AE">
                <w:rPr>
                  <w:rFonts w:cstheme="minorHAnsi"/>
                  <w:color w:val="3B0083" w:themeColor="hyperlink"/>
                  <w:sz w:val="12"/>
                  <w:szCs w:val="12"/>
                  <w:u w:val="single"/>
                </w:rPr>
                <w:t>Stoma Appliance Scheme Schedule</w:t>
              </w:r>
            </w:hyperlink>
          </w:p>
          <w:p w14:paraId="747E30EA" w14:textId="1AE86C33" w:rsidR="009702E5" w:rsidRPr="009434AE" w:rsidRDefault="002557C9"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hyperlink r:id="rId76" w:history="1">
              <w:r w:rsidR="009702E5" w:rsidRPr="009434AE">
                <w:rPr>
                  <w:rFonts w:cstheme="minorHAnsi"/>
                  <w:color w:val="3B0083" w:themeColor="hyperlink"/>
                  <w:sz w:val="12"/>
                  <w:szCs w:val="12"/>
                  <w:u w:val="single"/>
                </w:rPr>
                <w:t>Stoma Appliance Scheme Application and Assessment Guidelines</w:t>
              </w:r>
            </w:hyperlink>
          </w:p>
          <w:p w14:paraId="28276E54" w14:textId="45A23A8A" w:rsidR="009702E5" w:rsidRPr="009434AE" w:rsidRDefault="002557C9"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hyperlink r:id="rId77" w:history="1">
              <w:r w:rsidR="009702E5" w:rsidRPr="009434AE">
                <w:rPr>
                  <w:rFonts w:cstheme="minorHAnsi"/>
                  <w:color w:val="3B0083" w:themeColor="hyperlink"/>
                  <w:sz w:val="12"/>
                  <w:szCs w:val="12"/>
                  <w:u w:val="single"/>
                </w:rPr>
                <w:t>Stoma Appliance Scheme application forms for suppliers</w:t>
              </w:r>
            </w:hyperlink>
          </w:p>
        </w:tc>
        <w:tc>
          <w:tcPr>
            <w:tcW w:w="2260" w:type="dxa"/>
          </w:tcPr>
          <w:p w14:paraId="0BC066F5" w14:textId="28900C23"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lastRenderedPageBreak/>
              <w:t xml:space="preserve">CAPS guidelines and form </w:t>
            </w:r>
            <w:hyperlink r:id="rId78" w:history="1">
              <w:r w:rsidRPr="009434AE">
                <w:rPr>
                  <w:rStyle w:val="Hyperlink"/>
                  <w:rFonts w:cstheme="minorHAnsi"/>
                  <w:sz w:val="12"/>
                  <w:szCs w:val="12"/>
                </w:rPr>
                <w:t>https://www.health.gov.au/resources/publications/continence-aids-payment-scheme-application-</w:t>
              </w:r>
              <w:r w:rsidRPr="009434AE">
                <w:rPr>
                  <w:rStyle w:val="Hyperlink"/>
                  <w:rFonts w:cstheme="minorHAnsi"/>
                  <w:sz w:val="12"/>
                  <w:szCs w:val="12"/>
                </w:rPr>
                <w:lastRenderedPageBreak/>
                <w:t>guidelines-and-application-form?language=und</w:t>
              </w:r>
            </w:hyperlink>
          </w:p>
          <w:p w14:paraId="6F3A81B1" w14:textId="456B4692"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 xml:space="preserve">CAPS webpage on the Department’s website </w:t>
            </w:r>
            <w:hyperlink r:id="rId79" w:history="1">
              <w:r w:rsidRPr="009434AE">
                <w:rPr>
                  <w:rStyle w:val="Hyperlink"/>
                  <w:rFonts w:cstheme="minorHAnsi"/>
                  <w:sz w:val="12"/>
                  <w:szCs w:val="12"/>
                </w:rPr>
                <w:t>https://www.health.gov.au/our-work/continence-aids-payment-scheme-caps</w:t>
              </w:r>
            </w:hyperlink>
          </w:p>
          <w:p w14:paraId="328E6873" w14:textId="0AB7E3C7"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 xml:space="preserve">CAPS 2020 legislative instrument – as the payment amounts and eligibility etc. are set out in legislation. </w:t>
            </w:r>
            <w:hyperlink r:id="rId80" w:history="1">
              <w:r w:rsidRPr="009434AE">
                <w:rPr>
                  <w:rStyle w:val="Hyperlink"/>
                  <w:rFonts w:cstheme="minorHAnsi"/>
                  <w:sz w:val="12"/>
                  <w:szCs w:val="12"/>
                </w:rPr>
                <w:t>https://www.legislation.gov.au/Details/F2023C00676</w:t>
              </w:r>
            </w:hyperlink>
          </w:p>
          <w:p w14:paraId="1C49D514" w14:textId="77777777"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p>
        </w:tc>
        <w:tc>
          <w:tcPr>
            <w:tcW w:w="2260" w:type="dxa"/>
          </w:tcPr>
          <w:p w14:paraId="578016D0" w14:textId="39FEFF5E"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0979DC">
              <w:rPr>
                <w:rFonts w:cstheme="minorHAnsi"/>
                <w:sz w:val="12"/>
                <w:szCs w:val="12"/>
              </w:rPr>
              <w:lastRenderedPageBreak/>
              <w:t>Information not available.</w:t>
            </w:r>
          </w:p>
        </w:tc>
        <w:tc>
          <w:tcPr>
            <w:tcW w:w="2260" w:type="dxa"/>
          </w:tcPr>
          <w:p w14:paraId="67F80C64" w14:textId="54B75333" w:rsidR="009702E5" w:rsidRPr="009434AE" w:rsidRDefault="002557C9"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hyperlink r:id="rId81" w:history="1">
              <w:r w:rsidR="009702E5" w:rsidRPr="009434AE">
                <w:rPr>
                  <w:rStyle w:val="Hyperlink"/>
                  <w:rFonts w:cstheme="minorHAnsi"/>
                  <w:sz w:val="12"/>
                  <w:szCs w:val="12"/>
                </w:rPr>
                <w:t>PowerPoint Presentation (ebdressings.com.au)</w:t>
              </w:r>
            </w:hyperlink>
          </w:p>
        </w:tc>
        <w:tc>
          <w:tcPr>
            <w:tcW w:w="2260" w:type="dxa"/>
          </w:tcPr>
          <w:p w14:paraId="32004892" w14:textId="77777777" w:rsidR="009702E5" w:rsidRPr="009434AE" w:rsidRDefault="009702E5" w:rsidP="009702E5">
            <w:pPr>
              <w:spacing w:before="0" w:after="0"/>
              <w:cnfStyle w:val="000000000000" w:firstRow="0" w:lastRow="0" w:firstColumn="0" w:lastColumn="0" w:oddVBand="0" w:evenVBand="0" w:oddHBand="0" w:evenHBand="0" w:firstRowFirstColumn="0" w:firstRowLastColumn="0" w:lastRowFirstColumn="0" w:lastRowLastColumn="0"/>
              <w:rPr>
                <w:rFonts w:cstheme="minorHAnsi"/>
                <w:sz w:val="12"/>
                <w:szCs w:val="12"/>
              </w:rPr>
            </w:pPr>
            <w:r w:rsidRPr="009434AE">
              <w:rPr>
                <w:rFonts w:cstheme="minorHAnsi"/>
                <w:sz w:val="12"/>
                <w:szCs w:val="12"/>
              </w:rPr>
              <w:t>https://www.ndis.gov.au/about-us/operational-guidelines</w:t>
            </w:r>
          </w:p>
        </w:tc>
      </w:tr>
      <w:tr w:rsidR="009702E5" w:rsidRPr="009434AE" w14:paraId="1527D8CC" w14:textId="77777777" w:rsidTr="00B47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8" w:type="dxa"/>
          </w:tcPr>
          <w:p w14:paraId="4E585CF1" w14:textId="77777777" w:rsidR="009702E5" w:rsidRPr="009434AE" w:rsidRDefault="009702E5" w:rsidP="009702E5">
            <w:pPr>
              <w:spacing w:before="0" w:after="0"/>
              <w:rPr>
                <w:rFonts w:cstheme="minorHAnsi"/>
                <w:b w:val="0"/>
                <w:bCs/>
                <w:sz w:val="12"/>
                <w:szCs w:val="12"/>
              </w:rPr>
            </w:pPr>
            <w:r w:rsidRPr="009434AE">
              <w:rPr>
                <w:rFonts w:cstheme="minorHAnsi"/>
                <w:bCs/>
                <w:sz w:val="12"/>
                <w:szCs w:val="12"/>
              </w:rPr>
              <w:t>Forms and Documentation</w:t>
            </w:r>
          </w:p>
        </w:tc>
        <w:tc>
          <w:tcPr>
            <w:tcW w:w="1482" w:type="dxa"/>
          </w:tcPr>
          <w:p w14:paraId="2EF27B12" w14:textId="147517E6" w:rsidR="009702E5" w:rsidRPr="009434AE"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r w:rsidRPr="009434AE">
              <w:rPr>
                <w:rFonts w:cstheme="minorHAnsi"/>
                <w:sz w:val="12"/>
                <w:szCs w:val="12"/>
              </w:rPr>
              <w:t>Types of forms used for various purposes like applications, special authori</w:t>
            </w:r>
            <w:r w:rsidR="00893867">
              <w:rPr>
                <w:rFonts w:cstheme="minorHAnsi"/>
                <w:sz w:val="12"/>
                <w:szCs w:val="12"/>
              </w:rPr>
              <w:t>s</w:t>
            </w:r>
            <w:r w:rsidRPr="009434AE">
              <w:rPr>
                <w:rFonts w:cstheme="minorHAnsi"/>
                <w:sz w:val="12"/>
                <w:szCs w:val="12"/>
              </w:rPr>
              <w:t>ations, and audit evidence.</w:t>
            </w:r>
          </w:p>
        </w:tc>
        <w:tc>
          <w:tcPr>
            <w:tcW w:w="2260" w:type="dxa"/>
          </w:tcPr>
          <w:p w14:paraId="27681C23" w14:textId="494EEC97" w:rsidR="009702E5" w:rsidRPr="009434AE" w:rsidRDefault="002557C9"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hyperlink r:id="rId82" w:history="1">
              <w:r w:rsidR="009702E5" w:rsidRPr="009434AE">
                <w:rPr>
                  <w:rFonts w:cstheme="minorHAnsi"/>
                  <w:color w:val="3B0083" w:themeColor="hyperlink"/>
                  <w:sz w:val="12"/>
                  <w:szCs w:val="12"/>
                  <w:u w:val="single"/>
                </w:rPr>
                <w:t>Application for stoma association membership</w:t>
              </w:r>
            </w:hyperlink>
            <w:r w:rsidR="009702E5" w:rsidRPr="009434AE">
              <w:rPr>
                <w:rFonts w:cstheme="minorHAnsi"/>
                <w:sz w:val="12"/>
                <w:szCs w:val="12"/>
              </w:rPr>
              <w:t xml:space="preserve"> (QLD)</w:t>
            </w:r>
          </w:p>
          <w:p w14:paraId="600C1FD6" w14:textId="23CA0BC9" w:rsidR="009702E5" w:rsidRPr="009434AE" w:rsidRDefault="002557C9"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color w:val="3B0083" w:themeColor="hyperlink"/>
                <w:sz w:val="12"/>
                <w:szCs w:val="12"/>
                <w:u w:val="single"/>
              </w:rPr>
            </w:pPr>
            <w:hyperlink r:id="rId83" w:history="1">
              <w:r w:rsidR="009702E5" w:rsidRPr="009434AE">
                <w:rPr>
                  <w:rFonts w:cstheme="minorHAnsi"/>
                  <w:color w:val="3B0083" w:themeColor="hyperlink"/>
                  <w:sz w:val="12"/>
                  <w:szCs w:val="12"/>
                  <w:u w:val="single"/>
                </w:rPr>
                <w:t>Stoma Appliance Scheme application form (PB049)</w:t>
              </w:r>
            </w:hyperlink>
          </w:p>
          <w:p w14:paraId="4C2E4CA1" w14:textId="4F0036C6" w:rsidR="009702E5" w:rsidRPr="009434AE" w:rsidRDefault="002557C9"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hyperlink r:id="rId84" w:history="1">
              <w:r w:rsidR="009702E5" w:rsidRPr="009434AE">
                <w:rPr>
                  <w:rFonts w:cstheme="minorHAnsi"/>
                  <w:color w:val="3B0083" w:themeColor="hyperlink"/>
                  <w:sz w:val="12"/>
                  <w:szCs w:val="12"/>
                  <w:u w:val="single"/>
                </w:rPr>
                <w:t>Stoma Appliance Scheme application for additional supplies form (PB050)</w:t>
              </w:r>
            </w:hyperlink>
          </w:p>
          <w:p w14:paraId="273E87F1" w14:textId="407A6439" w:rsidR="009702E5" w:rsidRPr="009434AE" w:rsidRDefault="002557C9"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color w:val="3B0083" w:themeColor="hyperlink"/>
                <w:sz w:val="12"/>
                <w:szCs w:val="12"/>
                <w:u w:val="single"/>
              </w:rPr>
            </w:pPr>
            <w:hyperlink r:id="rId85" w:history="1">
              <w:r w:rsidR="009702E5" w:rsidRPr="009434AE">
                <w:rPr>
                  <w:rFonts w:cstheme="minorHAnsi"/>
                  <w:color w:val="3B0083" w:themeColor="hyperlink"/>
                  <w:sz w:val="12"/>
                  <w:szCs w:val="12"/>
                  <w:u w:val="single"/>
                </w:rPr>
                <w:t>NSW Online Order Form</w:t>
              </w:r>
            </w:hyperlink>
          </w:p>
          <w:p w14:paraId="24F1FF05" w14:textId="04D06D2B" w:rsidR="009702E5" w:rsidRPr="009434AE" w:rsidRDefault="002557C9"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hyperlink r:id="rId86" w:history="1">
              <w:r w:rsidR="009702E5" w:rsidRPr="009434AE">
                <w:rPr>
                  <w:rFonts w:cstheme="minorHAnsi"/>
                  <w:color w:val="3B0083" w:themeColor="hyperlink"/>
                  <w:sz w:val="12"/>
                  <w:szCs w:val="12"/>
                  <w:u w:val="single"/>
                </w:rPr>
                <w:t>Stoma Appliance Scheme forms for ostomates</w:t>
              </w:r>
            </w:hyperlink>
            <w:r w:rsidR="009702E5" w:rsidRPr="009434AE">
              <w:rPr>
                <w:rFonts w:cstheme="minorHAnsi"/>
                <w:sz w:val="12"/>
                <w:szCs w:val="12"/>
              </w:rPr>
              <w:t xml:space="preserve"> (for products with </w:t>
            </w:r>
            <w:r w:rsidR="008F5346">
              <w:rPr>
                <w:rFonts w:cstheme="minorHAnsi"/>
                <w:sz w:val="12"/>
                <w:szCs w:val="12"/>
              </w:rPr>
              <w:t>restrictions).</w:t>
            </w:r>
          </w:p>
        </w:tc>
        <w:tc>
          <w:tcPr>
            <w:tcW w:w="2260" w:type="dxa"/>
          </w:tcPr>
          <w:p w14:paraId="72D12DD1" w14:textId="0BD9504B" w:rsidR="009702E5" w:rsidRPr="009434AE" w:rsidRDefault="002557C9"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hyperlink r:id="rId87" w:history="1">
              <w:r w:rsidR="009702E5" w:rsidRPr="009434AE">
                <w:rPr>
                  <w:rStyle w:val="Hyperlink"/>
                  <w:rFonts w:cstheme="minorHAnsi"/>
                  <w:sz w:val="12"/>
                  <w:szCs w:val="12"/>
                </w:rPr>
                <w:t>Continence Aids Payment Scheme application guidelines and form (health.gov.au)</w:t>
              </w:r>
            </w:hyperlink>
          </w:p>
        </w:tc>
        <w:tc>
          <w:tcPr>
            <w:tcW w:w="2260" w:type="dxa"/>
          </w:tcPr>
          <w:p w14:paraId="5DD7A44F" w14:textId="6D7E12A3" w:rsidR="009702E5" w:rsidRPr="009434AE" w:rsidRDefault="002557C9"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hyperlink r:id="rId88" w:history="1">
              <w:r w:rsidR="009702E5" w:rsidRPr="009434AE">
                <w:rPr>
                  <w:rStyle w:val="Hyperlink"/>
                  <w:rFonts w:cstheme="minorHAnsi"/>
                  <w:sz w:val="12"/>
                  <w:szCs w:val="12"/>
                </w:rPr>
                <w:t>form-ndss-registration-form.pdf</w:t>
              </w:r>
            </w:hyperlink>
          </w:p>
        </w:tc>
        <w:tc>
          <w:tcPr>
            <w:tcW w:w="2260" w:type="dxa"/>
          </w:tcPr>
          <w:p w14:paraId="34C74E6E" w14:textId="7BE7FB1E" w:rsidR="009702E5" w:rsidRPr="009434AE" w:rsidRDefault="002557C9"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sz w:val="12"/>
                <w:szCs w:val="12"/>
              </w:rPr>
            </w:pPr>
            <w:hyperlink r:id="rId89" w:anchor=":~:text=The%20National%20Epidermolysis%20Bullosa%20Dressing%20Scheme%20%28NEBDS%29%20supports,the%20Australian%20Government%20and%20administered%20by%20Independence%20Australia." w:history="1">
              <w:r w:rsidR="009702E5" w:rsidRPr="009434AE">
                <w:rPr>
                  <w:rStyle w:val="Hyperlink"/>
                  <w:rFonts w:cstheme="minorHAnsi"/>
                  <w:sz w:val="12"/>
                  <w:szCs w:val="12"/>
                </w:rPr>
                <w:t>NEBDS | Independence Australia</w:t>
              </w:r>
            </w:hyperlink>
          </w:p>
        </w:tc>
        <w:tc>
          <w:tcPr>
            <w:tcW w:w="2260" w:type="dxa"/>
          </w:tcPr>
          <w:p w14:paraId="5D18A2BB" w14:textId="6ADD6952" w:rsidR="009702E5" w:rsidRPr="009702E5" w:rsidRDefault="009702E5" w:rsidP="009702E5">
            <w:pPr>
              <w:spacing w:before="0" w:after="0"/>
              <w:cnfStyle w:val="000000010000" w:firstRow="0" w:lastRow="0" w:firstColumn="0" w:lastColumn="0" w:oddVBand="0" w:evenVBand="0" w:oddHBand="0" w:evenHBand="1" w:firstRowFirstColumn="0" w:firstRowLastColumn="0" w:lastRowFirstColumn="0" w:lastRowLastColumn="0"/>
              <w:rPr>
                <w:rFonts w:cstheme="minorHAnsi"/>
                <w:b/>
                <w:bCs/>
                <w:sz w:val="12"/>
                <w:szCs w:val="12"/>
              </w:rPr>
            </w:pPr>
            <w:r w:rsidRPr="000979DC">
              <w:rPr>
                <w:rFonts w:cstheme="minorHAnsi"/>
                <w:sz w:val="12"/>
                <w:szCs w:val="12"/>
              </w:rPr>
              <w:t>Information not available.</w:t>
            </w:r>
          </w:p>
        </w:tc>
      </w:tr>
    </w:tbl>
    <w:p w14:paraId="6351E6DA" w14:textId="77777777" w:rsidR="00431518" w:rsidRDefault="00431518" w:rsidP="00093A57">
      <w:pPr>
        <w:spacing w:before="0" w:after="0"/>
      </w:pPr>
    </w:p>
    <w:p w14:paraId="7BCEC235" w14:textId="77777777" w:rsidR="00C06C37" w:rsidRDefault="00C06C37" w:rsidP="00093A57">
      <w:pPr>
        <w:spacing w:before="0" w:after="0"/>
        <w:sectPr w:rsidR="00C06C37" w:rsidSect="00361225">
          <w:pgSz w:w="16838" w:h="11906" w:orient="landscape" w:code="9"/>
          <w:pgMar w:top="1134" w:right="1134" w:bottom="1134" w:left="1134" w:header="709" w:footer="454" w:gutter="0"/>
          <w:cols w:space="708"/>
          <w:docGrid w:linePitch="360"/>
        </w:sectPr>
      </w:pPr>
    </w:p>
    <w:p w14:paraId="550D56FB" w14:textId="5650EDF2" w:rsidR="00C06C37" w:rsidRPr="00A55522" w:rsidRDefault="00B65767" w:rsidP="00C06C37">
      <w:pPr>
        <w:pStyle w:val="Heading7"/>
        <w:rPr>
          <w:color w:val="C60C30" w:themeColor="accent2"/>
        </w:rPr>
      </w:pPr>
      <w:bookmarkStart w:id="123" w:name="_Ref157602368"/>
      <w:bookmarkStart w:id="124" w:name="_Ref159917767"/>
      <w:bookmarkStart w:id="125" w:name="_Toc161743101"/>
      <w:r w:rsidRPr="00A55522">
        <w:rPr>
          <w:color w:val="C60C30" w:themeColor="accent2"/>
        </w:rPr>
        <w:lastRenderedPageBreak/>
        <w:t>B</w:t>
      </w:r>
      <w:r w:rsidR="00F60420" w:rsidRPr="00A55522">
        <w:rPr>
          <w:color w:val="C60C30" w:themeColor="accent2"/>
        </w:rPr>
        <w:t xml:space="preserve">udgetary </w:t>
      </w:r>
      <w:r w:rsidR="00F725F0">
        <w:rPr>
          <w:color w:val="C60C30" w:themeColor="accent2"/>
        </w:rPr>
        <w:t>I</w:t>
      </w:r>
      <w:r w:rsidR="00F60420" w:rsidRPr="00A55522">
        <w:rPr>
          <w:color w:val="C60C30" w:themeColor="accent2"/>
        </w:rPr>
        <w:t>mplications of</w:t>
      </w:r>
      <w:r w:rsidRPr="00A55522">
        <w:rPr>
          <w:color w:val="C60C30" w:themeColor="accent2"/>
        </w:rPr>
        <w:t xml:space="preserve"> </w:t>
      </w:r>
      <w:r w:rsidR="00F725F0">
        <w:rPr>
          <w:color w:val="C60C30" w:themeColor="accent2"/>
        </w:rPr>
        <w:t>A</w:t>
      </w:r>
      <w:r w:rsidRPr="00A55522">
        <w:rPr>
          <w:color w:val="C60C30" w:themeColor="accent2"/>
        </w:rPr>
        <w:t xml:space="preserve">ccess </w:t>
      </w:r>
      <w:r w:rsidR="00F725F0">
        <w:rPr>
          <w:color w:val="C60C30" w:themeColor="accent2"/>
        </w:rPr>
        <w:t>M</w:t>
      </w:r>
      <w:r w:rsidRPr="00A55522">
        <w:rPr>
          <w:color w:val="C60C30" w:themeColor="accent2"/>
        </w:rPr>
        <w:t>odifications</w:t>
      </w:r>
      <w:bookmarkEnd w:id="123"/>
      <w:bookmarkEnd w:id="124"/>
      <w:bookmarkEnd w:id="125"/>
    </w:p>
    <w:p w14:paraId="39F6233B" w14:textId="416EF178" w:rsidR="00FE0675" w:rsidRDefault="00FE0675" w:rsidP="006261FB">
      <w:pPr>
        <w:pStyle w:val="AltHeading3"/>
      </w:pPr>
      <w:r>
        <w:t xml:space="preserve">Scenario One and Two: Removal or </w:t>
      </w:r>
      <w:r w:rsidR="00666F98">
        <w:t>r</w:t>
      </w:r>
      <w:r>
        <w:t>estrictions of Creams and Ointments</w:t>
      </w:r>
    </w:p>
    <w:p w14:paraId="32B26DE5" w14:textId="112A10AF" w:rsidR="00FE0675" w:rsidRDefault="00FE0675" w:rsidP="00FE0675">
      <w:pPr>
        <w:pStyle w:val="BodyText"/>
      </w:pPr>
      <w:r>
        <w:t xml:space="preserve">In stakeholder feedback, it was heard that creams and ointments (product category 09(f)) were not clinically necessary and there is an opportunity to reduce expenditure of the Scheme by removing or restricting </w:t>
      </w:r>
      <w:r w:rsidR="00C46102">
        <w:t xml:space="preserve">the following codes </w:t>
      </w:r>
      <w:r>
        <w:t>as subsidised product</w:t>
      </w:r>
      <w:r w:rsidR="00C46102">
        <w:t>s:</w:t>
      </w:r>
      <w:r w:rsidR="004B04DD" w:rsidRPr="004B04DD">
        <w:t xml:space="preserve"> 03526N, 03528Q, 03557F, 03787H, 03829M, 03979K, 09858W, 09907K, 09933T, 09934W</w:t>
      </w:r>
      <w:r w:rsidR="004B04DD">
        <w:t>.</w:t>
      </w:r>
    </w:p>
    <w:p w14:paraId="022EAD68" w14:textId="63DB2808" w:rsidR="00FE0675" w:rsidRPr="002F3631" w:rsidRDefault="00FE0675" w:rsidP="00FE0675">
      <w:pPr>
        <w:pStyle w:val="BodyText"/>
      </w:pPr>
      <w:r>
        <w:t>In considering the costs associated with creams and ointments, it was found that from the total expenditure of the Scheme in FY2</w:t>
      </w:r>
      <w:r w:rsidR="007720FD">
        <w:t>5</w:t>
      </w:r>
      <w:r>
        <w:t>-2</w:t>
      </w:r>
      <w:r w:rsidR="007720FD">
        <w:t>6</w:t>
      </w:r>
      <w:r>
        <w:t xml:space="preserve">, creams and ointments accounted for </w:t>
      </w:r>
      <w:r w:rsidR="007720FD" w:rsidRPr="007720FD">
        <w:rPr>
          <w:b/>
          <w:bCs/>
        </w:rPr>
        <w:t>$83,307</w:t>
      </w:r>
      <w:r>
        <w:t xml:space="preserve">and would result in </w:t>
      </w:r>
      <w:r w:rsidRPr="00957211">
        <w:rPr>
          <w:b/>
          <w:bCs/>
        </w:rPr>
        <w:t>less than 1% in cost savings for the Scheme if removed</w:t>
      </w:r>
      <w:r>
        <w:rPr>
          <w:b/>
          <w:bCs/>
        </w:rPr>
        <w:t xml:space="preserve"> or restricted</w:t>
      </w:r>
      <w:r>
        <w:t xml:space="preserve">. </w:t>
      </w:r>
      <w:r w:rsidR="007720FD">
        <w:fldChar w:fldCharType="begin"/>
      </w:r>
      <w:r w:rsidR="007720FD">
        <w:instrText xml:space="preserve"> REF _Ref159851655 \h </w:instrText>
      </w:r>
      <w:r w:rsidR="007720FD">
        <w:fldChar w:fldCharType="separate"/>
      </w:r>
      <w:r w:rsidR="00FE1418">
        <w:t xml:space="preserve">Figure </w:t>
      </w:r>
      <w:r w:rsidR="00FE1418">
        <w:rPr>
          <w:noProof/>
        </w:rPr>
        <w:t>18</w:t>
      </w:r>
      <w:r w:rsidR="007720FD">
        <w:fldChar w:fldCharType="end"/>
      </w:r>
      <w:r>
        <w:t xml:space="preserve">provides three years of </w:t>
      </w:r>
      <w:r w:rsidR="007720FD">
        <w:t xml:space="preserve">predicted </w:t>
      </w:r>
      <w:r>
        <w:t xml:space="preserve">expenditure related to this </w:t>
      </w:r>
      <w:r w:rsidRPr="00EE2A87">
        <w:t xml:space="preserve">scenario </w:t>
      </w:r>
      <w:r>
        <w:t xml:space="preserve">and highlights the change would </w:t>
      </w:r>
      <w:r w:rsidRPr="00B4661D">
        <w:t xml:space="preserve">affect </w:t>
      </w:r>
      <w:r w:rsidR="007720FD">
        <w:t xml:space="preserve">approximately </w:t>
      </w:r>
      <w:r w:rsidRPr="00B4661D">
        <w:t>2,340 ostomates</w:t>
      </w:r>
      <w:r>
        <w:t xml:space="preserve"> if removed from the Scheme, or 382 ostomates if maximum annual quantity was restricted by half.</w:t>
      </w:r>
    </w:p>
    <w:p w14:paraId="53BF1FA2" w14:textId="708ECCF8" w:rsidR="00FE0675" w:rsidRDefault="00FE0675" w:rsidP="00FE0675">
      <w:pPr>
        <w:pStyle w:val="Caption"/>
      </w:pPr>
      <w:bookmarkStart w:id="126" w:name="_Ref159851655"/>
      <w:bookmarkStart w:id="127" w:name="_Toc161743142"/>
      <w:r>
        <w:t xml:space="preserve">Figure </w:t>
      </w:r>
      <w:r>
        <w:fldChar w:fldCharType="begin"/>
      </w:r>
      <w:r>
        <w:instrText xml:space="preserve"> SEQ Figure \* ARABIC </w:instrText>
      </w:r>
      <w:r>
        <w:fldChar w:fldCharType="separate"/>
      </w:r>
      <w:r w:rsidR="00FE1418">
        <w:rPr>
          <w:noProof/>
        </w:rPr>
        <w:t>18</w:t>
      </w:r>
      <w:r>
        <w:rPr>
          <w:noProof/>
        </w:rPr>
        <w:fldChar w:fldCharType="end"/>
      </w:r>
      <w:bookmarkEnd w:id="126"/>
      <w:r>
        <w:t xml:space="preserve">: </w:t>
      </w:r>
      <w:r w:rsidRPr="004E5517">
        <w:t xml:space="preserve">Expenditure related to creams and ointments if removed </w:t>
      </w:r>
      <w:r>
        <w:t>or restricted on</w:t>
      </w:r>
      <w:r w:rsidRPr="004E5517">
        <w:t xml:space="preserve"> the</w:t>
      </w:r>
      <w:r>
        <w:t xml:space="preserve"> </w:t>
      </w:r>
      <w:proofErr w:type="gramStart"/>
      <w:r>
        <w:t>Scheme</w:t>
      </w:r>
      <w:bookmarkEnd w:id="127"/>
      <w:proofErr w:type="gramEnd"/>
    </w:p>
    <w:tbl>
      <w:tblPr>
        <w:tblStyle w:val="TableHealthConsultPurple"/>
        <w:tblpPr w:leftFromText="180" w:rightFromText="180" w:vertAnchor="text" w:horzAnchor="page" w:tblpX="7857" w:tblpY="253"/>
        <w:tblW w:w="2481" w:type="pct"/>
        <w:tblLayout w:type="fixed"/>
        <w:tblLook w:val="04E0" w:firstRow="1" w:lastRow="1" w:firstColumn="1" w:lastColumn="0" w:noHBand="0" w:noVBand="1"/>
      </w:tblPr>
      <w:tblGrid>
        <w:gridCol w:w="852"/>
        <w:gridCol w:w="3402"/>
        <w:gridCol w:w="1557"/>
        <w:gridCol w:w="1419"/>
      </w:tblGrid>
      <w:tr w:rsidR="00FE0675" w:rsidRPr="000A6FC3" w14:paraId="55DB5F19" w14:textId="77777777" w:rsidTr="00EB7DB4">
        <w:trPr>
          <w:cnfStyle w:val="100000000000" w:firstRow="1" w:lastRow="0" w:firstColumn="0" w:lastColumn="0" w:oddVBand="0" w:evenVBand="0" w:oddHBand="0" w:evenHBand="0" w:firstRowFirstColumn="0" w:firstRowLastColumn="0" w:lastRowFirstColumn="0" w:lastRowLastColumn="0"/>
          <w:trHeight w:val="438"/>
        </w:trPr>
        <w:tc>
          <w:tcPr>
            <w:cnfStyle w:val="001000000100" w:firstRow="0" w:lastRow="0" w:firstColumn="1" w:lastColumn="0" w:oddVBand="0" w:evenVBand="0" w:oddHBand="0" w:evenHBand="0" w:firstRowFirstColumn="1" w:firstRowLastColumn="0" w:lastRowFirstColumn="0" w:lastRowLastColumn="0"/>
            <w:tcW w:w="2942" w:type="pct"/>
            <w:gridSpan w:val="2"/>
            <w:noWrap/>
            <w:hideMark/>
          </w:tcPr>
          <w:p w14:paraId="662D742D" w14:textId="77777777" w:rsidR="00FE0675" w:rsidRPr="000A6FC3" w:rsidRDefault="00FE0675" w:rsidP="00E034F9">
            <w:pPr>
              <w:pStyle w:val="BodyText"/>
              <w:jc w:val="center"/>
              <w:rPr>
                <w:sz w:val="16"/>
                <w:szCs w:val="16"/>
                <w:lang w:eastAsia="en-AU"/>
              </w:rPr>
            </w:pPr>
            <w:r w:rsidRPr="000A6FC3">
              <w:rPr>
                <w:sz w:val="16"/>
                <w:szCs w:val="16"/>
                <w:lang w:eastAsia="en-AU"/>
              </w:rPr>
              <w:t>Scenario</w:t>
            </w:r>
            <w:r>
              <w:rPr>
                <w:sz w:val="16"/>
                <w:szCs w:val="16"/>
                <w:lang w:eastAsia="en-AU"/>
              </w:rPr>
              <w:t>:</w:t>
            </w:r>
          </w:p>
        </w:tc>
        <w:tc>
          <w:tcPr>
            <w:tcW w:w="1077" w:type="pct"/>
            <w:noWrap/>
            <w:hideMark/>
          </w:tcPr>
          <w:p w14:paraId="78CEC985" w14:textId="77777777" w:rsidR="00FE0675" w:rsidRPr="000A6FC3" w:rsidRDefault="00FE0675" w:rsidP="00E034F9">
            <w:pPr>
              <w:pStyle w:val="BodyText"/>
              <w:cnfStyle w:val="100000000000" w:firstRow="1" w:lastRow="0" w:firstColumn="0" w:lastColumn="0" w:oddVBand="0" w:evenVBand="0" w:oddHBand="0" w:evenHBand="0" w:firstRowFirstColumn="0" w:firstRowLastColumn="0" w:lastRowFirstColumn="0" w:lastRowLastColumn="0"/>
              <w:rPr>
                <w:bCs/>
                <w:sz w:val="16"/>
                <w:szCs w:val="16"/>
                <w:lang w:eastAsia="en-AU"/>
              </w:rPr>
            </w:pPr>
            <w:r w:rsidRPr="000A6FC3">
              <w:rPr>
                <w:bCs/>
                <w:sz w:val="16"/>
                <w:szCs w:val="16"/>
                <w:lang w:eastAsia="en-AU"/>
              </w:rPr>
              <w:t>Creams and ointments (09f) removed</w:t>
            </w:r>
          </w:p>
        </w:tc>
        <w:tc>
          <w:tcPr>
            <w:tcW w:w="981" w:type="pct"/>
            <w:noWrap/>
            <w:hideMark/>
          </w:tcPr>
          <w:p w14:paraId="3015F817" w14:textId="77777777" w:rsidR="00FE0675" w:rsidRPr="000A6FC3" w:rsidRDefault="00FE0675" w:rsidP="00E034F9">
            <w:pPr>
              <w:pStyle w:val="BodyText"/>
              <w:cnfStyle w:val="100000000000" w:firstRow="1" w:lastRow="0" w:firstColumn="0" w:lastColumn="0" w:oddVBand="0" w:evenVBand="0" w:oddHBand="0" w:evenHBand="0" w:firstRowFirstColumn="0" w:firstRowLastColumn="0" w:lastRowFirstColumn="0" w:lastRowLastColumn="0"/>
              <w:rPr>
                <w:bCs/>
                <w:sz w:val="16"/>
                <w:szCs w:val="16"/>
                <w:lang w:eastAsia="en-AU"/>
              </w:rPr>
            </w:pPr>
            <w:r w:rsidRPr="000A6FC3">
              <w:rPr>
                <w:bCs/>
                <w:sz w:val="16"/>
                <w:szCs w:val="16"/>
                <w:lang w:eastAsia="en-AU"/>
              </w:rPr>
              <w:t>09f quantity restricted by 50%</w:t>
            </w:r>
          </w:p>
        </w:tc>
      </w:tr>
      <w:tr w:rsidR="00CB47AE" w:rsidRPr="000A6FC3" w14:paraId="07DEA9BC" w14:textId="77777777" w:rsidTr="00CB47AE">
        <w:trPr>
          <w:trHeight w:val="352"/>
        </w:trPr>
        <w:tc>
          <w:tcPr>
            <w:cnfStyle w:val="001000000000" w:firstRow="0" w:lastRow="0" w:firstColumn="1" w:lastColumn="0" w:oddVBand="0" w:evenVBand="0" w:oddHBand="0" w:evenHBand="0" w:firstRowFirstColumn="0" w:firstRowLastColumn="0" w:lastRowFirstColumn="0" w:lastRowLastColumn="0"/>
            <w:tcW w:w="589" w:type="pct"/>
            <w:vMerge w:val="restart"/>
            <w:hideMark/>
          </w:tcPr>
          <w:p w14:paraId="5BDC2CA1" w14:textId="60602C10" w:rsidR="00CB47AE" w:rsidRPr="000A6FC3" w:rsidRDefault="00CB47AE" w:rsidP="00CB47AE">
            <w:pPr>
              <w:pStyle w:val="BodyText"/>
              <w:rPr>
                <w:b w:val="0"/>
                <w:bCs/>
                <w:sz w:val="16"/>
                <w:szCs w:val="16"/>
                <w:lang w:eastAsia="en-AU"/>
              </w:rPr>
            </w:pPr>
            <w:r w:rsidRPr="00377AB5">
              <w:rPr>
                <w:bCs/>
                <w:sz w:val="16"/>
                <w:szCs w:val="20"/>
                <w:lang w:eastAsia="en-AU"/>
              </w:rPr>
              <w:t>2023-24</w:t>
            </w:r>
          </w:p>
        </w:tc>
        <w:tc>
          <w:tcPr>
            <w:tcW w:w="2353" w:type="pct"/>
            <w:hideMark/>
          </w:tcPr>
          <w:p w14:paraId="28A90191" w14:textId="75EF71B6" w:rsidR="00CB47AE" w:rsidRPr="005C0875" w:rsidRDefault="00CB47AE" w:rsidP="00CB47AE">
            <w:pPr>
              <w:pStyle w:val="BodyText"/>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7857CA">
              <w:rPr>
                <w:b/>
                <w:bCs/>
                <w:sz w:val="16"/>
                <w:szCs w:val="20"/>
                <w:lang w:eastAsia="en-AU"/>
              </w:rPr>
              <w:t>Change in expenditure from predicted</w:t>
            </w:r>
          </w:p>
        </w:tc>
        <w:tc>
          <w:tcPr>
            <w:tcW w:w="1077" w:type="pct"/>
            <w:noWrap/>
            <w:vAlign w:val="center"/>
            <w:hideMark/>
          </w:tcPr>
          <w:p w14:paraId="76ADF2C9" w14:textId="1A0CC0F2" w:rsidR="00CB47AE" w:rsidRPr="00CB47AE" w:rsidRDefault="00CB47AE" w:rsidP="00CB47AE">
            <w:pPr>
              <w:pStyle w:val="BodyText"/>
              <w:cnfStyle w:val="000000000000" w:firstRow="0" w:lastRow="0" w:firstColumn="0" w:lastColumn="0" w:oddVBand="0" w:evenVBand="0" w:oddHBand="0" w:evenHBand="0" w:firstRowFirstColumn="0" w:firstRowLastColumn="0" w:lastRowFirstColumn="0" w:lastRowLastColumn="0"/>
              <w:rPr>
                <w:b/>
                <w:bCs/>
                <w:color w:val="FF0000"/>
                <w:sz w:val="16"/>
                <w:szCs w:val="16"/>
              </w:rPr>
            </w:pPr>
            <w:r w:rsidRPr="00EB7DB4">
              <w:rPr>
                <w:b/>
                <w:bCs/>
                <w:color w:val="FF0000"/>
                <w:sz w:val="16"/>
                <w:szCs w:val="16"/>
              </w:rPr>
              <w:t>($80,070)</w:t>
            </w:r>
          </w:p>
        </w:tc>
        <w:tc>
          <w:tcPr>
            <w:tcW w:w="981" w:type="pct"/>
            <w:noWrap/>
            <w:vAlign w:val="center"/>
            <w:hideMark/>
          </w:tcPr>
          <w:p w14:paraId="0A48046E" w14:textId="5018512B" w:rsidR="00CB47AE" w:rsidRPr="00CB47AE" w:rsidRDefault="00CB47AE" w:rsidP="00CB47AE">
            <w:pPr>
              <w:pStyle w:val="BodyText"/>
              <w:cnfStyle w:val="000000000000" w:firstRow="0" w:lastRow="0" w:firstColumn="0" w:lastColumn="0" w:oddVBand="0" w:evenVBand="0" w:oddHBand="0" w:evenHBand="0" w:firstRowFirstColumn="0" w:firstRowLastColumn="0" w:lastRowFirstColumn="0" w:lastRowLastColumn="0"/>
              <w:rPr>
                <w:b/>
                <w:bCs/>
                <w:color w:val="FF0000"/>
                <w:sz w:val="16"/>
                <w:szCs w:val="16"/>
              </w:rPr>
            </w:pPr>
            <w:r w:rsidRPr="00EB7DB4">
              <w:rPr>
                <w:b/>
                <w:bCs/>
                <w:color w:val="FF0000"/>
                <w:sz w:val="16"/>
                <w:szCs w:val="16"/>
              </w:rPr>
              <w:t>($19,865)</w:t>
            </w:r>
          </w:p>
        </w:tc>
      </w:tr>
      <w:tr w:rsidR="00CB47AE" w:rsidRPr="000A6FC3" w14:paraId="6E2D77E8" w14:textId="77777777" w:rsidTr="00CB47AE">
        <w:trPr>
          <w:cnfStyle w:val="000000010000" w:firstRow="0" w:lastRow="0" w:firstColumn="0" w:lastColumn="0" w:oddVBand="0" w:evenVBand="0" w:oddHBand="0" w:evenHBand="1"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89" w:type="pct"/>
            <w:vMerge/>
            <w:hideMark/>
          </w:tcPr>
          <w:p w14:paraId="04224680" w14:textId="77777777" w:rsidR="00CB47AE" w:rsidRPr="000A6FC3" w:rsidRDefault="00CB47AE" w:rsidP="00CB47AE">
            <w:pPr>
              <w:pStyle w:val="BodyText"/>
              <w:rPr>
                <w:bCs/>
                <w:sz w:val="16"/>
                <w:szCs w:val="16"/>
                <w:lang w:eastAsia="en-AU"/>
              </w:rPr>
            </w:pPr>
          </w:p>
        </w:tc>
        <w:tc>
          <w:tcPr>
            <w:tcW w:w="2353" w:type="pct"/>
            <w:hideMark/>
          </w:tcPr>
          <w:p w14:paraId="31F74EA1" w14:textId="10B50188" w:rsidR="00CB47AE" w:rsidRPr="000A6FC3" w:rsidRDefault="00CB47AE" w:rsidP="00CB47AE">
            <w:pPr>
              <w:pStyle w:val="BodyText"/>
              <w:cnfStyle w:val="000000010000" w:firstRow="0" w:lastRow="0" w:firstColumn="0" w:lastColumn="0" w:oddVBand="0" w:evenVBand="0" w:oddHBand="0" w:evenHBand="1" w:firstRowFirstColumn="0" w:firstRowLastColumn="0" w:lastRowFirstColumn="0" w:lastRowLastColumn="0"/>
              <w:rPr>
                <w:sz w:val="16"/>
                <w:szCs w:val="16"/>
                <w:lang w:eastAsia="en-AU"/>
              </w:rPr>
            </w:pPr>
            <w:r w:rsidRPr="00377AB5">
              <w:rPr>
                <w:bCs/>
                <w:sz w:val="16"/>
                <w:szCs w:val="20"/>
                <w:lang w:eastAsia="en-AU"/>
              </w:rPr>
              <w:t xml:space="preserve">Percentage change </w:t>
            </w:r>
          </w:p>
        </w:tc>
        <w:tc>
          <w:tcPr>
            <w:tcW w:w="1077" w:type="pct"/>
            <w:noWrap/>
            <w:vAlign w:val="center"/>
            <w:hideMark/>
          </w:tcPr>
          <w:p w14:paraId="77903DD1" w14:textId="0EBC8848" w:rsidR="00CB47AE" w:rsidRPr="00CB47AE" w:rsidRDefault="00CB47AE" w:rsidP="00CB47AE">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sidRPr="00EB7DB4">
              <w:rPr>
                <w:rFonts w:ascii="Poppins" w:hAnsi="Poppins" w:cs="Poppins"/>
                <w:color w:val="000000"/>
                <w:sz w:val="16"/>
                <w:szCs w:val="16"/>
              </w:rPr>
              <w:t>-0.07%</w:t>
            </w:r>
          </w:p>
        </w:tc>
        <w:tc>
          <w:tcPr>
            <w:tcW w:w="981" w:type="pct"/>
            <w:noWrap/>
            <w:vAlign w:val="center"/>
            <w:hideMark/>
          </w:tcPr>
          <w:p w14:paraId="73A07821" w14:textId="71C4EAE0" w:rsidR="00CB47AE" w:rsidRPr="00CB47AE" w:rsidRDefault="00CB47AE" w:rsidP="00CB47AE">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sidRPr="00EB7DB4">
              <w:rPr>
                <w:rFonts w:ascii="Poppins" w:hAnsi="Poppins" w:cs="Poppins"/>
                <w:color w:val="000000"/>
                <w:sz w:val="16"/>
                <w:szCs w:val="16"/>
              </w:rPr>
              <w:t>-0.02%</w:t>
            </w:r>
          </w:p>
        </w:tc>
      </w:tr>
      <w:tr w:rsidR="00CB47AE" w:rsidRPr="000A6FC3" w14:paraId="35CA0283" w14:textId="77777777" w:rsidTr="00CB47AE">
        <w:trPr>
          <w:trHeight w:val="429"/>
        </w:trPr>
        <w:tc>
          <w:tcPr>
            <w:cnfStyle w:val="001000000000" w:firstRow="0" w:lastRow="0" w:firstColumn="1" w:lastColumn="0" w:oddVBand="0" w:evenVBand="0" w:oddHBand="0" w:evenHBand="0" w:firstRowFirstColumn="0" w:firstRowLastColumn="0" w:lastRowFirstColumn="0" w:lastRowLastColumn="0"/>
            <w:tcW w:w="589" w:type="pct"/>
            <w:vMerge w:val="restart"/>
            <w:hideMark/>
          </w:tcPr>
          <w:p w14:paraId="615DEB1A" w14:textId="1A301619" w:rsidR="00CB47AE" w:rsidRPr="000A6FC3" w:rsidRDefault="00CB47AE" w:rsidP="00CB47AE">
            <w:pPr>
              <w:pStyle w:val="BodyText"/>
              <w:rPr>
                <w:b w:val="0"/>
                <w:bCs/>
                <w:sz w:val="16"/>
                <w:szCs w:val="16"/>
                <w:lang w:eastAsia="en-AU"/>
              </w:rPr>
            </w:pPr>
            <w:r w:rsidRPr="00377AB5">
              <w:rPr>
                <w:bCs/>
                <w:sz w:val="16"/>
                <w:szCs w:val="20"/>
                <w:lang w:eastAsia="en-AU"/>
              </w:rPr>
              <w:t>2024-25</w:t>
            </w:r>
          </w:p>
        </w:tc>
        <w:tc>
          <w:tcPr>
            <w:tcW w:w="2353" w:type="pct"/>
            <w:hideMark/>
          </w:tcPr>
          <w:p w14:paraId="6B112CF8" w14:textId="6E8462FA" w:rsidR="00CB47AE" w:rsidRPr="005C0875" w:rsidRDefault="00CB47AE" w:rsidP="00CB47AE">
            <w:pPr>
              <w:pStyle w:val="BodyText"/>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7857CA">
              <w:rPr>
                <w:b/>
                <w:bCs/>
                <w:sz w:val="16"/>
                <w:szCs w:val="20"/>
                <w:lang w:eastAsia="en-AU"/>
              </w:rPr>
              <w:t>Change in expenditure</w:t>
            </w:r>
            <w:r w:rsidRPr="007857CA">
              <w:rPr>
                <w:b/>
                <w:bCs/>
                <w:sz w:val="16"/>
                <w:szCs w:val="20"/>
              </w:rPr>
              <w:t xml:space="preserve"> </w:t>
            </w:r>
            <w:r w:rsidRPr="007857CA">
              <w:rPr>
                <w:b/>
                <w:bCs/>
                <w:sz w:val="16"/>
                <w:szCs w:val="20"/>
                <w:lang w:eastAsia="en-AU"/>
              </w:rPr>
              <w:t>from predicted</w:t>
            </w:r>
          </w:p>
        </w:tc>
        <w:tc>
          <w:tcPr>
            <w:tcW w:w="1077" w:type="pct"/>
            <w:noWrap/>
            <w:vAlign w:val="center"/>
            <w:hideMark/>
          </w:tcPr>
          <w:p w14:paraId="0CF70ED9" w14:textId="7EAE142B" w:rsidR="00CB47AE" w:rsidRPr="00CB47AE" w:rsidRDefault="00CB47AE" w:rsidP="00CB47AE">
            <w:pPr>
              <w:pStyle w:val="BodyText"/>
              <w:cnfStyle w:val="000000000000" w:firstRow="0" w:lastRow="0" w:firstColumn="0" w:lastColumn="0" w:oddVBand="0" w:evenVBand="0" w:oddHBand="0" w:evenHBand="0" w:firstRowFirstColumn="0" w:firstRowLastColumn="0" w:lastRowFirstColumn="0" w:lastRowLastColumn="0"/>
              <w:rPr>
                <w:b/>
                <w:bCs/>
                <w:color w:val="FF0000"/>
                <w:sz w:val="16"/>
                <w:szCs w:val="16"/>
              </w:rPr>
            </w:pPr>
            <w:r w:rsidRPr="00EB7DB4">
              <w:rPr>
                <w:b/>
                <w:bCs/>
                <w:color w:val="FF0000"/>
                <w:sz w:val="16"/>
                <w:szCs w:val="16"/>
              </w:rPr>
              <w:t>($81,453)</w:t>
            </w:r>
          </w:p>
        </w:tc>
        <w:tc>
          <w:tcPr>
            <w:tcW w:w="981" w:type="pct"/>
            <w:noWrap/>
            <w:vAlign w:val="center"/>
            <w:hideMark/>
          </w:tcPr>
          <w:p w14:paraId="7D014BE8" w14:textId="58F03185" w:rsidR="00CB47AE" w:rsidRPr="00CB47AE" w:rsidRDefault="00CB47AE" w:rsidP="00CB47AE">
            <w:pPr>
              <w:pStyle w:val="BodyText"/>
              <w:cnfStyle w:val="000000000000" w:firstRow="0" w:lastRow="0" w:firstColumn="0" w:lastColumn="0" w:oddVBand="0" w:evenVBand="0" w:oddHBand="0" w:evenHBand="0" w:firstRowFirstColumn="0" w:firstRowLastColumn="0" w:lastRowFirstColumn="0" w:lastRowLastColumn="0"/>
              <w:rPr>
                <w:b/>
                <w:bCs/>
                <w:color w:val="FF0000"/>
                <w:sz w:val="16"/>
                <w:szCs w:val="16"/>
              </w:rPr>
            </w:pPr>
            <w:r w:rsidRPr="00EB7DB4">
              <w:rPr>
                <w:b/>
                <w:bCs/>
                <w:color w:val="FF0000"/>
                <w:sz w:val="16"/>
                <w:szCs w:val="16"/>
              </w:rPr>
              <w:t>($23,141)</w:t>
            </w:r>
          </w:p>
        </w:tc>
      </w:tr>
      <w:tr w:rsidR="00CB47AE" w:rsidRPr="000A6FC3" w14:paraId="3E4887C2" w14:textId="77777777" w:rsidTr="00CB47AE">
        <w:trPr>
          <w:cnfStyle w:val="000000010000" w:firstRow="0" w:lastRow="0" w:firstColumn="0" w:lastColumn="0" w:oddVBand="0" w:evenVBand="0" w:oddHBand="0" w:evenHBand="1"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89" w:type="pct"/>
            <w:vMerge/>
            <w:hideMark/>
          </w:tcPr>
          <w:p w14:paraId="21CF1F8D" w14:textId="77777777" w:rsidR="00CB47AE" w:rsidRPr="000A6FC3" w:rsidRDefault="00CB47AE" w:rsidP="00CB47AE">
            <w:pPr>
              <w:pStyle w:val="BodyText"/>
              <w:rPr>
                <w:bCs/>
                <w:sz w:val="16"/>
                <w:szCs w:val="16"/>
                <w:lang w:eastAsia="en-AU"/>
              </w:rPr>
            </w:pPr>
          </w:p>
        </w:tc>
        <w:tc>
          <w:tcPr>
            <w:tcW w:w="2353" w:type="pct"/>
            <w:hideMark/>
          </w:tcPr>
          <w:p w14:paraId="21FA3466" w14:textId="75EE4027" w:rsidR="00CB47AE" w:rsidRPr="000A6FC3" w:rsidRDefault="00CB47AE" w:rsidP="00CB47AE">
            <w:pPr>
              <w:pStyle w:val="BodyText"/>
              <w:cnfStyle w:val="000000010000" w:firstRow="0" w:lastRow="0" w:firstColumn="0" w:lastColumn="0" w:oddVBand="0" w:evenVBand="0" w:oddHBand="0" w:evenHBand="1" w:firstRowFirstColumn="0" w:firstRowLastColumn="0" w:lastRowFirstColumn="0" w:lastRowLastColumn="0"/>
              <w:rPr>
                <w:sz w:val="16"/>
                <w:szCs w:val="16"/>
                <w:lang w:eastAsia="en-AU"/>
              </w:rPr>
            </w:pPr>
            <w:r w:rsidRPr="00377AB5">
              <w:rPr>
                <w:bCs/>
                <w:sz w:val="16"/>
                <w:szCs w:val="20"/>
                <w:lang w:eastAsia="en-AU"/>
              </w:rPr>
              <w:t xml:space="preserve">Percentage change </w:t>
            </w:r>
          </w:p>
        </w:tc>
        <w:tc>
          <w:tcPr>
            <w:tcW w:w="1077" w:type="pct"/>
            <w:noWrap/>
            <w:vAlign w:val="center"/>
            <w:hideMark/>
          </w:tcPr>
          <w:p w14:paraId="16B8EE2C" w14:textId="2A738079" w:rsidR="00CB47AE" w:rsidRPr="00CB47AE" w:rsidRDefault="00CB47AE" w:rsidP="00CB47AE">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sidRPr="00EB7DB4">
              <w:rPr>
                <w:rFonts w:ascii="Poppins" w:hAnsi="Poppins" w:cs="Poppins"/>
                <w:color w:val="000000"/>
                <w:sz w:val="16"/>
                <w:szCs w:val="16"/>
              </w:rPr>
              <w:t>-0.07%</w:t>
            </w:r>
          </w:p>
        </w:tc>
        <w:tc>
          <w:tcPr>
            <w:tcW w:w="981" w:type="pct"/>
            <w:noWrap/>
            <w:vAlign w:val="center"/>
            <w:hideMark/>
          </w:tcPr>
          <w:p w14:paraId="4F95BB8A" w14:textId="2C14676B" w:rsidR="00CB47AE" w:rsidRPr="00CB47AE" w:rsidRDefault="00CB47AE" w:rsidP="00CB47AE">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sidRPr="00EB7DB4">
              <w:rPr>
                <w:rFonts w:ascii="Poppins" w:hAnsi="Poppins" w:cs="Poppins"/>
                <w:color w:val="000000"/>
                <w:sz w:val="16"/>
                <w:szCs w:val="16"/>
              </w:rPr>
              <w:t>-0.02%</w:t>
            </w:r>
          </w:p>
        </w:tc>
      </w:tr>
      <w:tr w:rsidR="00CB47AE" w:rsidRPr="000A6FC3" w14:paraId="1BCFEA76" w14:textId="77777777" w:rsidTr="00CB47AE">
        <w:trPr>
          <w:trHeight w:val="352"/>
        </w:trPr>
        <w:tc>
          <w:tcPr>
            <w:cnfStyle w:val="001000000000" w:firstRow="0" w:lastRow="0" w:firstColumn="1" w:lastColumn="0" w:oddVBand="0" w:evenVBand="0" w:oddHBand="0" w:evenHBand="0" w:firstRowFirstColumn="0" w:firstRowLastColumn="0" w:lastRowFirstColumn="0" w:lastRowLastColumn="0"/>
            <w:tcW w:w="589" w:type="pct"/>
            <w:vMerge w:val="restart"/>
            <w:hideMark/>
          </w:tcPr>
          <w:p w14:paraId="7F8CE328" w14:textId="770A6371" w:rsidR="00CB47AE" w:rsidRPr="000A6FC3" w:rsidRDefault="00CB47AE" w:rsidP="00CB47AE">
            <w:pPr>
              <w:pStyle w:val="BodyText"/>
              <w:rPr>
                <w:b w:val="0"/>
                <w:bCs/>
                <w:sz w:val="16"/>
                <w:szCs w:val="16"/>
                <w:lang w:eastAsia="en-AU"/>
              </w:rPr>
            </w:pPr>
            <w:r w:rsidRPr="00377AB5">
              <w:rPr>
                <w:bCs/>
                <w:sz w:val="16"/>
                <w:szCs w:val="20"/>
                <w:lang w:eastAsia="en-AU"/>
              </w:rPr>
              <w:t>2025-26</w:t>
            </w:r>
          </w:p>
        </w:tc>
        <w:tc>
          <w:tcPr>
            <w:tcW w:w="2353" w:type="pct"/>
            <w:hideMark/>
          </w:tcPr>
          <w:p w14:paraId="5AF372E3" w14:textId="2C9ACF8E" w:rsidR="00CB47AE" w:rsidRPr="005C0875" w:rsidRDefault="00CB47AE" w:rsidP="00CB47AE">
            <w:pPr>
              <w:pStyle w:val="BodyText"/>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7857CA">
              <w:rPr>
                <w:b/>
                <w:bCs/>
                <w:sz w:val="16"/>
                <w:szCs w:val="20"/>
                <w:lang w:eastAsia="en-AU"/>
              </w:rPr>
              <w:t>Change in expenditure</w:t>
            </w:r>
            <w:r w:rsidRPr="007857CA">
              <w:rPr>
                <w:b/>
                <w:bCs/>
                <w:sz w:val="16"/>
                <w:szCs w:val="20"/>
              </w:rPr>
              <w:t xml:space="preserve"> </w:t>
            </w:r>
            <w:r w:rsidRPr="007857CA">
              <w:rPr>
                <w:b/>
                <w:bCs/>
                <w:sz w:val="16"/>
                <w:szCs w:val="20"/>
                <w:lang w:eastAsia="en-AU"/>
              </w:rPr>
              <w:t>from predicted</w:t>
            </w:r>
          </w:p>
        </w:tc>
        <w:tc>
          <w:tcPr>
            <w:tcW w:w="1077" w:type="pct"/>
            <w:noWrap/>
            <w:vAlign w:val="center"/>
            <w:hideMark/>
          </w:tcPr>
          <w:p w14:paraId="488B43F5" w14:textId="33C6299E" w:rsidR="00CB47AE" w:rsidRPr="00EB7DB4" w:rsidRDefault="00CB47AE" w:rsidP="00CB47AE">
            <w:pPr>
              <w:pStyle w:val="BodyText"/>
              <w:cnfStyle w:val="000000000000" w:firstRow="0" w:lastRow="0" w:firstColumn="0" w:lastColumn="0" w:oddVBand="0" w:evenVBand="0" w:oddHBand="0" w:evenHBand="0" w:firstRowFirstColumn="0" w:firstRowLastColumn="0" w:lastRowFirstColumn="0" w:lastRowLastColumn="0"/>
              <w:rPr>
                <w:b/>
                <w:bCs/>
                <w:color w:val="FF0000"/>
                <w:sz w:val="16"/>
                <w:szCs w:val="16"/>
              </w:rPr>
            </w:pPr>
            <w:r w:rsidRPr="00EB7DB4">
              <w:rPr>
                <w:b/>
                <w:bCs/>
                <w:color w:val="FF0000"/>
                <w:sz w:val="16"/>
                <w:szCs w:val="16"/>
              </w:rPr>
              <w:t>($83,307)</w:t>
            </w:r>
          </w:p>
        </w:tc>
        <w:tc>
          <w:tcPr>
            <w:tcW w:w="981" w:type="pct"/>
            <w:noWrap/>
            <w:vAlign w:val="center"/>
            <w:hideMark/>
          </w:tcPr>
          <w:p w14:paraId="21BAF183" w14:textId="41F9CC6A" w:rsidR="00CB47AE" w:rsidRPr="00EB7DB4" w:rsidRDefault="00CB47AE" w:rsidP="00CB47AE">
            <w:pPr>
              <w:pStyle w:val="BodyText"/>
              <w:cnfStyle w:val="000000000000" w:firstRow="0" w:lastRow="0" w:firstColumn="0" w:lastColumn="0" w:oddVBand="0" w:evenVBand="0" w:oddHBand="0" w:evenHBand="0" w:firstRowFirstColumn="0" w:firstRowLastColumn="0" w:lastRowFirstColumn="0" w:lastRowLastColumn="0"/>
              <w:rPr>
                <w:b/>
                <w:bCs/>
                <w:color w:val="FF0000"/>
                <w:sz w:val="16"/>
                <w:szCs w:val="16"/>
              </w:rPr>
            </w:pPr>
            <w:r w:rsidRPr="00EB7DB4">
              <w:rPr>
                <w:b/>
                <w:bCs/>
                <w:color w:val="FF0000"/>
                <w:sz w:val="16"/>
                <w:szCs w:val="16"/>
              </w:rPr>
              <w:t>($26,852)</w:t>
            </w:r>
          </w:p>
        </w:tc>
      </w:tr>
      <w:tr w:rsidR="00CB47AE" w:rsidRPr="000A6FC3" w14:paraId="6C200043" w14:textId="77777777" w:rsidTr="00CB47AE">
        <w:trPr>
          <w:cnfStyle w:val="000000010000" w:firstRow="0" w:lastRow="0" w:firstColumn="0" w:lastColumn="0" w:oddVBand="0" w:evenVBand="0" w:oddHBand="0" w:evenHBand="1"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89" w:type="pct"/>
            <w:vMerge/>
            <w:hideMark/>
          </w:tcPr>
          <w:p w14:paraId="1262695E" w14:textId="77777777" w:rsidR="00CB47AE" w:rsidRPr="000A6FC3" w:rsidRDefault="00CB47AE" w:rsidP="00CB47AE">
            <w:pPr>
              <w:pStyle w:val="BodyText"/>
              <w:rPr>
                <w:bCs/>
                <w:sz w:val="16"/>
                <w:szCs w:val="16"/>
                <w:lang w:eastAsia="en-AU"/>
              </w:rPr>
            </w:pPr>
          </w:p>
        </w:tc>
        <w:tc>
          <w:tcPr>
            <w:tcW w:w="2353" w:type="pct"/>
            <w:hideMark/>
          </w:tcPr>
          <w:p w14:paraId="6470ECF9" w14:textId="05FB4929" w:rsidR="00CB47AE" w:rsidRPr="000A6FC3" w:rsidRDefault="00CB47AE" w:rsidP="00CB47AE">
            <w:pPr>
              <w:pStyle w:val="BodyText"/>
              <w:cnfStyle w:val="000000010000" w:firstRow="0" w:lastRow="0" w:firstColumn="0" w:lastColumn="0" w:oddVBand="0" w:evenVBand="0" w:oddHBand="0" w:evenHBand="1" w:firstRowFirstColumn="0" w:firstRowLastColumn="0" w:lastRowFirstColumn="0" w:lastRowLastColumn="0"/>
              <w:rPr>
                <w:sz w:val="16"/>
                <w:szCs w:val="16"/>
                <w:lang w:eastAsia="en-AU"/>
              </w:rPr>
            </w:pPr>
            <w:r w:rsidRPr="009B0C8F">
              <w:rPr>
                <w:bCs/>
                <w:sz w:val="16"/>
                <w:lang w:eastAsia="en-AU"/>
              </w:rPr>
              <w:t>Percentage change</w:t>
            </w:r>
          </w:p>
        </w:tc>
        <w:tc>
          <w:tcPr>
            <w:tcW w:w="1077" w:type="pct"/>
            <w:noWrap/>
            <w:vAlign w:val="center"/>
            <w:hideMark/>
          </w:tcPr>
          <w:p w14:paraId="5B4004A4" w14:textId="25D035F6" w:rsidR="00CB47AE" w:rsidRPr="00CB47AE" w:rsidRDefault="00CB47AE" w:rsidP="00CB47AE">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sidRPr="00EB7DB4">
              <w:rPr>
                <w:rFonts w:ascii="Poppins" w:hAnsi="Poppins" w:cs="Poppins"/>
                <w:color w:val="000000"/>
                <w:sz w:val="16"/>
                <w:szCs w:val="16"/>
              </w:rPr>
              <w:t>-0.07%</w:t>
            </w:r>
          </w:p>
        </w:tc>
        <w:tc>
          <w:tcPr>
            <w:tcW w:w="981" w:type="pct"/>
            <w:noWrap/>
            <w:vAlign w:val="center"/>
            <w:hideMark/>
          </w:tcPr>
          <w:p w14:paraId="41FEEEE8" w14:textId="3FB2D9C9" w:rsidR="00CB47AE" w:rsidRPr="00CB47AE" w:rsidRDefault="00CB47AE" w:rsidP="00CB47AE">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sidRPr="00EB7DB4">
              <w:rPr>
                <w:rFonts w:ascii="Poppins" w:hAnsi="Poppins" w:cs="Poppins"/>
                <w:color w:val="000000"/>
                <w:sz w:val="16"/>
                <w:szCs w:val="16"/>
              </w:rPr>
              <w:t>-0.02%</w:t>
            </w:r>
          </w:p>
        </w:tc>
      </w:tr>
      <w:tr w:rsidR="00CB47AE" w:rsidRPr="000A6FC3" w14:paraId="235867B4" w14:textId="77777777" w:rsidTr="00CB47AE">
        <w:trPr>
          <w:cnfStyle w:val="010000000000" w:firstRow="0" w:lastRow="1"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589" w:type="pct"/>
            <w:vMerge/>
            <w:hideMark/>
          </w:tcPr>
          <w:p w14:paraId="22B6FD35" w14:textId="77777777" w:rsidR="00FE0675" w:rsidRPr="000A6FC3" w:rsidRDefault="00FE0675" w:rsidP="00E034F9">
            <w:pPr>
              <w:pStyle w:val="BodyText"/>
              <w:rPr>
                <w:bCs/>
                <w:sz w:val="16"/>
                <w:szCs w:val="16"/>
                <w:lang w:eastAsia="en-AU"/>
              </w:rPr>
            </w:pPr>
          </w:p>
        </w:tc>
        <w:tc>
          <w:tcPr>
            <w:tcW w:w="2353" w:type="pct"/>
            <w:shd w:val="clear" w:color="auto" w:fill="FBC6D0" w:themeFill="accent2" w:themeFillTint="33"/>
            <w:hideMark/>
          </w:tcPr>
          <w:p w14:paraId="611C9F43" w14:textId="77777777" w:rsidR="00FE0675" w:rsidRPr="000A6FC3" w:rsidRDefault="00FE0675" w:rsidP="00E034F9">
            <w:pPr>
              <w:pStyle w:val="BodyText"/>
              <w:cnfStyle w:val="010000000000" w:firstRow="0" w:lastRow="1" w:firstColumn="0" w:lastColumn="0" w:oddVBand="0" w:evenVBand="0" w:oddHBand="0" w:evenHBand="0" w:firstRowFirstColumn="0" w:firstRowLastColumn="0" w:lastRowFirstColumn="0" w:lastRowLastColumn="0"/>
              <w:rPr>
                <w:i/>
                <w:sz w:val="16"/>
                <w:szCs w:val="16"/>
                <w:lang w:eastAsia="en-AU"/>
              </w:rPr>
            </w:pPr>
            <w:r w:rsidRPr="000A6FC3">
              <w:rPr>
                <w:i/>
                <w:sz w:val="16"/>
                <w:szCs w:val="16"/>
                <w:lang w:eastAsia="en-AU"/>
              </w:rPr>
              <w:t>Number of ostomates impacted (based on current ostomate #)</w:t>
            </w:r>
          </w:p>
        </w:tc>
        <w:tc>
          <w:tcPr>
            <w:tcW w:w="1077" w:type="pct"/>
            <w:shd w:val="clear" w:color="auto" w:fill="FBC6D0" w:themeFill="accent2" w:themeFillTint="33"/>
            <w:noWrap/>
            <w:hideMark/>
          </w:tcPr>
          <w:p w14:paraId="2216B258" w14:textId="77777777" w:rsidR="00FE0675" w:rsidRPr="000A6FC3" w:rsidRDefault="00FE0675" w:rsidP="00E034F9">
            <w:pPr>
              <w:pStyle w:val="BodyText"/>
              <w:cnfStyle w:val="010000000000" w:firstRow="0" w:lastRow="1" w:firstColumn="0" w:lastColumn="0" w:oddVBand="0" w:evenVBand="0" w:oddHBand="0" w:evenHBand="0" w:firstRowFirstColumn="0" w:firstRowLastColumn="0" w:lastRowFirstColumn="0" w:lastRowLastColumn="0"/>
              <w:rPr>
                <w:i/>
                <w:iCs/>
                <w:color w:val="000000"/>
                <w:sz w:val="16"/>
                <w:szCs w:val="16"/>
                <w:lang w:eastAsia="en-AU"/>
              </w:rPr>
            </w:pPr>
            <w:r w:rsidRPr="000A6FC3">
              <w:rPr>
                <w:i/>
                <w:iCs/>
                <w:color w:val="000000"/>
                <w:sz w:val="16"/>
                <w:szCs w:val="16"/>
                <w:lang w:eastAsia="en-AU"/>
              </w:rPr>
              <w:t>2,340</w:t>
            </w:r>
          </w:p>
        </w:tc>
        <w:tc>
          <w:tcPr>
            <w:tcW w:w="981" w:type="pct"/>
            <w:shd w:val="clear" w:color="auto" w:fill="FBC6D0" w:themeFill="accent2" w:themeFillTint="33"/>
            <w:noWrap/>
            <w:hideMark/>
          </w:tcPr>
          <w:p w14:paraId="5BC4AE1D" w14:textId="77777777" w:rsidR="00FE0675" w:rsidRPr="000A6FC3" w:rsidRDefault="00FE0675" w:rsidP="00E034F9">
            <w:pPr>
              <w:pStyle w:val="BodyText"/>
              <w:cnfStyle w:val="010000000000" w:firstRow="0" w:lastRow="1" w:firstColumn="0" w:lastColumn="0" w:oddVBand="0" w:evenVBand="0" w:oddHBand="0" w:evenHBand="0" w:firstRowFirstColumn="0" w:firstRowLastColumn="0" w:lastRowFirstColumn="0" w:lastRowLastColumn="0"/>
              <w:rPr>
                <w:rFonts w:ascii="Poppins" w:hAnsi="Poppins" w:cs="Poppins"/>
                <w:i/>
                <w:iCs/>
                <w:color w:val="000000"/>
                <w:sz w:val="16"/>
                <w:szCs w:val="16"/>
                <w:lang w:eastAsia="en-AU"/>
              </w:rPr>
            </w:pPr>
            <w:r w:rsidRPr="000A6FC3">
              <w:rPr>
                <w:rFonts w:ascii="Poppins" w:hAnsi="Poppins" w:cs="Poppins"/>
                <w:i/>
                <w:iCs/>
                <w:color w:val="000000"/>
                <w:sz w:val="16"/>
                <w:szCs w:val="16"/>
                <w:lang w:eastAsia="en-AU"/>
              </w:rPr>
              <w:t>382</w:t>
            </w:r>
          </w:p>
        </w:tc>
      </w:tr>
    </w:tbl>
    <w:p w14:paraId="45B3A9B7" w14:textId="0A288BA3" w:rsidR="0081114F" w:rsidRPr="007C0E64" w:rsidRDefault="0081114F" w:rsidP="007C0E64">
      <w:pPr>
        <w:pStyle w:val="BodyText"/>
      </w:pPr>
    </w:p>
    <w:p w14:paraId="0DD892C1" w14:textId="77777777" w:rsidR="00FE0675" w:rsidRPr="007C0E64" w:rsidRDefault="00FE0675" w:rsidP="007C0E64">
      <w:pPr>
        <w:pStyle w:val="BodyText"/>
      </w:pPr>
    </w:p>
    <w:p w14:paraId="5A688F3B" w14:textId="7C3603FD" w:rsidR="007C3763" w:rsidRDefault="00832F4E">
      <w:pPr>
        <w:spacing w:line="276" w:lineRule="auto"/>
        <w:rPr>
          <w:szCs w:val="24"/>
        </w:rPr>
      </w:pPr>
      <w:r>
        <w:rPr>
          <w:noProof/>
        </w:rPr>
        <w:drawing>
          <wp:anchor distT="0" distB="0" distL="114300" distR="114300" simplePos="0" relativeHeight="251658251" behindDoc="0" locked="0" layoutInCell="1" allowOverlap="1" wp14:anchorId="118F1DB7" wp14:editId="4DF41F3A">
            <wp:simplePos x="0" y="0"/>
            <wp:positionH relativeFrom="margin">
              <wp:posOffset>206119</wp:posOffset>
            </wp:positionH>
            <wp:positionV relativeFrom="paragraph">
              <wp:posOffset>-514532</wp:posOffset>
            </wp:positionV>
            <wp:extent cx="3776345" cy="2670810"/>
            <wp:effectExtent l="0" t="0" r="0" b="0"/>
            <wp:wrapSquare wrapText="bothSides"/>
            <wp:docPr id="79664982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49828" name="Picture 8">
                      <a:extLst>
                        <a:ext uri="{C183D7F6-B498-43B3-948B-1728B52AA6E4}">
                          <adec:decorative xmlns:adec="http://schemas.microsoft.com/office/drawing/2017/decorative" val="1"/>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76345" cy="2670810"/>
                    </a:xfrm>
                    <a:prstGeom prst="rect">
                      <a:avLst/>
                    </a:prstGeom>
                    <a:noFill/>
                  </pic:spPr>
                </pic:pic>
              </a:graphicData>
            </a:graphic>
            <wp14:sizeRelH relativeFrom="margin">
              <wp14:pctWidth>0</wp14:pctWidth>
            </wp14:sizeRelH>
            <wp14:sizeRelV relativeFrom="margin">
              <wp14:pctHeight>0</wp14:pctHeight>
            </wp14:sizeRelV>
          </wp:anchor>
        </w:drawing>
      </w:r>
      <w:r w:rsidR="007C3763">
        <w:br w:type="page"/>
      </w:r>
    </w:p>
    <w:p w14:paraId="035F59E8" w14:textId="00620C4A" w:rsidR="00B65767" w:rsidRDefault="00B65767" w:rsidP="006261FB">
      <w:pPr>
        <w:pStyle w:val="AltHeading3"/>
      </w:pPr>
      <w:r>
        <w:lastRenderedPageBreak/>
        <w:t xml:space="preserve">Scenario </w:t>
      </w:r>
      <w:r w:rsidR="00666F98">
        <w:t>T</w:t>
      </w:r>
      <w:r>
        <w:t xml:space="preserve">hree: Removal of </w:t>
      </w:r>
      <w:r w:rsidR="00666F98">
        <w:t>C</w:t>
      </w:r>
      <w:r>
        <w:t>atheters</w:t>
      </w:r>
    </w:p>
    <w:p w14:paraId="76091E26" w14:textId="752FD777" w:rsidR="00B65767" w:rsidRDefault="00B65767" w:rsidP="00B65767">
      <w:pPr>
        <w:pStyle w:val="BodyText"/>
      </w:pPr>
      <w:r>
        <w:t>The removal of catheters (product category 08(c)) was also tested for expenditure changes following stakeholder feedback suggesting they were not clinically necessary, particularly for certain stoma types.</w:t>
      </w:r>
      <w:r w:rsidR="00832F4E">
        <w:t xml:space="preserve"> </w:t>
      </w:r>
      <w:r w:rsidR="004B64E7" w:rsidRPr="004B64E7">
        <w:t>Group 08c contains the following product codes: 03671F, 09755K, 09822Y, 09867H, 09869K, 09870L, 09962H, 80151L, 80157T, 80158W, 80184F, 80198Y.</w:t>
      </w:r>
    </w:p>
    <w:p w14:paraId="56D694B6" w14:textId="710BAEE7" w:rsidR="00B65767" w:rsidRDefault="00B65767" w:rsidP="00B65767">
      <w:pPr>
        <w:pStyle w:val="BodyText"/>
      </w:pPr>
      <w:r w:rsidRPr="008203B9">
        <w:t>It was found that from the total expenditure of the Scheme in FY2</w:t>
      </w:r>
      <w:r w:rsidR="00B74BE9">
        <w:t>5</w:t>
      </w:r>
      <w:r w:rsidRPr="008203B9">
        <w:t>-2</w:t>
      </w:r>
      <w:r w:rsidR="00B74BE9">
        <w:t>6</w:t>
      </w:r>
      <w:r w:rsidRPr="008203B9">
        <w:t xml:space="preserve"> </w:t>
      </w:r>
      <w:r w:rsidR="00B74BE9" w:rsidRPr="00B74BE9">
        <w:t>($126,792,538</w:t>
      </w:r>
      <w:r w:rsidRPr="008203B9">
        <w:t>)</w:t>
      </w:r>
      <w:r>
        <w:t xml:space="preserve">, catheters accounted for </w:t>
      </w:r>
      <w:r w:rsidR="00B74BE9" w:rsidRPr="00B74BE9">
        <w:rPr>
          <w:b/>
          <w:bCs/>
        </w:rPr>
        <w:t>$654,521</w:t>
      </w:r>
      <w:r>
        <w:t xml:space="preserve">and would result in </w:t>
      </w:r>
      <w:r w:rsidRPr="00957211">
        <w:rPr>
          <w:b/>
          <w:bCs/>
        </w:rPr>
        <w:t>less than 1% in cost savings for the Scheme if removed</w:t>
      </w:r>
      <w:r>
        <w:t xml:space="preserve">. </w:t>
      </w:r>
      <w:r w:rsidR="005D4EC8">
        <w:fldChar w:fldCharType="begin"/>
      </w:r>
      <w:r w:rsidR="005D4EC8">
        <w:instrText xml:space="preserve"> REF _Ref157610667 \h </w:instrText>
      </w:r>
      <w:r w:rsidR="005D4EC8">
        <w:fldChar w:fldCharType="separate"/>
      </w:r>
      <w:r w:rsidR="00FE1418">
        <w:t xml:space="preserve">Figure </w:t>
      </w:r>
      <w:r w:rsidR="00FE1418">
        <w:rPr>
          <w:noProof/>
        </w:rPr>
        <w:t>19</w:t>
      </w:r>
      <w:r w:rsidR="005D4EC8">
        <w:fldChar w:fldCharType="end"/>
      </w:r>
      <w:r w:rsidR="005D4EC8">
        <w:t xml:space="preserve"> </w:t>
      </w:r>
      <w:r>
        <w:t xml:space="preserve">provides three years of </w:t>
      </w:r>
      <w:r w:rsidR="00B74BE9">
        <w:t xml:space="preserve">predicted </w:t>
      </w:r>
      <w:r>
        <w:t xml:space="preserve">expenditure related to this </w:t>
      </w:r>
      <w:r w:rsidRPr="00EE2A87">
        <w:t xml:space="preserve">scenario </w:t>
      </w:r>
      <w:r>
        <w:t xml:space="preserve">and highlights the change would </w:t>
      </w:r>
      <w:r w:rsidRPr="00B4661D">
        <w:t xml:space="preserve">affect </w:t>
      </w:r>
      <w:r w:rsidR="00B74BE9">
        <w:t xml:space="preserve">approximately </w:t>
      </w:r>
      <w:r>
        <w:t>621</w:t>
      </w:r>
      <w:r w:rsidRPr="00B4661D">
        <w:t xml:space="preserve"> ostomates</w:t>
      </w:r>
      <w:r>
        <w:t xml:space="preserve"> if removed from the Scheme.</w:t>
      </w:r>
    </w:p>
    <w:p w14:paraId="0113DC2B" w14:textId="591798C5" w:rsidR="00B65767" w:rsidRDefault="00B65767" w:rsidP="00B65767">
      <w:pPr>
        <w:pStyle w:val="Caption"/>
      </w:pPr>
      <w:bookmarkStart w:id="128" w:name="_Ref157610667"/>
      <w:bookmarkStart w:id="129" w:name="_Toc161743143"/>
      <w:r>
        <w:t xml:space="preserve">Figure </w:t>
      </w:r>
      <w:r>
        <w:fldChar w:fldCharType="begin"/>
      </w:r>
      <w:r>
        <w:instrText xml:space="preserve"> SEQ Figure \* ARABIC </w:instrText>
      </w:r>
      <w:r>
        <w:fldChar w:fldCharType="separate"/>
      </w:r>
      <w:r w:rsidR="00FE1418">
        <w:rPr>
          <w:noProof/>
        </w:rPr>
        <w:t>19</w:t>
      </w:r>
      <w:r>
        <w:rPr>
          <w:noProof/>
        </w:rPr>
        <w:fldChar w:fldCharType="end"/>
      </w:r>
      <w:bookmarkEnd w:id="128"/>
      <w:r>
        <w:t xml:space="preserve">: </w:t>
      </w:r>
      <w:r w:rsidRPr="00B96DDC">
        <w:t xml:space="preserve">Expenditure related to catheters if removed from the </w:t>
      </w:r>
      <w:proofErr w:type="gramStart"/>
      <w:r w:rsidRPr="00B96DDC">
        <w:t>Scheme</w:t>
      </w:r>
      <w:bookmarkEnd w:id="129"/>
      <w:proofErr w:type="gramEnd"/>
    </w:p>
    <w:tbl>
      <w:tblPr>
        <w:tblStyle w:val="TableHealthConsultPurple"/>
        <w:tblpPr w:leftFromText="180" w:rightFromText="180" w:vertAnchor="text" w:horzAnchor="margin" w:tblpXSpec="right" w:tblpY="154"/>
        <w:tblW w:w="2266" w:type="pct"/>
        <w:tblLayout w:type="fixed"/>
        <w:tblLook w:val="04E0" w:firstRow="1" w:lastRow="1" w:firstColumn="1" w:lastColumn="0" w:noHBand="0" w:noVBand="1"/>
      </w:tblPr>
      <w:tblGrid>
        <w:gridCol w:w="850"/>
        <w:gridCol w:w="3328"/>
        <w:gridCol w:w="2425"/>
      </w:tblGrid>
      <w:tr w:rsidR="00B65767" w:rsidRPr="001B12A1" w14:paraId="6D968DE9" w14:textId="77777777" w:rsidTr="00EB7DB4">
        <w:trPr>
          <w:cnfStyle w:val="100000000000" w:firstRow="1" w:lastRow="0" w:firstColumn="0" w:lastColumn="0" w:oddVBand="0" w:evenVBand="0" w:oddHBand="0" w:evenHBand="0" w:firstRowFirstColumn="0" w:firstRowLastColumn="0" w:lastRowFirstColumn="0" w:lastRowLastColumn="0"/>
          <w:trHeight w:val="405"/>
        </w:trPr>
        <w:tc>
          <w:tcPr>
            <w:cnfStyle w:val="001000000100" w:firstRow="0" w:lastRow="0" w:firstColumn="1" w:lastColumn="0" w:oddVBand="0" w:evenVBand="0" w:oddHBand="0" w:evenHBand="0" w:firstRowFirstColumn="1" w:firstRowLastColumn="0" w:lastRowFirstColumn="0" w:lastRowLastColumn="0"/>
            <w:tcW w:w="3164" w:type="pct"/>
            <w:gridSpan w:val="2"/>
            <w:noWrap/>
            <w:hideMark/>
          </w:tcPr>
          <w:p w14:paraId="71F20D1F" w14:textId="77777777" w:rsidR="00B65767" w:rsidRPr="001B12A1" w:rsidRDefault="00B65767" w:rsidP="005C7AC1">
            <w:pPr>
              <w:pStyle w:val="BodyText"/>
              <w:jc w:val="center"/>
              <w:rPr>
                <w:sz w:val="16"/>
                <w:szCs w:val="20"/>
                <w:lang w:eastAsia="en-AU"/>
              </w:rPr>
            </w:pPr>
            <w:r w:rsidRPr="001B12A1">
              <w:rPr>
                <w:sz w:val="16"/>
                <w:szCs w:val="20"/>
                <w:lang w:eastAsia="en-AU"/>
              </w:rPr>
              <w:t>Scenario</w:t>
            </w:r>
            <w:r>
              <w:rPr>
                <w:sz w:val="16"/>
                <w:szCs w:val="20"/>
                <w:lang w:eastAsia="en-AU"/>
              </w:rPr>
              <w:t>:</w:t>
            </w:r>
          </w:p>
        </w:tc>
        <w:tc>
          <w:tcPr>
            <w:tcW w:w="1836" w:type="pct"/>
            <w:noWrap/>
            <w:hideMark/>
          </w:tcPr>
          <w:p w14:paraId="6DEE649B" w14:textId="77777777" w:rsidR="00B65767" w:rsidRPr="001B12A1" w:rsidRDefault="00B65767" w:rsidP="005C7AC1">
            <w:pPr>
              <w:pStyle w:val="BodyText"/>
              <w:cnfStyle w:val="100000000000" w:firstRow="1" w:lastRow="0" w:firstColumn="0" w:lastColumn="0" w:oddVBand="0" w:evenVBand="0" w:oddHBand="0" w:evenHBand="0" w:firstRowFirstColumn="0" w:firstRowLastColumn="0" w:lastRowFirstColumn="0" w:lastRowLastColumn="0"/>
              <w:rPr>
                <w:bCs/>
                <w:sz w:val="16"/>
                <w:szCs w:val="20"/>
                <w:lang w:eastAsia="en-AU"/>
              </w:rPr>
            </w:pPr>
            <w:r w:rsidRPr="001B12A1">
              <w:rPr>
                <w:bCs/>
                <w:sz w:val="16"/>
                <w:szCs w:val="20"/>
                <w:lang w:eastAsia="en-AU"/>
              </w:rPr>
              <w:t>Catheters (08c) removed</w:t>
            </w:r>
          </w:p>
        </w:tc>
      </w:tr>
      <w:tr w:rsidR="00B74BE9" w:rsidRPr="001B12A1" w14:paraId="42015BF0" w14:textId="77777777" w:rsidTr="00EB7DB4">
        <w:trPr>
          <w:trHeight w:val="325"/>
        </w:trPr>
        <w:tc>
          <w:tcPr>
            <w:cnfStyle w:val="001000000000" w:firstRow="0" w:lastRow="0" w:firstColumn="1" w:lastColumn="0" w:oddVBand="0" w:evenVBand="0" w:oddHBand="0" w:evenHBand="0" w:firstRowFirstColumn="0" w:firstRowLastColumn="0" w:lastRowFirstColumn="0" w:lastRowLastColumn="0"/>
            <w:tcW w:w="644" w:type="pct"/>
            <w:vMerge w:val="restart"/>
            <w:hideMark/>
          </w:tcPr>
          <w:p w14:paraId="43CF0A5F" w14:textId="15329717" w:rsidR="00B74BE9" w:rsidRPr="001B12A1" w:rsidRDefault="00B74BE9" w:rsidP="00B74BE9">
            <w:pPr>
              <w:pStyle w:val="BodyText"/>
              <w:rPr>
                <w:b w:val="0"/>
                <w:bCs/>
                <w:sz w:val="16"/>
                <w:szCs w:val="20"/>
                <w:lang w:eastAsia="en-AU"/>
              </w:rPr>
            </w:pPr>
            <w:r w:rsidRPr="00377AB5">
              <w:rPr>
                <w:bCs/>
                <w:sz w:val="16"/>
                <w:szCs w:val="20"/>
                <w:lang w:eastAsia="en-AU"/>
              </w:rPr>
              <w:t>2023-24</w:t>
            </w:r>
          </w:p>
        </w:tc>
        <w:tc>
          <w:tcPr>
            <w:tcW w:w="2519" w:type="pct"/>
            <w:hideMark/>
          </w:tcPr>
          <w:p w14:paraId="78CDB98C" w14:textId="3CA40F54" w:rsidR="00B74BE9" w:rsidRPr="00B91542" w:rsidRDefault="00B74BE9" w:rsidP="00B74BE9">
            <w:pPr>
              <w:pStyle w:val="BodyText"/>
              <w:cnfStyle w:val="000000000000" w:firstRow="0" w:lastRow="0" w:firstColumn="0" w:lastColumn="0" w:oddVBand="0" w:evenVBand="0" w:oddHBand="0" w:evenHBand="0" w:firstRowFirstColumn="0" w:firstRowLastColumn="0" w:lastRowFirstColumn="0" w:lastRowLastColumn="0"/>
              <w:rPr>
                <w:b/>
                <w:bCs/>
                <w:sz w:val="16"/>
                <w:szCs w:val="20"/>
                <w:lang w:eastAsia="en-AU"/>
              </w:rPr>
            </w:pPr>
            <w:r w:rsidRPr="007857CA">
              <w:rPr>
                <w:b/>
                <w:bCs/>
                <w:sz w:val="16"/>
                <w:szCs w:val="20"/>
                <w:lang w:eastAsia="en-AU"/>
              </w:rPr>
              <w:t>Change in expenditure from predicted</w:t>
            </w:r>
          </w:p>
        </w:tc>
        <w:tc>
          <w:tcPr>
            <w:tcW w:w="1836" w:type="pct"/>
            <w:noWrap/>
            <w:vAlign w:val="center"/>
            <w:hideMark/>
          </w:tcPr>
          <w:p w14:paraId="0754244D" w14:textId="38B6DB33" w:rsidR="00B74BE9" w:rsidRPr="00B74BE9" w:rsidRDefault="00B74BE9" w:rsidP="00B74BE9">
            <w:pPr>
              <w:pStyle w:val="BodyText"/>
              <w:cnfStyle w:val="000000000000" w:firstRow="0" w:lastRow="0" w:firstColumn="0" w:lastColumn="0" w:oddVBand="0" w:evenVBand="0" w:oddHBand="0" w:evenHBand="0" w:firstRowFirstColumn="0" w:firstRowLastColumn="0" w:lastRowFirstColumn="0" w:lastRowLastColumn="0"/>
              <w:rPr>
                <w:color w:val="000000"/>
                <w:sz w:val="16"/>
                <w:szCs w:val="16"/>
                <w:lang w:eastAsia="en-AU"/>
              </w:rPr>
            </w:pPr>
            <w:r w:rsidRPr="00EB7DB4">
              <w:rPr>
                <w:b/>
                <w:bCs/>
                <w:color w:val="FF0000"/>
                <w:sz w:val="16"/>
                <w:szCs w:val="16"/>
              </w:rPr>
              <w:t>($654,521)</w:t>
            </w:r>
          </w:p>
        </w:tc>
      </w:tr>
      <w:tr w:rsidR="00B74BE9" w:rsidRPr="001B12A1" w14:paraId="5B02DA3E" w14:textId="77777777" w:rsidTr="00EB7DB4">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44" w:type="pct"/>
            <w:vMerge/>
            <w:hideMark/>
          </w:tcPr>
          <w:p w14:paraId="4930E858" w14:textId="77777777" w:rsidR="00B74BE9" w:rsidRPr="001B12A1" w:rsidRDefault="00B74BE9" w:rsidP="00B74BE9">
            <w:pPr>
              <w:pStyle w:val="BodyText"/>
              <w:rPr>
                <w:bCs/>
                <w:sz w:val="16"/>
                <w:szCs w:val="20"/>
                <w:lang w:eastAsia="en-AU"/>
              </w:rPr>
            </w:pPr>
          </w:p>
        </w:tc>
        <w:tc>
          <w:tcPr>
            <w:tcW w:w="2519" w:type="pct"/>
            <w:hideMark/>
          </w:tcPr>
          <w:p w14:paraId="744E4FDB" w14:textId="32DCC1F4" w:rsidR="00B74BE9" w:rsidRPr="001B12A1" w:rsidRDefault="00B74BE9" w:rsidP="00B74BE9">
            <w:pPr>
              <w:pStyle w:val="BodyText"/>
              <w:cnfStyle w:val="000000010000" w:firstRow="0" w:lastRow="0" w:firstColumn="0" w:lastColumn="0" w:oddVBand="0" w:evenVBand="0" w:oddHBand="0" w:evenHBand="1" w:firstRowFirstColumn="0" w:firstRowLastColumn="0" w:lastRowFirstColumn="0" w:lastRowLastColumn="0"/>
              <w:rPr>
                <w:bCs/>
                <w:sz w:val="16"/>
                <w:szCs w:val="20"/>
                <w:lang w:eastAsia="en-AU"/>
              </w:rPr>
            </w:pPr>
            <w:r w:rsidRPr="00377AB5">
              <w:rPr>
                <w:bCs/>
                <w:sz w:val="16"/>
                <w:szCs w:val="20"/>
                <w:lang w:eastAsia="en-AU"/>
              </w:rPr>
              <w:t xml:space="preserve">Percentage change </w:t>
            </w:r>
          </w:p>
        </w:tc>
        <w:tc>
          <w:tcPr>
            <w:tcW w:w="1836" w:type="pct"/>
            <w:noWrap/>
            <w:vAlign w:val="center"/>
            <w:hideMark/>
          </w:tcPr>
          <w:p w14:paraId="7B5A873B" w14:textId="5A0413F5" w:rsidR="00B74BE9" w:rsidRPr="00B74BE9" w:rsidRDefault="00B74BE9" w:rsidP="00B74BE9">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sidRPr="00EB7DB4">
              <w:rPr>
                <w:rFonts w:ascii="Poppins" w:hAnsi="Poppins" w:cs="Poppins"/>
                <w:color w:val="000000"/>
                <w:sz w:val="16"/>
                <w:szCs w:val="16"/>
              </w:rPr>
              <w:t>-0.57%</w:t>
            </w:r>
          </w:p>
        </w:tc>
      </w:tr>
      <w:tr w:rsidR="00B74BE9" w:rsidRPr="001B12A1" w14:paraId="21AD01B9" w14:textId="77777777" w:rsidTr="00EB7DB4">
        <w:trPr>
          <w:trHeight w:val="455"/>
        </w:trPr>
        <w:tc>
          <w:tcPr>
            <w:cnfStyle w:val="001000000000" w:firstRow="0" w:lastRow="0" w:firstColumn="1" w:lastColumn="0" w:oddVBand="0" w:evenVBand="0" w:oddHBand="0" w:evenHBand="0" w:firstRowFirstColumn="0" w:firstRowLastColumn="0" w:lastRowFirstColumn="0" w:lastRowLastColumn="0"/>
            <w:tcW w:w="644" w:type="pct"/>
            <w:vMerge w:val="restart"/>
            <w:hideMark/>
          </w:tcPr>
          <w:p w14:paraId="177B6773" w14:textId="4576DE05" w:rsidR="00B74BE9" w:rsidRPr="001B12A1" w:rsidRDefault="00B74BE9" w:rsidP="00B74BE9">
            <w:pPr>
              <w:pStyle w:val="BodyText"/>
              <w:rPr>
                <w:b w:val="0"/>
                <w:bCs/>
                <w:sz w:val="16"/>
                <w:szCs w:val="20"/>
                <w:lang w:eastAsia="en-AU"/>
              </w:rPr>
            </w:pPr>
            <w:r w:rsidRPr="00377AB5">
              <w:rPr>
                <w:bCs/>
                <w:sz w:val="16"/>
                <w:szCs w:val="20"/>
                <w:lang w:eastAsia="en-AU"/>
              </w:rPr>
              <w:t>2024-25</w:t>
            </w:r>
          </w:p>
        </w:tc>
        <w:tc>
          <w:tcPr>
            <w:tcW w:w="2519" w:type="pct"/>
            <w:hideMark/>
          </w:tcPr>
          <w:p w14:paraId="743C61F8" w14:textId="12A0F298" w:rsidR="00B74BE9" w:rsidRPr="005C0875" w:rsidRDefault="00B74BE9" w:rsidP="00B74BE9">
            <w:pPr>
              <w:pStyle w:val="BodyText"/>
              <w:cnfStyle w:val="000000000000" w:firstRow="0" w:lastRow="0" w:firstColumn="0" w:lastColumn="0" w:oddVBand="0" w:evenVBand="0" w:oddHBand="0" w:evenHBand="0" w:firstRowFirstColumn="0" w:firstRowLastColumn="0" w:lastRowFirstColumn="0" w:lastRowLastColumn="0"/>
              <w:rPr>
                <w:b/>
                <w:bCs/>
                <w:sz w:val="16"/>
                <w:szCs w:val="20"/>
                <w:lang w:eastAsia="en-AU"/>
              </w:rPr>
            </w:pPr>
            <w:r w:rsidRPr="007857CA">
              <w:rPr>
                <w:b/>
                <w:bCs/>
                <w:sz w:val="16"/>
                <w:szCs w:val="20"/>
                <w:lang w:eastAsia="en-AU"/>
              </w:rPr>
              <w:t>Change in expenditure</w:t>
            </w:r>
            <w:r w:rsidRPr="007857CA">
              <w:rPr>
                <w:b/>
                <w:bCs/>
                <w:sz w:val="16"/>
                <w:szCs w:val="20"/>
              </w:rPr>
              <w:t xml:space="preserve"> </w:t>
            </w:r>
            <w:r w:rsidRPr="007857CA">
              <w:rPr>
                <w:b/>
                <w:bCs/>
                <w:sz w:val="16"/>
                <w:szCs w:val="20"/>
                <w:lang w:eastAsia="en-AU"/>
              </w:rPr>
              <w:t>from predicted</w:t>
            </w:r>
          </w:p>
        </w:tc>
        <w:tc>
          <w:tcPr>
            <w:tcW w:w="1836" w:type="pct"/>
            <w:noWrap/>
            <w:vAlign w:val="center"/>
            <w:hideMark/>
          </w:tcPr>
          <w:p w14:paraId="4B8753F7" w14:textId="3837D80F" w:rsidR="00B74BE9" w:rsidRPr="00B74BE9" w:rsidRDefault="00B74BE9" w:rsidP="00B74BE9">
            <w:pPr>
              <w:pStyle w:val="BodyText"/>
              <w:cnfStyle w:val="000000000000" w:firstRow="0" w:lastRow="0" w:firstColumn="0" w:lastColumn="0" w:oddVBand="0" w:evenVBand="0" w:oddHBand="0" w:evenHBand="0" w:firstRowFirstColumn="0" w:firstRowLastColumn="0" w:lastRowFirstColumn="0" w:lastRowLastColumn="0"/>
              <w:rPr>
                <w:bCs/>
                <w:color w:val="000000"/>
                <w:sz w:val="16"/>
                <w:szCs w:val="16"/>
                <w:lang w:eastAsia="en-AU"/>
              </w:rPr>
            </w:pPr>
            <w:r w:rsidRPr="00EB7DB4">
              <w:rPr>
                <w:b/>
                <w:bCs/>
                <w:color w:val="FF0000"/>
                <w:sz w:val="16"/>
                <w:szCs w:val="16"/>
              </w:rPr>
              <w:t>($674,221)</w:t>
            </w:r>
          </w:p>
        </w:tc>
      </w:tr>
      <w:tr w:rsidR="00B74BE9" w:rsidRPr="001B12A1" w14:paraId="4ACBCFDF" w14:textId="77777777" w:rsidTr="00EB7DB4">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44" w:type="pct"/>
            <w:vMerge/>
            <w:hideMark/>
          </w:tcPr>
          <w:p w14:paraId="0527EBA1" w14:textId="77777777" w:rsidR="00B74BE9" w:rsidRPr="001B12A1" w:rsidRDefault="00B74BE9" w:rsidP="00B74BE9">
            <w:pPr>
              <w:pStyle w:val="BodyText"/>
              <w:rPr>
                <w:bCs/>
                <w:sz w:val="16"/>
                <w:szCs w:val="20"/>
                <w:lang w:eastAsia="en-AU"/>
              </w:rPr>
            </w:pPr>
          </w:p>
        </w:tc>
        <w:tc>
          <w:tcPr>
            <w:tcW w:w="2519" w:type="pct"/>
            <w:hideMark/>
          </w:tcPr>
          <w:p w14:paraId="678735A9" w14:textId="5A1EBFED" w:rsidR="00B74BE9" w:rsidRPr="001B12A1" w:rsidRDefault="00B74BE9" w:rsidP="00B74BE9">
            <w:pPr>
              <w:pStyle w:val="BodyText"/>
              <w:cnfStyle w:val="000000010000" w:firstRow="0" w:lastRow="0" w:firstColumn="0" w:lastColumn="0" w:oddVBand="0" w:evenVBand="0" w:oddHBand="0" w:evenHBand="1" w:firstRowFirstColumn="0" w:firstRowLastColumn="0" w:lastRowFirstColumn="0" w:lastRowLastColumn="0"/>
              <w:rPr>
                <w:bCs/>
                <w:sz w:val="16"/>
                <w:szCs w:val="20"/>
                <w:lang w:eastAsia="en-AU"/>
              </w:rPr>
            </w:pPr>
            <w:r w:rsidRPr="00377AB5">
              <w:rPr>
                <w:bCs/>
                <w:sz w:val="16"/>
                <w:szCs w:val="20"/>
                <w:lang w:eastAsia="en-AU"/>
              </w:rPr>
              <w:t xml:space="preserve">Percentage change </w:t>
            </w:r>
          </w:p>
        </w:tc>
        <w:tc>
          <w:tcPr>
            <w:tcW w:w="1836" w:type="pct"/>
            <w:noWrap/>
            <w:vAlign w:val="center"/>
            <w:hideMark/>
          </w:tcPr>
          <w:p w14:paraId="49227ABF" w14:textId="51688047" w:rsidR="00B74BE9" w:rsidRPr="00B74BE9" w:rsidRDefault="00B74BE9" w:rsidP="00B74BE9">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sidRPr="00EB7DB4">
              <w:rPr>
                <w:rFonts w:ascii="Poppins" w:hAnsi="Poppins" w:cs="Poppins"/>
                <w:color w:val="000000"/>
                <w:sz w:val="16"/>
                <w:szCs w:val="16"/>
              </w:rPr>
              <w:t>-0.56%</w:t>
            </w:r>
          </w:p>
        </w:tc>
      </w:tr>
      <w:tr w:rsidR="00B74BE9" w:rsidRPr="001B12A1" w14:paraId="3EADB814" w14:textId="77777777" w:rsidTr="00EB7DB4">
        <w:trPr>
          <w:trHeight w:val="325"/>
        </w:trPr>
        <w:tc>
          <w:tcPr>
            <w:cnfStyle w:val="001000000000" w:firstRow="0" w:lastRow="0" w:firstColumn="1" w:lastColumn="0" w:oddVBand="0" w:evenVBand="0" w:oddHBand="0" w:evenHBand="0" w:firstRowFirstColumn="0" w:firstRowLastColumn="0" w:lastRowFirstColumn="0" w:lastRowLastColumn="0"/>
            <w:tcW w:w="644" w:type="pct"/>
            <w:vMerge w:val="restart"/>
            <w:hideMark/>
          </w:tcPr>
          <w:p w14:paraId="07F279BA" w14:textId="529D8572" w:rsidR="00B74BE9" w:rsidRPr="001B12A1" w:rsidRDefault="00B74BE9" w:rsidP="00B74BE9">
            <w:pPr>
              <w:pStyle w:val="BodyText"/>
              <w:rPr>
                <w:b w:val="0"/>
                <w:bCs/>
                <w:sz w:val="16"/>
                <w:szCs w:val="20"/>
                <w:lang w:eastAsia="en-AU"/>
              </w:rPr>
            </w:pPr>
            <w:r w:rsidRPr="00377AB5">
              <w:rPr>
                <w:bCs/>
                <w:sz w:val="16"/>
                <w:szCs w:val="20"/>
                <w:lang w:eastAsia="en-AU"/>
              </w:rPr>
              <w:t>2025-26</w:t>
            </w:r>
          </w:p>
        </w:tc>
        <w:tc>
          <w:tcPr>
            <w:tcW w:w="2519" w:type="pct"/>
            <w:hideMark/>
          </w:tcPr>
          <w:p w14:paraId="7C3494A1" w14:textId="7B2FC7AB" w:rsidR="00B74BE9" w:rsidRPr="005C0875" w:rsidRDefault="00B74BE9" w:rsidP="00B74BE9">
            <w:pPr>
              <w:pStyle w:val="BodyText"/>
              <w:cnfStyle w:val="000000000000" w:firstRow="0" w:lastRow="0" w:firstColumn="0" w:lastColumn="0" w:oddVBand="0" w:evenVBand="0" w:oddHBand="0" w:evenHBand="0" w:firstRowFirstColumn="0" w:firstRowLastColumn="0" w:lastRowFirstColumn="0" w:lastRowLastColumn="0"/>
              <w:rPr>
                <w:b/>
                <w:bCs/>
                <w:sz w:val="16"/>
                <w:szCs w:val="20"/>
                <w:lang w:eastAsia="en-AU"/>
              </w:rPr>
            </w:pPr>
            <w:r w:rsidRPr="007857CA">
              <w:rPr>
                <w:b/>
                <w:bCs/>
                <w:sz w:val="16"/>
                <w:szCs w:val="20"/>
                <w:lang w:eastAsia="en-AU"/>
              </w:rPr>
              <w:t>Change in expenditure</w:t>
            </w:r>
            <w:r w:rsidRPr="007857CA">
              <w:rPr>
                <w:b/>
                <w:bCs/>
                <w:sz w:val="16"/>
                <w:szCs w:val="20"/>
              </w:rPr>
              <w:t xml:space="preserve"> </w:t>
            </w:r>
            <w:r w:rsidRPr="007857CA">
              <w:rPr>
                <w:b/>
                <w:bCs/>
                <w:sz w:val="16"/>
                <w:szCs w:val="20"/>
                <w:lang w:eastAsia="en-AU"/>
              </w:rPr>
              <w:t>from predicted</w:t>
            </w:r>
          </w:p>
        </w:tc>
        <w:tc>
          <w:tcPr>
            <w:tcW w:w="1836" w:type="pct"/>
            <w:noWrap/>
            <w:vAlign w:val="center"/>
            <w:hideMark/>
          </w:tcPr>
          <w:p w14:paraId="0836F04F" w14:textId="03F85CCD" w:rsidR="00B74BE9" w:rsidRPr="00B74BE9" w:rsidRDefault="00B74BE9" w:rsidP="00B74BE9">
            <w:pPr>
              <w:pStyle w:val="BodyText"/>
              <w:cnfStyle w:val="000000000000" w:firstRow="0" w:lastRow="0" w:firstColumn="0" w:lastColumn="0" w:oddVBand="0" w:evenVBand="0" w:oddHBand="0" w:evenHBand="0" w:firstRowFirstColumn="0" w:firstRowLastColumn="0" w:lastRowFirstColumn="0" w:lastRowLastColumn="0"/>
              <w:rPr>
                <w:bCs/>
                <w:color w:val="000000"/>
                <w:sz w:val="16"/>
                <w:szCs w:val="16"/>
                <w:lang w:eastAsia="en-AU"/>
              </w:rPr>
            </w:pPr>
            <w:r w:rsidRPr="00EB7DB4">
              <w:rPr>
                <w:b/>
                <w:bCs/>
                <w:color w:val="FF0000"/>
                <w:sz w:val="16"/>
                <w:szCs w:val="16"/>
              </w:rPr>
              <w:t>($729,182)</w:t>
            </w:r>
          </w:p>
        </w:tc>
      </w:tr>
      <w:tr w:rsidR="00B74BE9" w:rsidRPr="001B12A1" w14:paraId="0C99DA1C" w14:textId="77777777" w:rsidTr="00EB7DB4">
        <w:trPr>
          <w:cnfStyle w:val="000000010000" w:firstRow="0" w:lastRow="0" w:firstColumn="0" w:lastColumn="0" w:oddVBand="0" w:evenVBand="0" w:oddHBand="0" w:evenHBand="1"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644" w:type="pct"/>
            <w:vMerge/>
            <w:hideMark/>
          </w:tcPr>
          <w:p w14:paraId="297BA5A4" w14:textId="77777777" w:rsidR="00B74BE9" w:rsidRPr="001B12A1" w:rsidRDefault="00B74BE9" w:rsidP="00B74BE9">
            <w:pPr>
              <w:pStyle w:val="BodyText"/>
              <w:rPr>
                <w:bCs/>
                <w:sz w:val="16"/>
                <w:szCs w:val="20"/>
                <w:lang w:eastAsia="en-AU"/>
              </w:rPr>
            </w:pPr>
          </w:p>
        </w:tc>
        <w:tc>
          <w:tcPr>
            <w:tcW w:w="2519" w:type="pct"/>
            <w:hideMark/>
          </w:tcPr>
          <w:p w14:paraId="078E5E45" w14:textId="3C215E34" w:rsidR="00B74BE9" w:rsidRPr="001B12A1" w:rsidRDefault="00B74BE9" w:rsidP="00B74BE9">
            <w:pPr>
              <w:pStyle w:val="BodyText"/>
              <w:cnfStyle w:val="000000010000" w:firstRow="0" w:lastRow="0" w:firstColumn="0" w:lastColumn="0" w:oddVBand="0" w:evenVBand="0" w:oddHBand="0" w:evenHBand="1" w:firstRowFirstColumn="0" w:firstRowLastColumn="0" w:lastRowFirstColumn="0" w:lastRowLastColumn="0"/>
              <w:rPr>
                <w:bCs/>
                <w:sz w:val="16"/>
                <w:szCs w:val="20"/>
                <w:lang w:eastAsia="en-AU"/>
              </w:rPr>
            </w:pPr>
            <w:r w:rsidRPr="009B0C8F">
              <w:rPr>
                <w:bCs/>
                <w:sz w:val="16"/>
                <w:lang w:eastAsia="en-AU"/>
              </w:rPr>
              <w:t>Percentage change</w:t>
            </w:r>
          </w:p>
        </w:tc>
        <w:tc>
          <w:tcPr>
            <w:tcW w:w="1836" w:type="pct"/>
            <w:noWrap/>
            <w:vAlign w:val="center"/>
            <w:hideMark/>
          </w:tcPr>
          <w:p w14:paraId="7BC340CC" w14:textId="6A0CC404" w:rsidR="00B74BE9" w:rsidRPr="00B74BE9" w:rsidRDefault="00B74BE9" w:rsidP="00B74BE9">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sidRPr="00EB7DB4">
              <w:rPr>
                <w:rFonts w:ascii="Poppins" w:hAnsi="Poppins" w:cs="Poppins"/>
                <w:color w:val="000000"/>
                <w:sz w:val="16"/>
                <w:szCs w:val="16"/>
              </w:rPr>
              <w:t>-0.58%</w:t>
            </w:r>
          </w:p>
        </w:tc>
      </w:tr>
      <w:tr w:rsidR="00B65767" w:rsidRPr="001B12A1" w14:paraId="742B0096" w14:textId="77777777" w:rsidTr="00EB7DB4">
        <w:trPr>
          <w:cnfStyle w:val="010000000000" w:firstRow="0" w:lastRow="1"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644" w:type="pct"/>
            <w:vMerge/>
            <w:hideMark/>
          </w:tcPr>
          <w:p w14:paraId="05510B5D" w14:textId="77777777" w:rsidR="00B65767" w:rsidRPr="001B12A1" w:rsidRDefault="00B65767" w:rsidP="005C7AC1">
            <w:pPr>
              <w:pStyle w:val="BodyText"/>
              <w:rPr>
                <w:bCs/>
                <w:sz w:val="16"/>
                <w:szCs w:val="20"/>
                <w:lang w:eastAsia="en-AU"/>
              </w:rPr>
            </w:pPr>
          </w:p>
        </w:tc>
        <w:tc>
          <w:tcPr>
            <w:tcW w:w="2519" w:type="pct"/>
            <w:shd w:val="clear" w:color="auto" w:fill="FBC6D0" w:themeFill="accent2" w:themeFillTint="33"/>
            <w:hideMark/>
          </w:tcPr>
          <w:p w14:paraId="112DA230" w14:textId="77777777" w:rsidR="00B65767" w:rsidRPr="001B12A1" w:rsidRDefault="00B65767" w:rsidP="005C7AC1">
            <w:pPr>
              <w:pStyle w:val="BodyText"/>
              <w:cnfStyle w:val="010000000000" w:firstRow="0" w:lastRow="1" w:firstColumn="0" w:lastColumn="0" w:oddVBand="0" w:evenVBand="0" w:oddHBand="0" w:evenHBand="0" w:firstRowFirstColumn="0" w:firstRowLastColumn="0" w:lastRowFirstColumn="0" w:lastRowLastColumn="0"/>
              <w:rPr>
                <w:i/>
                <w:sz w:val="16"/>
                <w:szCs w:val="20"/>
                <w:lang w:eastAsia="en-AU"/>
              </w:rPr>
            </w:pPr>
            <w:r w:rsidRPr="001B12A1">
              <w:rPr>
                <w:i/>
                <w:sz w:val="16"/>
                <w:szCs w:val="20"/>
                <w:lang w:eastAsia="en-AU"/>
              </w:rPr>
              <w:t>Number of ostomates impacted (based on current ostomate #)</w:t>
            </w:r>
          </w:p>
        </w:tc>
        <w:tc>
          <w:tcPr>
            <w:tcW w:w="1836" w:type="pct"/>
            <w:shd w:val="clear" w:color="auto" w:fill="FBC6D0" w:themeFill="accent2" w:themeFillTint="33"/>
            <w:noWrap/>
            <w:hideMark/>
          </w:tcPr>
          <w:p w14:paraId="1EB3D625" w14:textId="77777777" w:rsidR="00B65767" w:rsidRPr="001B12A1" w:rsidRDefault="00B65767" w:rsidP="005C7AC1">
            <w:pPr>
              <w:pStyle w:val="BodyText"/>
              <w:cnfStyle w:val="010000000000" w:firstRow="0" w:lastRow="1" w:firstColumn="0" w:lastColumn="0" w:oddVBand="0" w:evenVBand="0" w:oddHBand="0" w:evenHBand="0" w:firstRowFirstColumn="0" w:firstRowLastColumn="0" w:lastRowFirstColumn="0" w:lastRowLastColumn="0"/>
              <w:rPr>
                <w:i/>
                <w:iCs/>
                <w:color w:val="000000"/>
                <w:sz w:val="16"/>
                <w:szCs w:val="20"/>
                <w:lang w:eastAsia="en-AU"/>
              </w:rPr>
            </w:pPr>
            <w:r w:rsidRPr="001B12A1">
              <w:rPr>
                <w:i/>
                <w:iCs/>
                <w:color w:val="000000"/>
                <w:sz w:val="16"/>
                <w:szCs w:val="20"/>
              </w:rPr>
              <w:t>621</w:t>
            </w:r>
          </w:p>
        </w:tc>
      </w:tr>
    </w:tbl>
    <w:p w14:paraId="30C26EB5" w14:textId="6D866325" w:rsidR="00B65767" w:rsidRDefault="00D82280" w:rsidP="00B65767">
      <w:r>
        <w:rPr>
          <w:noProof/>
        </w:rPr>
        <w:drawing>
          <wp:inline distT="0" distB="0" distL="0" distR="0" wp14:anchorId="1F3E0530" wp14:editId="27B41E37">
            <wp:extent cx="4383405" cy="2956560"/>
            <wp:effectExtent l="0" t="0" r="0" b="0"/>
            <wp:docPr id="1352159721" name="Picture 12" descr="Figure 19: Expenditure related to catheters if removed from the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59721" name="Picture 12" descr="Figure 19: Expenditure related to catheters if removed from the Scheme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83405" cy="2956560"/>
                    </a:xfrm>
                    <a:prstGeom prst="rect">
                      <a:avLst/>
                    </a:prstGeom>
                    <a:noFill/>
                  </pic:spPr>
                </pic:pic>
              </a:graphicData>
            </a:graphic>
          </wp:inline>
        </w:drawing>
      </w:r>
    </w:p>
    <w:p w14:paraId="2E1DE51B" w14:textId="07F188EC" w:rsidR="00B65767" w:rsidRDefault="00B65767" w:rsidP="00B65767">
      <w:pPr>
        <w:pStyle w:val="BodyText"/>
      </w:pPr>
      <w:r>
        <w:t xml:space="preserve">A deeper dive on stoma types amongst catheter users was conducted. </w:t>
      </w:r>
      <w:r w:rsidR="005D4EC8">
        <w:fldChar w:fldCharType="begin"/>
      </w:r>
      <w:r w:rsidR="005D4EC8">
        <w:instrText xml:space="preserve"> REF _Ref157610683 \h </w:instrText>
      </w:r>
      <w:r w:rsidR="005D4EC8">
        <w:fldChar w:fldCharType="separate"/>
      </w:r>
      <w:r w:rsidR="00FE1418">
        <w:t xml:space="preserve">Figure </w:t>
      </w:r>
      <w:r w:rsidR="00FE1418">
        <w:rPr>
          <w:noProof/>
        </w:rPr>
        <w:t>20</w:t>
      </w:r>
      <w:r w:rsidR="005D4EC8">
        <w:fldChar w:fldCharType="end"/>
      </w:r>
      <w:r w:rsidR="005D4EC8">
        <w:t xml:space="preserve"> </w:t>
      </w:r>
      <w:r>
        <w:t>illustrates that the majority of ostomates using catheters have a stoma type listed as “Other” (55%), with urostomy the second most common (27%) and Ileostomy the third most common (9%). This may be clinically appropriate given the number of ostomates that have two or more stomas accessing the Scheme.</w:t>
      </w:r>
    </w:p>
    <w:p w14:paraId="4BEAFDFF" w14:textId="11B3FE4A" w:rsidR="00B65767" w:rsidRDefault="00B65767" w:rsidP="00B65767">
      <w:pPr>
        <w:pStyle w:val="Caption"/>
      </w:pPr>
      <w:bookmarkStart w:id="130" w:name="_Ref157610683"/>
      <w:bookmarkStart w:id="131" w:name="_Toc161743144"/>
      <w:r>
        <w:lastRenderedPageBreak/>
        <w:t xml:space="preserve">Figure </w:t>
      </w:r>
      <w:r>
        <w:fldChar w:fldCharType="begin"/>
      </w:r>
      <w:r>
        <w:instrText xml:space="preserve"> SEQ Figure \* ARABIC </w:instrText>
      </w:r>
      <w:r>
        <w:fldChar w:fldCharType="separate"/>
      </w:r>
      <w:r w:rsidR="00FE1418">
        <w:rPr>
          <w:noProof/>
        </w:rPr>
        <w:t>20</w:t>
      </w:r>
      <w:r>
        <w:rPr>
          <w:noProof/>
        </w:rPr>
        <w:fldChar w:fldCharType="end"/>
      </w:r>
      <w:bookmarkEnd w:id="130"/>
      <w:r>
        <w:t xml:space="preserve">: Catheter users by stoma type, </w:t>
      </w:r>
      <w:proofErr w:type="gramStart"/>
      <w:r>
        <w:t>2022-23</w:t>
      </w:r>
      <w:bookmarkEnd w:id="131"/>
      <w:proofErr w:type="gramEnd"/>
    </w:p>
    <w:p w14:paraId="111EFA87" w14:textId="77777777" w:rsidR="00B65767" w:rsidRDefault="00B65767" w:rsidP="00B65767">
      <w:pPr>
        <w:pStyle w:val="BodyText"/>
      </w:pPr>
      <w:r>
        <w:rPr>
          <w:noProof/>
        </w:rPr>
        <w:drawing>
          <wp:inline distT="0" distB="0" distL="0" distR="0" wp14:anchorId="5C7BE22F" wp14:editId="566119FC">
            <wp:extent cx="8846185" cy="4005580"/>
            <wp:effectExtent l="0" t="0" r="0" b="0"/>
            <wp:docPr id="690057533" name="Picture 11" descr="Figure 20: Catheter users by stoma type,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57533" name="Picture 11" descr="Figure 20: Catheter users by stoma type, 2022-2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846185" cy="4005580"/>
                    </a:xfrm>
                    <a:prstGeom prst="rect">
                      <a:avLst/>
                    </a:prstGeom>
                    <a:noFill/>
                  </pic:spPr>
                </pic:pic>
              </a:graphicData>
            </a:graphic>
          </wp:inline>
        </w:drawing>
      </w:r>
    </w:p>
    <w:p w14:paraId="6C7DCD2E" w14:textId="77777777" w:rsidR="00B65767" w:rsidRDefault="00B65767" w:rsidP="00B65767">
      <w:pPr>
        <w:pStyle w:val="Source"/>
      </w:pPr>
      <w:r w:rsidRPr="002557C9">
        <w:rPr>
          <w:color w:val="auto"/>
        </w:rPr>
        <w:t>Source: PBS data, n=396 (of the 621 ostomates accessing catheters, stoma type was known for 396)</w:t>
      </w:r>
    </w:p>
    <w:p w14:paraId="71174468" w14:textId="77777777" w:rsidR="007C3763" w:rsidRDefault="007C3763">
      <w:pPr>
        <w:spacing w:line="276" w:lineRule="auto"/>
        <w:rPr>
          <w:rFonts w:asciiTheme="majorHAnsi" w:eastAsiaTheme="majorEastAsia" w:hAnsiTheme="majorHAnsi" w:cstheme="majorBidi"/>
          <w:b/>
          <w:color w:val="C60C30" w:themeColor="accent2"/>
          <w:spacing w:val="4"/>
          <w:sz w:val="22"/>
          <w:szCs w:val="28"/>
        </w:rPr>
      </w:pPr>
      <w:r>
        <w:br w:type="page"/>
      </w:r>
    </w:p>
    <w:p w14:paraId="31354A22" w14:textId="077CC6AF" w:rsidR="00B65767" w:rsidRDefault="00B65767" w:rsidP="006261FB">
      <w:pPr>
        <w:pStyle w:val="AltHeading3"/>
      </w:pPr>
      <w:r>
        <w:lastRenderedPageBreak/>
        <w:t xml:space="preserve">Scenario </w:t>
      </w:r>
      <w:r w:rsidR="00666F98">
        <w:t>F</w:t>
      </w:r>
      <w:r>
        <w:t xml:space="preserve">our: Removal of </w:t>
      </w:r>
      <w:r w:rsidR="00666F98">
        <w:t>D</w:t>
      </w:r>
      <w:r>
        <w:t>eodorants</w:t>
      </w:r>
    </w:p>
    <w:p w14:paraId="6469CDE5" w14:textId="4A5CC013" w:rsidR="00B65767" w:rsidRDefault="00B65767" w:rsidP="00B65767">
      <w:pPr>
        <w:pStyle w:val="BodyText"/>
      </w:pPr>
      <w:r>
        <w:t xml:space="preserve">Similarly, stakeholder feedback suggested deodorants (product category 09(g)) were a personal choice and not clinically necessary. The reduction of expenditure was tested after removing </w:t>
      </w:r>
      <w:r w:rsidR="00EC3809">
        <w:t xml:space="preserve">the following codes </w:t>
      </w:r>
      <w:r>
        <w:t>as a subsidised product</w:t>
      </w:r>
      <w:r w:rsidR="00EC3809">
        <w:t xml:space="preserve">: </w:t>
      </w:r>
      <w:r w:rsidR="00EC3809" w:rsidRPr="00EC3809">
        <w:t>03514Y, 03516C, 03517D, 03518E, 03798X, 03811N, 03872T, 09823B, 09855Q, 09954X, 09988Q, 80016J, 80029C</w:t>
      </w:r>
      <w:r w:rsidR="00260ADB">
        <w:t>.</w:t>
      </w:r>
    </w:p>
    <w:p w14:paraId="4A0CB856" w14:textId="0A455EBF" w:rsidR="00B65767" w:rsidRPr="00EE4B5B" w:rsidRDefault="00B65767" w:rsidP="00B65767">
      <w:pPr>
        <w:pStyle w:val="BodyText"/>
        <w:rPr>
          <w:noProof/>
        </w:rPr>
      </w:pPr>
      <w:r>
        <w:t>It was found that from the total expenditure of the Scheme in FY2</w:t>
      </w:r>
      <w:r w:rsidR="00A269DF">
        <w:t>5</w:t>
      </w:r>
      <w:r>
        <w:t>-2</w:t>
      </w:r>
      <w:r w:rsidR="00A269DF">
        <w:t>6</w:t>
      </w:r>
      <w:r>
        <w:t xml:space="preserve"> </w:t>
      </w:r>
      <w:r w:rsidR="00A269DF" w:rsidRPr="00A269DF">
        <w:t>($126,792,538</w:t>
      </w:r>
      <w:r>
        <w:t xml:space="preserve">), deodorants accounted for </w:t>
      </w:r>
      <w:r w:rsidR="005F0FB8" w:rsidRPr="005F0FB8">
        <w:rPr>
          <w:b/>
          <w:bCs/>
        </w:rPr>
        <w:t>$536,265</w:t>
      </w:r>
      <w:r>
        <w:t xml:space="preserve">and would result in </w:t>
      </w:r>
      <w:r w:rsidRPr="00957211">
        <w:rPr>
          <w:b/>
          <w:bCs/>
        </w:rPr>
        <w:t>less than 1% in cost savings for the Scheme if removed</w:t>
      </w:r>
      <w:r>
        <w:t xml:space="preserve">. </w:t>
      </w:r>
      <w:r w:rsidR="007B5D7A">
        <w:rPr>
          <w:highlight w:val="yellow"/>
        </w:rPr>
        <w:fldChar w:fldCharType="begin"/>
      </w:r>
      <w:r w:rsidR="007B5D7A">
        <w:rPr>
          <w:highlight w:val="yellow"/>
        </w:rPr>
        <w:instrText xml:space="preserve"> REF _Ref157610639 \h </w:instrText>
      </w:r>
      <w:r w:rsidR="007B5D7A">
        <w:rPr>
          <w:highlight w:val="yellow"/>
        </w:rPr>
      </w:r>
      <w:r w:rsidR="007B5D7A">
        <w:rPr>
          <w:highlight w:val="yellow"/>
        </w:rPr>
        <w:fldChar w:fldCharType="separate"/>
      </w:r>
      <w:r w:rsidR="00FE1418">
        <w:t xml:space="preserve">Figure </w:t>
      </w:r>
      <w:r w:rsidR="00FE1418">
        <w:rPr>
          <w:noProof/>
        </w:rPr>
        <w:t>21</w:t>
      </w:r>
      <w:r w:rsidR="007B5D7A">
        <w:rPr>
          <w:highlight w:val="yellow"/>
        </w:rPr>
        <w:fldChar w:fldCharType="end"/>
      </w:r>
      <w:r w:rsidR="007B5D7A">
        <w:t xml:space="preserve"> </w:t>
      </w:r>
      <w:r>
        <w:t xml:space="preserve">provides three years of expenditure related to this </w:t>
      </w:r>
      <w:r w:rsidRPr="00EE2A87">
        <w:t xml:space="preserve">scenario </w:t>
      </w:r>
      <w:r>
        <w:t xml:space="preserve">and highlights the change would </w:t>
      </w:r>
      <w:r w:rsidRPr="00B4661D">
        <w:t xml:space="preserve">affect </w:t>
      </w:r>
      <w:r w:rsidR="005F0FB8">
        <w:t xml:space="preserve">approximately </w:t>
      </w:r>
      <w:r>
        <w:t>9</w:t>
      </w:r>
      <w:r w:rsidRPr="00B4661D">
        <w:t>,</w:t>
      </w:r>
      <w:r>
        <w:t>051</w:t>
      </w:r>
      <w:r w:rsidRPr="00B4661D">
        <w:t xml:space="preserve"> ostomates</w:t>
      </w:r>
      <w:r>
        <w:t xml:space="preserve"> if removed from the Scheme.</w:t>
      </w:r>
    </w:p>
    <w:p w14:paraId="65089587" w14:textId="6C3B9AD3" w:rsidR="00B65767" w:rsidRDefault="00B65767" w:rsidP="00B65767">
      <w:pPr>
        <w:pStyle w:val="Caption"/>
      </w:pPr>
      <w:bookmarkStart w:id="132" w:name="_Ref157610639"/>
      <w:bookmarkStart w:id="133" w:name="_Ref157610638"/>
      <w:bookmarkStart w:id="134" w:name="_Toc161743145"/>
      <w:r>
        <w:t xml:space="preserve">Figure </w:t>
      </w:r>
      <w:r>
        <w:fldChar w:fldCharType="begin"/>
      </w:r>
      <w:r>
        <w:instrText xml:space="preserve"> SEQ Figure \* ARABIC </w:instrText>
      </w:r>
      <w:r>
        <w:fldChar w:fldCharType="separate"/>
      </w:r>
      <w:r w:rsidR="00FE1418">
        <w:rPr>
          <w:noProof/>
        </w:rPr>
        <w:t>21</w:t>
      </w:r>
      <w:r>
        <w:rPr>
          <w:noProof/>
        </w:rPr>
        <w:fldChar w:fldCharType="end"/>
      </w:r>
      <w:bookmarkEnd w:id="132"/>
      <w:r>
        <w:t xml:space="preserve">: Expenditure </w:t>
      </w:r>
      <w:r w:rsidRPr="00D70542">
        <w:t xml:space="preserve">related to </w:t>
      </w:r>
      <w:r>
        <w:t>deodorants</w:t>
      </w:r>
      <w:r w:rsidRPr="00D70542">
        <w:t xml:space="preserve"> if removed </w:t>
      </w:r>
      <w:r>
        <w:t>from</w:t>
      </w:r>
      <w:r w:rsidRPr="00D70542">
        <w:t xml:space="preserve"> the </w:t>
      </w:r>
      <w:proofErr w:type="gramStart"/>
      <w:r w:rsidRPr="00D70542">
        <w:t>Scheme</w:t>
      </w:r>
      <w:bookmarkEnd w:id="133"/>
      <w:bookmarkEnd w:id="134"/>
      <w:proofErr w:type="gramEnd"/>
    </w:p>
    <w:tbl>
      <w:tblPr>
        <w:tblStyle w:val="TableHealthConsultPurple"/>
        <w:tblpPr w:leftFromText="180" w:rightFromText="180" w:vertAnchor="text" w:horzAnchor="margin" w:tblpXSpec="right" w:tblpY="153"/>
        <w:tblW w:w="2336" w:type="pct"/>
        <w:tblLayout w:type="fixed"/>
        <w:tblLook w:val="04E0" w:firstRow="1" w:lastRow="1" w:firstColumn="1" w:lastColumn="0" w:noHBand="0" w:noVBand="1"/>
      </w:tblPr>
      <w:tblGrid>
        <w:gridCol w:w="1134"/>
        <w:gridCol w:w="3405"/>
        <w:gridCol w:w="2268"/>
      </w:tblGrid>
      <w:tr w:rsidR="00B65767" w:rsidRPr="00D05EEF" w14:paraId="73E96E39" w14:textId="77777777" w:rsidTr="007D6C48">
        <w:trPr>
          <w:cnfStyle w:val="100000000000" w:firstRow="1" w:lastRow="0" w:firstColumn="0" w:lastColumn="0" w:oddVBand="0" w:evenVBand="0" w:oddHBand="0" w:evenHBand="0" w:firstRowFirstColumn="0" w:firstRowLastColumn="0" w:lastRowFirstColumn="0" w:lastRowLastColumn="0"/>
          <w:trHeight w:val="434"/>
        </w:trPr>
        <w:tc>
          <w:tcPr>
            <w:cnfStyle w:val="001000000100" w:firstRow="0" w:lastRow="0" w:firstColumn="1" w:lastColumn="0" w:oddVBand="0" w:evenVBand="0" w:oddHBand="0" w:evenHBand="0" w:firstRowFirstColumn="1" w:firstRowLastColumn="0" w:lastRowFirstColumn="0" w:lastRowLastColumn="0"/>
            <w:tcW w:w="3334" w:type="pct"/>
            <w:gridSpan w:val="2"/>
            <w:noWrap/>
            <w:hideMark/>
          </w:tcPr>
          <w:p w14:paraId="155D5787" w14:textId="77777777" w:rsidR="00B65767" w:rsidRPr="00D05EEF" w:rsidRDefault="00B65767" w:rsidP="005C7AC1">
            <w:pPr>
              <w:pStyle w:val="BodyText"/>
              <w:spacing w:before="0" w:after="0"/>
              <w:jc w:val="center"/>
              <w:rPr>
                <w:sz w:val="16"/>
                <w:szCs w:val="16"/>
                <w:lang w:eastAsia="en-AU"/>
              </w:rPr>
            </w:pPr>
            <w:r w:rsidRPr="00D05EEF">
              <w:rPr>
                <w:sz w:val="16"/>
                <w:szCs w:val="16"/>
                <w:lang w:eastAsia="en-AU"/>
              </w:rPr>
              <w:t>Scenario</w:t>
            </w:r>
            <w:r>
              <w:rPr>
                <w:sz w:val="16"/>
                <w:szCs w:val="16"/>
                <w:lang w:eastAsia="en-AU"/>
              </w:rPr>
              <w:t>:</w:t>
            </w:r>
          </w:p>
        </w:tc>
        <w:tc>
          <w:tcPr>
            <w:tcW w:w="1666" w:type="pct"/>
            <w:noWrap/>
            <w:vAlign w:val="center"/>
            <w:hideMark/>
          </w:tcPr>
          <w:p w14:paraId="38F396B5" w14:textId="77777777" w:rsidR="00B65767" w:rsidRPr="00D05EEF" w:rsidRDefault="00B65767" w:rsidP="005C7AC1">
            <w:pPr>
              <w:pStyle w:val="BodyText"/>
              <w:spacing w:before="0" w:after="0"/>
              <w:jc w:val="center"/>
              <w:cnfStyle w:val="100000000000" w:firstRow="1" w:lastRow="0" w:firstColumn="0" w:lastColumn="0" w:oddVBand="0" w:evenVBand="0" w:oddHBand="0" w:evenHBand="0" w:firstRowFirstColumn="0" w:firstRowLastColumn="0" w:lastRowFirstColumn="0" w:lastRowLastColumn="0"/>
              <w:rPr>
                <w:bCs/>
                <w:sz w:val="16"/>
                <w:szCs w:val="16"/>
                <w:lang w:eastAsia="en-AU"/>
              </w:rPr>
            </w:pPr>
            <w:r w:rsidRPr="00D05EEF">
              <w:rPr>
                <w:bCs/>
                <w:sz w:val="16"/>
                <w:szCs w:val="16"/>
                <w:lang w:eastAsia="en-AU"/>
              </w:rPr>
              <w:t>Deodorants (09g) removed</w:t>
            </w:r>
          </w:p>
        </w:tc>
      </w:tr>
      <w:tr w:rsidR="00BE6865" w:rsidRPr="00D05EEF" w14:paraId="61CA5A8E" w14:textId="77777777" w:rsidTr="007D6C48">
        <w:trPr>
          <w:trHeight w:val="348"/>
        </w:trPr>
        <w:tc>
          <w:tcPr>
            <w:cnfStyle w:val="001000000000" w:firstRow="0" w:lastRow="0" w:firstColumn="1" w:lastColumn="0" w:oddVBand="0" w:evenVBand="0" w:oddHBand="0" w:evenHBand="0" w:firstRowFirstColumn="0" w:firstRowLastColumn="0" w:lastRowFirstColumn="0" w:lastRowLastColumn="0"/>
            <w:tcW w:w="833" w:type="pct"/>
            <w:vMerge w:val="restart"/>
            <w:hideMark/>
          </w:tcPr>
          <w:p w14:paraId="5D36840E" w14:textId="249050F2" w:rsidR="00BE6865" w:rsidRPr="00D05EEF" w:rsidRDefault="00BE6865" w:rsidP="00BE6865">
            <w:pPr>
              <w:pStyle w:val="BodyText"/>
              <w:spacing w:before="0" w:after="0"/>
              <w:rPr>
                <w:b w:val="0"/>
                <w:bCs/>
                <w:sz w:val="16"/>
                <w:szCs w:val="16"/>
                <w:lang w:eastAsia="en-AU"/>
              </w:rPr>
            </w:pPr>
            <w:r w:rsidRPr="00377AB5">
              <w:rPr>
                <w:bCs/>
                <w:sz w:val="16"/>
                <w:szCs w:val="20"/>
                <w:lang w:eastAsia="en-AU"/>
              </w:rPr>
              <w:t>2023-24</w:t>
            </w:r>
          </w:p>
        </w:tc>
        <w:tc>
          <w:tcPr>
            <w:tcW w:w="2501" w:type="pct"/>
            <w:hideMark/>
          </w:tcPr>
          <w:p w14:paraId="0F74F6F7" w14:textId="4F7E28BB" w:rsidR="00BE6865" w:rsidRPr="00B91542" w:rsidRDefault="00BE6865" w:rsidP="00BE6865">
            <w:pPr>
              <w:pStyle w:val="BodyText"/>
              <w:spacing w:before="0" w:after="0"/>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7857CA">
              <w:rPr>
                <w:b/>
                <w:bCs/>
                <w:sz w:val="16"/>
                <w:szCs w:val="20"/>
                <w:lang w:eastAsia="en-AU"/>
              </w:rPr>
              <w:t>Change in expenditure from predicted</w:t>
            </w:r>
          </w:p>
        </w:tc>
        <w:tc>
          <w:tcPr>
            <w:tcW w:w="1666" w:type="pct"/>
            <w:noWrap/>
            <w:vAlign w:val="center"/>
            <w:hideMark/>
          </w:tcPr>
          <w:p w14:paraId="15330819" w14:textId="0299198B" w:rsidR="00BE6865" w:rsidRPr="00EB7DB4" w:rsidRDefault="00BE6865" w:rsidP="00BE6865">
            <w:pPr>
              <w:pStyle w:val="BodyText"/>
              <w:spacing w:before="0" w:after="0"/>
              <w:cnfStyle w:val="000000000000" w:firstRow="0" w:lastRow="0" w:firstColumn="0" w:lastColumn="0" w:oddVBand="0" w:evenVBand="0" w:oddHBand="0" w:evenHBand="0" w:firstRowFirstColumn="0" w:firstRowLastColumn="0" w:lastRowFirstColumn="0" w:lastRowLastColumn="0"/>
              <w:rPr>
                <w:b/>
                <w:bCs/>
                <w:color w:val="FF0000"/>
                <w:sz w:val="16"/>
                <w:szCs w:val="16"/>
              </w:rPr>
            </w:pPr>
            <w:r w:rsidRPr="00EB7DB4">
              <w:rPr>
                <w:b/>
                <w:bCs/>
                <w:color w:val="FF0000"/>
                <w:sz w:val="16"/>
                <w:szCs w:val="16"/>
              </w:rPr>
              <w:t>($495,894)</w:t>
            </w:r>
          </w:p>
        </w:tc>
      </w:tr>
      <w:tr w:rsidR="00BE6865" w:rsidRPr="00D05EEF" w14:paraId="6257C671" w14:textId="77777777" w:rsidTr="007D6C48">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833" w:type="pct"/>
            <w:vMerge/>
            <w:hideMark/>
          </w:tcPr>
          <w:p w14:paraId="2B00F19F" w14:textId="77777777" w:rsidR="00BE6865" w:rsidRPr="00D05EEF" w:rsidRDefault="00BE6865" w:rsidP="00BE6865">
            <w:pPr>
              <w:pStyle w:val="BodyText"/>
              <w:spacing w:before="0" w:after="0"/>
              <w:rPr>
                <w:bCs/>
                <w:sz w:val="16"/>
                <w:szCs w:val="16"/>
                <w:lang w:eastAsia="en-AU"/>
              </w:rPr>
            </w:pPr>
          </w:p>
        </w:tc>
        <w:tc>
          <w:tcPr>
            <w:tcW w:w="2501" w:type="pct"/>
            <w:hideMark/>
          </w:tcPr>
          <w:p w14:paraId="5E423A26" w14:textId="71A11C52" w:rsidR="00BE6865" w:rsidRPr="00D05EEF" w:rsidRDefault="00BE6865" w:rsidP="00BE6865">
            <w:pPr>
              <w:pStyle w:val="BodyText"/>
              <w:spacing w:before="0" w:after="0"/>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377AB5">
              <w:rPr>
                <w:bCs/>
                <w:sz w:val="16"/>
                <w:szCs w:val="20"/>
                <w:lang w:eastAsia="en-AU"/>
              </w:rPr>
              <w:t xml:space="preserve">Percentage change </w:t>
            </w:r>
          </w:p>
        </w:tc>
        <w:tc>
          <w:tcPr>
            <w:tcW w:w="1666" w:type="pct"/>
            <w:noWrap/>
            <w:vAlign w:val="center"/>
            <w:hideMark/>
          </w:tcPr>
          <w:p w14:paraId="2DBDB865" w14:textId="43276A7B" w:rsidR="00BE6865" w:rsidRPr="00BE6865" w:rsidRDefault="00BE6865" w:rsidP="00BE6865">
            <w:pPr>
              <w:pStyle w:val="BodyText"/>
              <w:spacing w:before="0" w:after="0"/>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sidRPr="00EB7DB4">
              <w:rPr>
                <w:rFonts w:ascii="Poppins" w:hAnsi="Poppins" w:cs="Poppins"/>
                <w:color w:val="000000"/>
                <w:sz w:val="16"/>
                <w:szCs w:val="16"/>
              </w:rPr>
              <w:t>-0.43%</w:t>
            </w:r>
          </w:p>
        </w:tc>
      </w:tr>
      <w:tr w:rsidR="00BE6865" w:rsidRPr="00D05EEF" w14:paraId="776D605B" w14:textId="77777777" w:rsidTr="007D6C48">
        <w:trPr>
          <w:trHeight w:val="488"/>
        </w:trPr>
        <w:tc>
          <w:tcPr>
            <w:cnfStyle w:val="001000000000" w:firstRow="0" w:lastRow="0" w:firstColumn="1" w:lastColumn="0" w:oddVBand="0" w:evenVBand="0" w:oddHBand="0" w:evenHBand="0" w:firstRowFirstColumn="0" w:firstRowLastColumn="0" w:lastRowFirstColumn="0" w:lastRowLastColumn="0"/>
            <w:tcW w:w="833" w:type="pct"/>
            <w:vMerge w:val="restart"/>
            <w:hideMark/>
          </w:tcPr>
          <w:p w14:paraId="5C64CF64" w14:textId="6A2BA5E9" w:rsidR="00BE6865" w:rsidRPr="00D05EEF" w:rsidRDefault="00BE6865" w:rsidP="00BE6865">
            <w:pPr>
              <w:pStyle w:val="BodyText"/>
              <w:spacing w:before="0" w:after="0"/>
              <w:rPr>
                <w:b w:val="0"/>
                <w:bCs/>
                <w:sz w:val="16"/>
                <w:szCs w:val="16"/>
                <w:lang w:eastAsia="en-AU"/>
              </w:rPr>
            </w:pPr>
            <w:r w:rsidRPr="00377AB5">
              <w:rPr>
                <w:bCs/>
                <w:sz w:val="16"/>
                <w:szCs w:val="20"/>
                <w:lang w:eastAsia="en-AU"/>
              </w:rPr>
              <w:t>2024-25</w:t>
            </w:r>
          </w:p>
        </w:tc>
        <w:tc>
          <w:tcPr>
            <w:tcW w:w="2501" w:type="pct"/>
            <w:hideMark/>
          </w:tcPr>
          <w:p w14:paraId="22751036" w14:textId="4FDC2F98" w:rsidR="00BE6865" w:rsidRPr="00B91542" w:rsidRDefault="00BE6865" w:rsidP="00BE6865">
            <w:pPr>
              <w:pStyle w:val="BodyText"/>
              <w:spacing w:before="0" w:after="0"/>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7857CA">
              <w:rPr>
                <w:b/>
                <w:bCs/>
                <w:sz w:val="16"/>
                <w:szCs w:val="20"/>
                <w:lang w:eastAsia="en-AU"/>
              </w:rPr>
              <w:t>Change in expenditure</w:t>
            </w:r>
            <w:r w:rsidRPr="007857CA">
              <w:rPr>
                <w:b/>
                <w:bCs/>
                <w:sz w:val="16"/>
                <w:szCs w:val="20"/>
              </w:rPr>
              <w:t xml:space="preserve"> </w:t>
            </w:r>
            <w:r w:rsidRPr="007857CA">
              <w:rPr>
                <w:b/>
                <w:bCs/>
                <w:sz w:val="16"/>
                <w:szCs w:val="20"/>
                <w:lang w:eastAsia="en-AU"/>
              </w:rPr>
              <w:t>from predicted</w:t>
            </w:r>
          </w:p>
        </w:tc>
        <w:tc>
          <w:tcPr>
            <w:tcW w:w="1666" w:type="pct"/>
            <w:noWrap/>
            <w:vAlign w:val="center"/>
            <w:hideMark/>
          </w:tcPr>
          <w:p w14:paraId="7FFBBC22" w14:textId="031A6B97" w:rsidR="00BE6865" w:rsidRPr="00BE6865" w:rsidRDefault="00BE6865" w:rsidP="00BE6865">
            <w:pPr>
              <w:pStyle w:val="BodyText"/>
              <w:spacing w:before="0" w:after="0"/>
              <w:cnfStyle w:val="000000000000" w:firstRow="0" w:lastRow="0" w:firstColumn="0" w:lastColumn="0" w:oddVBand="0" w:evenVBand="0" w:oddHBand="0" w:evenHBand="0" w:firstRowFirstColumn="0" w:firstRowLastColumn="0" w:lastRowFirstColumn="0" w:lastRowLastColumn="0"/>
              <w:rPr>
                <w:bCs/>
                <w:color w:val="000000"/>
                <w:sz w:val="16"/>
                <w:szCs w:val="16"/>
                <w:lang w:eastAsia="en-AU"/>
              </w:rPr>
            </w:pPr>
            <w:r w:rsidRPr="00EB7DB4">
              <w:rPr>
                <w:b/>
                <w:bCs/>
                <w:color w:val="FF0000"/>
                <w:sz w:val="16"/>
                <w:szCs w:val="16"/>
              </w:rPr>
              <w:t>($512,630)</w:t>
            </w:r>
          </w:p>
        </w:tc>
      </w:tr>
      <w:tr w:rsidR="00BE6865" w:rsidRPr="00D05EEF" w14:paraId="4B3C260F" w14:textId="77777777" w:rsidTr="007D6C48">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833" w:type="pct"/>
            <w:vMerge/>
            <w:hideMark/>
          </w:tcPr>
          <w:p w14:paraId="3A167493" w14:textId="77777777" w:rsidR="00BE6865" w:rsidRPr="00D05EEF" w:rsidRDefault="00BE6865" w:rsidP="00BE6865">
            <w:pPr>
              <w:pStyle w:val="BodyText"/>
              <w:spacing w:before="0" w:after="0"/>
              <w:rPr>
                <w:bCs/>
                <w:sz w:val="16"/>
                <w:szCs w:val="16"/>
                <w:lang w:eastAsia="en-AU"/>
              </w:rPr>
            </w:pPr>
          </w:p>
        </w:tc>
        <w:tc>
          <w:tcPr>
            <w:tcW w:w="2501" w:type="pct"/>
            <w:hideMark/>
          </w:tcPr>
          <w:p w14:paraId="0A830C70" w14:textId="74BD234A" w:rsidR="00BE6865" w:rsidRPr="00D05EEF" w:rsidRDefault="00BE6865" w:rsidP="00BE6865">
            <w:pPr>
              <w:pStyle w:val="BodyText"/>
              <w:spacing w:before="0" w:after="0"/>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377AB5">
              <w:rPr>
                <w:bCs/>
                <w:sz w:val="16"/>
                <w:szCs w:val="20"/>
                <w:lang w:eastAsia="en-AU"/>
              </w:rPr>
              <w:t xml:space="preserve">Percentage change </w:t>
            </w:r>
          </w:p>
        </w:tc>
        <w:tc>
          <w:tcPr>
            <w:tcW w:w="1666" w:type="pct"/>
            <w:noWrap/>
            <w:vAlign w:val="center"/>
            <w:hideMark/>
          </w:tcPr>
          <w:p w14:paraId="6080E0C7" w14:textId="426C9EE0" w:rsidR="00BE6865" w:rsidRPr="00BE6865" w:rsidRDefault="00BE6865" w:rsidP="00BE6865">
            <w:pPr>
              <w:pStyle w:val="BodyText"/>
              <w:spacing w:before="0" w:after="0"/>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sidRPr="00EB7DB4">
              <w:rPr>
                <w:rFonts w:ascii="Poppins" w:hAnsi="Poppins" w:cs="Poppins"/>
                <w:color w:val="000000"/>
                <w:sz w:val="16"/>
                <w:szCs w:val="16"/>
              </w:rPr>
              <w:t>-0.42%</w:t>
            </w:r>
          </w:p>
        </w:tc>
      </w:tr>
      <w:tr w:rsidR="00BE6865" w:rsidRPr="00D05EEF" w14:paraId="6FDEFA47" w14:textId="77777777" w:rsidTr="007D6C48">
        <w:trPr>
          <w:trHeight w:val="348"/>
        </w:trPr>
        <w:tc>
          <w:tcPr>
            <w:cnfStyle w:val="001000000000" w:firstRow="0" w:lastRow="0" w:firstColumn="1" w:lastColumn="0" w:oddVBand="0" w:evenVBand="0" w:oddHBand="0" w:evenHBand="0" w:firstRowFirstColumn="0" w:firstRowLastColumn="0" w:lastRowFirstColumn="0" w:lastRowLastColumn="0"/>
            <w:tcW w:w="833" w:type="pct"/>
            <w:vMerge w:val="restart"/>
            <w:hideMark/>
          </w:tcPr>
          <w:p w14:paraId="5D8CD946" w14:textId="4A42BF08" w:rsidR="00BE6865" w:rsidRPr="00C316C3" w:rsidRDefault="00BE6865" w:rsidP="00BE6865">
            <w:pPr>
              <w:pStyle w:val="BodyText"/>
              <w:spacing w:before="0" w:after="0"/>
              <w:rPr>
                <w:bCs/>
                <w:sz w:val="16"/>
                <w:szCs w:val="16"/>
                <w:lang w:eastAsia="en-AU"/>
              </w:rPr>
            </w:pPr>
            <w:r w:rsidRPr="00377AB5">
              <w:rPr>
                <w:bCs/>
                <w:sz w:val="16"/>
                <w:szCs w:val="20"/>
                <w:lang w:eastAsia="en-AU"/>
              </w:rPr>
              <w:t>2025-26</w:t>
            </w:r>
          </w:p>
        </w:tc>
        <w:tc>
          <w:tcPr>
            <w:tcW w:w="2501" w:type="pct"/>
            <w:hideMark/>
          </w:tcPr>
          <w:p w14:paraId="7F784BBC" w14:textId="0A41B908" w:rsidR="00BE6865" w:rsidRPr="00B91542" w:rsidRDefault="00BE6865" w:rsidP="00BE6865">
            <w:pPr>
              <w:pStyle w:val="BodyText"/>
              <w:spacing w:before="0" w:after="0"/>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7857CA">
              <w:rPr>
                <w:b/>
                <w:bCs/>
                <w:sz w:val="16"/>
                <w:szCs w:val="20"/>
                <w:lang w:eastAsia="en-AU"/>
              </w:rPr>
              <w:t>Change in expenditure</w:t>
            </w:r>
            <w:r w:rsidRPr="007857CA">
              <w:rPr>
                <w:b/>
                <w:bCs/>
                <w:sz w:val="16"/>
                <w:szCs w:val="20"/>
              </w:rPr>
              <w:t xml:space="preserve"> </w:t>
            </w:r>
            <w:r w:rsidRPr="007857CA">
              <w:rPr>
                <w:b/>
                <w:bCs/>
                <w:sz w:val="16"/>
                <w:szCs w:val="20"/>
                <w:lang w:eastAsia="en-AU"/>
              </w:rPr>
              <w:t>from predicted</w:t>
            </w:r>
          </w:p>
        </w:tc>
        <w:tc>
          <w:tcPr>
            <w:tcW w:w="1666" w:type="pct"/>
            <w:noWrap/>
            <w:vAlign w:val="center"/>
            <w:hideMark/>
          </w:tcPr>
          <w:p w14:paraId="44FE6E6C" w14:textId="17CAC7C7" w:rsidR="00BE6865" w:rsidRPr="00BE6865" w:rsidRDefault="00BE6865" w:rsidP="00BE6865">
            <w:pPr>
              <w:pStyle w:val="BodyText"/>
              <w:spacing w:before="0" w:after="0"/>
              <w:cnfStyle w:val="000000000000" w:firstRow="0" w:lastRow="0" w:firstColumn="0" w:lastColumn="0" w:oddVBand="0" w:evenVBand="0" w:oddHBand="0" w:evenHBand="0" w:firstRowFirstColumn="0" w:firstRowLastColumn="0" w:lastRowFirstColumn="0" w:lastRowLastColumn="0"/>
              <w:rPr>
                <w:bCs/>
                <w:color w:val="000000"/>
                <w:sz w:val="16"/>
                <w:szCs w:val="16"/>
                <w:lang w:eastAsia="en-AU"/>
              </w:rPr>
            </w:pPr>
            <w:r w:rsidRPr="00EB7DB4">
              <w:rPr>
                <w:b/>
                <w:bCs/>
                <w:color w:val="FF0000"/>
                <w:sz w:val="16"/>
                <w:szCs w:val="16"/>
              </w:rPr>
              <w:t>($536,265)</w:t>
            </w:r>
          </w:p>
        </w:tc>
      </w:tr>
      <w:tr w:rsidR="00BE6865" w:rsidRPr="00D05EEF" w14:paraId="163A2E87" w14:textId="77777777" w:rsidTr="007D6C48">
        <w:trPr>
          <w:cnfStyle w:val="000000010000" w:firstRow="0" w:lastRow="0" w:firstColumn="0" w:lastColumn="0" w:oddVBand="0" w:evenVBand="0" w:oddHBand="0" w:evenHBand="1"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833" w:type="pct"/>
            <w:vMerge/>
            <w:hideMark/>
          </w:tcPr>
          <w:p w14:paraId="583455DA" w14:textId="77777777" w:rsidR="00BE6865" w:rsidRPr="00D05EEF" w:rsidRDefault="00BE6865" w:rsidP="00BE6865">
            <w:pPr>
              <w:pStyle w:val="BodyText"/>
              <w:spacing w:before="0" w:after="0"/>
              <w:rPr>
                <w:bCs/>
                <w:sz w:val="16"/>
                <w:szCs w:val="16"/>
                <w:lang w:eastAsia="en-AU"/>
              </w:rPr>
            </w:pPr>
          </w:p>
        </w:tc>
        <w:tc>
          <w:tcPr>
            <w:tcW w:w="2501" w:type="pct"/>
            <w:hideMark/>
          </w:tcPr>
          <w:p w14:paraId="6ACE60F0" w14:textId="33367BD2" w:rsidR="00BE6865" w:rsidRPr="00D05EEF" w:rsidRDefault="00BE6865" w:rsidP="00BE6865">
            <w:pPr>
              <w:pStyle w:val="BodyText"/>
              <w:spacing w:before="0" w:after="0"/>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9B0C8F">
              <w:rPr>
                <w:bCs/>
                <w:sz w:val="16"/>
                <w:lang w:eastAsia="en-AU"/>
              </w:rPr>
              <w:t>Percentage change</w:t>
            </w:r>
          </w:p>
        </w:tc>
        <w:tc>
          <w:tcPr>
            <w:tcW w:w="1666" w:type="pct"/>
            <w:noWrap/>
            <w:vAlign w:val="center"/>
            <w:hideMark/>
          </w:tcPr>
          <w:p w14:paraId="0A69C1BD" w14:textId="154AE3DF" w:rsidR="00BE6865" w:rsidRPr="00BE6865" w:rsidRDefault="00BE6865" w:rsidP="00BE6865">
            <w:pPr>
              <w:pStyle w:val="BodyText"/>
              <w:spacing w:before="0" w:after="0"/>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sidRPr="00EB7DB4">
              <w:rPr>
                <w:rFonts w:ascii="Poppins" w:hAnsi="Poppins" w:cs="Poppins"/>
                <w:color w:val="000000"/>
                <w:sz w:val="16"/>
                <w:szCs w:val="16"/>
              </w:rPr>
              <w:t>-0.42%</w:t>
            </w:r>
          </w:p>
        </w:tc>
      </w:tr>
      <w:tr w:rsidR="00B65767" w:rsidRPr="00D05EEF" w14:paraId="574DF35C" w14:textId="77777777" w:rsidTr="007D6C48">
        <w:trPr>
          <w:cnfStyle w:val="010000000000" w:firstRow="0" w:lastRow="1"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833" w:type="pct"/>
            <w:vMerge/>
            <w:hideMark/>
          </w:tcPr>
          <w:p w14:paraId="5117B3BA" w14:textId="77777777" w:rsidR="00B65767" w:rsidRPr="00D05EEF" w:rsidRDefault="00B65767" w:rsidP="005C7AC1">
            <w:pPr>
              <w:pStyle w:val="BodyText"/>
              <w:spacing w:before="0" w:after="0"/>
              <w:rPr>
                <w:bCs/>
                <w:sz w:val="16"/>
                <w:szCs w:val="16"/>
                <w:lang w:eastAsia="en-AU"/>
              </w:rPr>
            </w:pPr>
          </w:p>
        </w:tc>
        <w:tc>
          <w:tcPr>
            <w:tcW w:w="2501" w:type="pct"/>
            <w:shd w:val="clear" w:color="auto" w:fill="FBC6D0" w:themeFill="accent2" w:themeFillTint="33"/>
            <w:hideMark/>
          </w:tcPr>
          <w:p w14:paraId="1556D9BD" w14:textId="77777777" w:rsidR="00B65767" w:rsidRPr="00D05EEF" w:rsidRDefault="00B65767" w:rsidP="005C7AC1">
            <w:pPr>
              <w:pStyle w:val="BodyText"/>
              <w:spacing w:before="0" w:after="0"/>
              <w:cnfStyle w:val="010000000000" w:firstRow="0" w:lastRow="1" w:firstColumn="0" w:lastColumn="0" w:oddVBand="0" w:evenVBand="0" w:oddHBand="0" w:evenHBand="0" w:firstRowFirstColumn="0" w:firstRowLastColumn="0" w:lastRowFirstColumn="0" w:lastRowLastColumn="0"/>
              <w:rPr>
                <w:i/>
                <w:sz w:val="16"/>
                <w:szCs w:val="16"/>
                <w:lang w:eastAsia="en-AU"/>
              </w:rPr>
            </w:pPr>
            <w:r w:rsidRPr="00D05EEF">
              <w:rPr>
                <w:i/>
                <w:sz w:val="16"/>
                <w:szCs w:val="16"/>
                <w:lang w:eastAsia="en-AU"/>
              </w:rPr>
              <w:t>Number of ostomates impacted (based on current ostomate #)</w:t>
            </w:r>
          </w:p>
        </w:tc>
        <w:tc>
          <w:tcPr>
            <w:tcW w:w="1666" w:type="pct"/>
            <w:shd w:val="clear" w:color="auto" w:fill="FBC6D0" w:themeFill="accent2" w:themeFillTint="33"/>
            <w:noWrap/>
            <w:hideMark/>
          </w:tcPr>
          <w:p w14:paraId="3FEBE21B" w14:textId="77777777" w:rsidR="00B65767" w:rsidRPr="00D05EEF" w:rsidRDefault="00B65767" w:rsidP="005C7AC1">
            <w:pPr>
              <w:pStyle w:val="BodyText"/>
              <w:spacing w:before="0" w:after="0"/>
              <w:cnfStyle w:val="010000000000" w:firstRow="0" w:lastRow="1" w:firstColumn="0" w:lastColumn="0" w:oddVBand="0" w:evenVBand="0" w:oddHBand="0" w:evenHBand="0" w:firstRowFirstColumn="0" w:firstRowLastColumn="0" w:lastRowFirstColumn="0" w:lastRowLastColumn="0"/>
              <w:rPr>
                <w:i/>
                <w:iCs/>
                <w:color w:val="000000"/>
                <w:sz w:val="16"/>
                <w:szCs w:val="16"/>
                <w:lang w:eastAsia="en-AU"/>
              </w:rPr>
            </w:pPr>
            <w:r w:rsidRPr="00D05EEF">
              <w:rPr>
                <w:i/>
                <w:iCs/>
                <w:color w:val="000000"/>
                <w:sz w:val="16"/>
                <w:szCs w:val="16"/>
              </w:rPr>
              <w:t>9,051</w:t>
            </w:r>
          </w:p>
        </w:tc>
      </w:tr>
    </w:tbl>
    <w:p w14:paraId="647DEA2F" w14:textId="22FA50F8" w:rsidR="007C3763" w:rsidRDefault="00A269DF" w:rsidP="00B65767">
      <w:r>
        <w:rPr>
          <w:noProof/>
        </w:rPr>
        <w:drawing>
          <wp:inline distT="0" distB="0" distL="0" distR="0" wp14:anchorId="72141FA7" wp14:editId="63ED70AF">
            <wp:extent cx="4462780" cy="2920365"/>
            <wp:effectExtent l="0" t="0" r="0" b="0"/>
            <wp:docPr id="864733550" name="Picture 11" descr="Figure 21: Expenditure related to deodorants if removed from the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733550" name="Picture 11" descr="Figure 21: Expenditure related to deodorants if removed from the Scheme "/>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62780" cy="2920365"/>
                    </a:xfrm>
                    <a:prstGeom prst="rect">
                      <a:avLst/>
                    </a:prstGeom>
                    <a:noFill/>
                  </pic:spPr>
                </pic:pic>
              </a:graphicData>
            </a:graphic>
          </wp:inline>
        </w:drawing>
      </w:r>
    </w:p>
    <w:p w14:paraId="5407D8A1" w14:textId="77777777" w:rsidR="007C3763" w:rsidRDefault="007C3763">
      <w:pPr>
        <w:spacing w:line="276" w:lineRule="auto"/>
      </w:pPr>
      <w:r>
        <w:br w:type="page"/>
      </w:r>
    </w:p>
    <w:p w14:paraId="5B5B8896" w14:textId="24A32ED9" w:rsidR="00B65767" w:rsidRDefault="00B65767" w:rsidP="006261FB">
      <w:pPr>
        <w:pStyle w:val="AltHeading3"/>
      </w:pPr>
      <w:r>
        <w:lastRenderedPageBreak/>
        <w:t xml:space="preserve">Scenario Five: Removal of </w:t>
      </w:r>
      <w:r w:rsidR="004F47FC">
        <w:t>c</w:t>
      </w:r>
      <w:r>
        <w:t>leanser wipes</w:t>
      </w:r>
    </w:p>
    <w:p w14:paraId="6193D6B4" w14:textId="0FA8145A" w:rsidR="00B65767" w:rsidRDefault="00B65767" w:rsidP="00B65767">
      <w:pPr>
        <w:pStyle w:val="BodyText"/>
      </w:pPr>
      <w:r>
        <w:t xml:space="preserve">Stakeholders also suggested that cleanser wipes were not clinically necessary. Thus, the removal of cleanser wipe product subsidies from the Scheme (product codes </w:t>
      </w:r>
      <w:r w:rsidRPr="00A872AD">
        <w:t>03568T, 09981H, 03520G, 80125D</w:t>
      </w:r>
      <w:r>
        <w:t>) and subsequent expenditure changes were tested.</w:t>
      </w:r>
    </w:p>
    <w:p w14:paraId="7FA0AD06" w14:textId="01A934DA" w:rsidR="00B65767" w:rsidRDefault="00B65767" w:rsidP="00B65767">
      <w:pPr>
        <w:pStyle w:val="BodyText"/>
      </w:pPr>
      <w:r w:rsidRPr="008203B9">
        <w:t>It was found that from the total expenditure of the Scheme in FY2</w:t>
      </w:r>
      <w:r w:rsidR="003D5C4B">
        <w:t>5</w:t>
      </w:r>
      <w:r w:rsidRPr="008203B9">
        <w:t>-2</w:t>
      </w:r>
      <w:r w:rsidR="003D5C4B">
        <w:t>6</w:t>
      </w:r>
      <w:r w:rsidRPr="008203B9">
        <w:t xml:space="preserve"> </w:t>
      </w:r>
      <w:r w:rsidR="003D5C4B" w:rsidRPr="003D5C4B">
        <w:t>($126,792,538</w:t>
      </w:r>
      <w:r w:rsidRPr="008203B9">
        <w:t>)</w:t>
      </w:r>
      <w:r>
        <w:t xml:space="preserve">, cleanser wipes accounted for </w:t>
      </w:r>
      <w:r w:rsidR="00871D19" w:rsidRPr="00871D19">
        <w:rPr>
          <w:b/>
          <w:bCs/>
        </w:rPr>
        <w:t>$4,790,354</w:t>
      </w:r>
      <w:r>
        <w:t>and would result in</w:t>
      </w:r>
      <w:r w:rsidRPr="00957211">
        <w:rPr>
          <w:b/>
          <w:bCs/>
        </w:rPr>
        <w:t xml:space="preserve"> </w:t>
      </w:r>
      <w:r>
        <w:rPr>
          <w:b/>
          <w:bCs/>
        </w:rPr>
        <w:t>3.</w:t>
      </w:r>
      <w:r w:rsidR="00871D19">
        <w:rPr>
          <w:b/>
          <w:bCs/>
        </w:rPr>
        <w:t>8</w:t>
      </w:r>
      <w:r w:rsidRPr="00957211">
        <w:rPr>
          <w:b/>
          <w:bCs/>
        </w:rPr>
        <w:t>% in cost savings for the Scheme if removed</w:t>
      </w:r>
      <w:r>
        <w:t xml:space="preserve">. </w:t>
      </w:r>
      <w:r w:rsidR="007E6AAA">
        <w:fldChar w:fldCharType="begin"/>
      </w:r>
      <w:r w:rsidR="007E6AAA">
        <w:instrText xml:space="preserve"> REF _Ref157610775 \h </w:instrText>
      </w:r>
      <w:r w:rsidR="007E6AAA">
        <w:fldChar w:fldCharType="separate"/>
      </w:r>
      <w:r w:rsidR="00FE1418">
        <w:t xml:space="preserve">Figure </w:t>
      </w:r>
      <w:r w:rsidR="00FE1418">
        <w:rPr>
          <w:noProof/>
        </w:rPr>
        <w:t>22</w:t>
      </w:r>
      <w:r w:rsidR="007E6AAA">
        <w:fldChar w:fldCharType="end"/>
      </w:r>
      <w:r w:rsidR="007E6AAA">
        <w:t xml:space="preserve"> </w:t>
      </w:r>
      <w:r>
        <w:t xml:space="preserve">provides three years of expenditure related to this </w:t>
      </w:r>
      <w:r w:rsidRPr="00EE2A87">
        <w:t xml:space="preserve">scenario </w:t>
      </w:r>
      <w:r>
        <w:t xml:space="preserve">and highlights the change would </w:t>
      </w:r>
      <w:r w:rsidRPr="00B4661D">
        <w:t xml:space="preserve">affect </w:t>
      </w:r>
      <w:r w:rsidRPr="007A7B76">
        <w:t>19,229</w:t>
      </w:r>
      <w:r>
        <w:t xml:space="preserve"> </w:t>
      </w:r>
      <w:r w:rsidRPr="00B4661D">
        <w:t>ostomates</w:t>
      </w:r>
      <w:r>
        <w:t xml:space="preserve"> (39% of ostomates accessing the Scheme</w:t>
      </w:r>
      <w:r w:rsidR="00871D19">
        <w:t xml:space="preserve"> in 2022-23</w:t>
      </w:r>
      <w:r>
        <w:t>) if removed.</w:t>
      </w:r>
    </w:p>
    <w:p w14:paraId="521AC620" w14:textId="36D55985" w:rsidR="00B65767" w:rsidRDefault="00B65767" w:rsidP="00B65767">
      <w:pPr>
        <w:pStyle w:val="Caption"/>
      </w:pPr>
      <w:bookmarkStart w:id="135" w:name="_Ref157610775"/>
      <w:bookmarkStart w:id="136" w:name="_Toc161743146"/>
      <w:r>
        <w:t xml:space="preserve">Figure </w:t>
      </w:r>
      <w:r>
        <w:fldChar w:fldCharType="begin"/>
      </w:r>
      <w:r>
        <w:instrText xml:space="preserve"> SEQ Figure \* ARABIC </w:instrText>
      </w:r>
      <w:r>
        <w:fldChar w:fldCharType="separate"/>
      </w:r>
      <w:r w:rsidR="00FE1418">
        <w:rPr>
          <w:noProof/>
        </w:rPr>
        <w:t>22</w:t>
      </w:r>
      <w:r>
        <w:rPr>
          <w:noProof/>
        </w:rPr>
        <w:fldChar w:fldCharType="end"/>
      </w:r>
      <w:bookmarkEnd w:id="135"/>
      <w:r>
        <w:t xml:space="preserve">: Expenditure </w:t>
      </w:r>
      <w:r w:rsidRPr="001B6C89">
        <w:t xml:space="preserve">related to </w:t>
      </w:r>
      <w:r>
        <w:t>cleanser wipes</w:t>
      </w:r>
      <w:r w:rsidRPr="001B6C89">
        <w:t xml:space="preserve"> if removed from the </w:t>
      </w:r>
      <w:proofErr w:type="gramStart"/>
      <w:r w:rsidRPr="001B6C89">
        <w:t>Scheme</w:t>
      </w:r>
      <w:bookmarkEnd w:id="136"/>
      <w:proofErr w:type="gramEnd"/>
    </w:p>
    <w:tbl>
      <w:tblPr>
        <w:tblStyle w:val="TableHealthConsultPurple"/>
        <w:tblpPr w:leftFromText="180" w:rightFromText="180" w:vertAnchor="text" w:horzAnchor="margin" w:tblpXSpec="right" w:tblpY="273"/>
        <w:tblW w:w="2481" w:type="pct"/>
        <w:tblLayout w:type="fixed"/>
        <w:tblLook w:val="04E0" w:firstRow="1" w:lastRow="1" w:firstColumn="1" w:lastColumn="0" w:noHBand="0" w:noVBand="1"/>
      </w:tblPr>
      <w:tblGrid>
        <w:gridCol w:w="1134"/>
        <w:gridCol w:w="3255"/>
        <w:gridCol w:w="2841"/>
      </w:tblGrid>
      <w:tr w:rsidR="00B65767" w:rsidRPr="0077677B" w14:paraId="431824A7" w14:textId="77777777" w:rsidTr="00D450F8">
        <w:trPr>
          <w:cnfStyle w:val="100000000000" w:firstRow="1" w:lastRow="0" w:firstColumn="0" w:lastColumn="0" w:oddVBand="0" w:evenVBand="0" w:oddHBand="0" w:evenHBand="0" w:firstRowFirstColumn="0" w:firstRowLastColumn="0" w:lastRowFirstColumn="0" w:lastRowLastColumn="0"/>
          <w:trHeight w:val="418"/>
        </w:trPr>
        <w:tc>
          <w:tcPr>
            <w:cnfStyle w:val="001000000100" w:firstRow="0" w:lastRow="0" w:firstColumn="1" w:lastColumn="0" w:oddVBand="0" w:evenVBand="0" w:oddHBand="0" w:evenHBand="0" w:firstRowFirstColumn="1" w:firstRowLastColumn="0" w:lastRowFirstColumn="0" w:lastRowLastColumn="0"/>
            <w:tcW w:w="3035" w:type="pct"/>
            <w:gridSpan w:val="2"/>
            <w:noWrap/>
            <w:hideMark/>
          </w:tcPr>
          <w:p w14:paraId="682F98B5" w14:textId="77777777" w:rsidR="00B65767" w:rsidRPr="0077677B" w:rsidRDefault="00B65767" w:rsidP="005C7AC1">
            <w:pPr>
              <w:spacing w:before="0"/>
              <w:jc w:val="center"/>
              <w:rPr>
                <w:rFonts w:eastAsia="Times New Roman" w:cstheme="minorHAnsi"/>
                <w:sz w:val="16"/>
                <w:szCs w:val="16"/>
                <w:lang w:eastAsia="en-AU"/>
              </w:rPr>
            </w:pPr>
            <w:r w:rsidRPr="0077677B">
              <w:rPr>
                <w:rFonts w:eastAsia="Times New Roman" w:cstheme="minorHAnsi"/>
                <w:sz w:val="16"/>
                <w:szCs w:val="16"/>
                <w:lang w:eastAsia="en-AU"/>
              </w:rPr>
              <w:t>Scenario</w:t>
            </w:r>
            <w:r>
              <w:rPr>
                <w:rFonts w:eastAsia="Times New Roman" w:cstheme="minorHAnsi"/>
                <w:sz w:val="16"/>
                <w:szCs w:val="16"/>
                <w:lang w:eastAsia="en-AU"/>
              </w:rPr>
              <w:t>:</w:t>
            </w:r>
          </w:p>
        </w:tc>
        <w:tc>
          <w:tcPr>
            <w:tcW w:w="1965" w:type="pct"/>
            <w:noWrap/>
            <w:hideMark/>
          </w:tcPr>
          <w:p w14:paraId="050244DA" w14:textId="77777777" w:rsidR="00B65767" w:rsidRPr="0077677B" w:rsidRDefault="00B65767" w:rsidP="005C7AC1">
            <w:pPr>
              <w:spacing w:before="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sz w:val="16"/>
                <w:szCs w:val="16"/>
                <w:lang w:eastAsia="en-AU"/>
              </w:rPr>
            </w:pPr>
            <w:r w:rsidRPr="0077677B">
              <w:rPr>
                <w:rFonts w:eastAsia="Times New Roman" w:cstheme="minorHAnsi"/>
                <w:bCs/>
                <w:sz w:val="16"/>
                <w:szCs w:val="16"/>
                <w:lang w:eastAsia="en-AU"/>
              </w:rPr>
              <w:t>Cleanser wipes removed (03568T, 09981H, 03520G, 80125D)</w:t>
            </w:r>
          </w:p>
        </w:tc>
      </w:tr>
      <w:tr w:rsidR="00F02C5D" w:rsidRPr="0077677B" w14:paraId="18C8A9AE" w14:textId="77777777" w:rsidTr="00D450F8">
        <w:trPr>
          <w:trHeight w:val="335"/>
        </w:trPr>
        <w:tc>
          <w:tcPr>
            <w:cnfStyle w:val="001000000000" w:firstRow="0" w:lastRow="0" w:firstColumn="1" w:lastColumn="0" w:oddVBand="0" w:evenVBand="0" w:oddHBand="0" w:evenHBand="0" w:firstRowFirstColumn="0" w:firstRowLastColumn="0" w:lastRowFirstColumn="0" w:lastRowLastColumn="0"/>
            <w:tcW w:w="784" w:type="pct"/>
            <w:vMerge w:val="restart"/>
            <w:hideMark/>
          </w:tcPr>
          <w:p w14:paraId="1043031F" w14:textId="2F21F219" w:rsidR="00F02C5D" w:rsidRPr="0077677B" w:rsidRDefault="00F02C5D" w:rsidP="00D450F8">
            <w:pPr>
              <w:spacing w:before="0" w:after="0"/>
              <w:rPr>
                <w:rFonts w:eastAsia="Times New Roman" w:cstheme="minorHAnsi"/>
                <w:b w:val="0"/>
                <w:bCs/>
                <w:sz w:val="16"/>
                <w:szCs w:val="16"/>
                <w:lang w:eastAsia="en-AU"/>
              </w:rPr>
            </w:pPr>
            <w:r w:rsidRPr="00377AB5">
              <w:rPr>
                <w:bCs/>
                <w:sz w:val="16"/>
                <w:lang w:eastAsia="en-AU"/>
              </w:rPr>
              <w:t>2023-24</w:t>
            </w:r>
          </w:p>
        </w:tc>
        <w:tc>
          <w:tcPr>
            <w:tcW w:w="2251" w:type="pct"/>
            <w:hideMark/>
          </w:tcPr>
          <w:p w14:paraId="75DB77AD" w14:textId="049CFA7B" w:rsidR="00F02C5D" w:rsidRPr="0077677B" w:rsidRDefault="00F02C5D" w:rsidP="00F02C5D">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b/>
                <w:sz w:val="16"/>
                <w:szCs w:val="16"/>
                <w:lang w:eastAsia="en-AU"/>
              </w:rPr>
            </w:pPr>
            <w:r w:rsidRPr="007857CA">
              <w:rPr>
                <w:b/>
                <w:bCs/>
                <w:sz w:val="16"/>
                <w:lang w:eastAsia="en-AU"/>
              </w:rPr>
              <w:t>Change in expenditure from predicted</w:t>
            </w:r>
          </w:p>
        </w:tc>
        <w:tc>
          <w:tcPr>
            <w:tcW w:w="1965" w:type="pct"/>
            <w:noWrap/>
            <w:vAlign w:val="center"/>
            <w:hideMark/>
          </w:tcPr>
          <w:p w14:paraId="7F8B299F" w14:textId="26E5861C" w:rsidR="00F02C5D" w:rsidRPr="00F02C5D" w:rsidRDefault="00F02C5D" w:rsidP="00F02C5D">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n-AU"/>
              </w:rPr>
            </w:pPr>
            <w:r w:rsidRPr="00D450F8">
              <w:rPr>
                <w:b/>
                <w:bCs/>
                <w:color w:val="FF0000"/>
                <w:sz w:val="16"/>
                <w:szCs w:val="16"/>
              </w:rPr>
              <w:t>($4,116,770)</w:t>
            </w:r>
          </w:p>
        </w:tc>
      </w:tr>
      <w:tr w:rsidR="00F02C5D" w:rsidRPr="0077677B" w14:paraId="1C1F625B" w14:textId="77777777" w:rsidTr="00D450F8">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784" w:type="pct"/>
            <w:vMerge/>
            <w:hideMark/>
          </w:tcPr>
          <w:p w14:paraId="652247DC" w14:textId="77777777" w:rsidR="00F02C5D" w:rsidRPr="0077677B" w:rsidRDefault="00F02C5D" w:rsidP="00EB7DB4">
            <w:pPr>
              <w:spacing w:before="0" w:after="0"/>
              <w:rPr>
                <w:rFonts w:eastAsia="Times New Roman" w:cstheme="minorHAnsi"/>
                <w:bCs/>
                <w:sz w:val="16"/>
                <w:szCs w:val="16"/>
                <w:lang w:eastAsia="en-AU"/>
              </w:rPr>
            </w:pPr>
          </w:p>
        </w:tc>
        <w:tc>
          <w:tcPr>
            <w:tcW w:w="2251" w:type="pct"/>
            <w:hideMark/>
          </w:tcPr>
          <w:p w14:paraId="6F2B9FFB" w14:textId="1541FA9B" w:rsidR="00F02C5D" w:rsidRPr="0077677B" w:rsidRDefault="00F02C5D" w:rsidP="00F02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bCs/>
                <w:sz w:val="16"/>
                <w:szCs w:val="16"/>
                <w:lang w:eastAsia="en-AU"/>
              </w:rPr>
            </w:pPr>
            <w:r w:rsidRPr="00377AB5">
              <w:rPr>
                <w:bCs/>
                <w:sz w:val="16"/>
                <w:lang w:eastAsia="en-AU"/>
              </w:rPr>
              <w:t xml:space="preserve">Percentage change </w:t>
            </w:r>
          </w:p>
        </w:tc>
        <w:tc>
          <w:tcPr>
            <w:tcW w:w="1965" w:type="pct"/>
            <w:noWrap/>
            <w:vAlign w:val="center"/>
            <w:hideMark/>
          </w:tcPr>
          <w:p w14:paraId="77A550F3" w14:textId="4E56AC26" w:rsidR="00F02C5D" w:rsidRPr="00F02C5D" w:rsidRDefault="00F02C5D" w:rsidP="00F02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lang w:eastAsia="en-AU"/>
              </w:rPr>
            </w:pPr>
            <w:r w:rsidRPr="00D450F8">
              <w:rPr>
                <w:rFonts w:ascii="Poppins" w:hAnsi="Poppins" w:cs="Poppins"/>
                <w:color w:val="000000"/>
                <w:sz w:val="16"/>
                <w:szCs w:val="16"/>
              </w:rPr>
              <w:t>-3.57%</w:t>
            </w:r>
          </w:p>
        </w:tc>
      </w:tr>
      <w:tr w:rsidR="00F02C5D" w:rsidRPr="0077677B" w14:paraId="022C3582" w14:textId="77777777" w:rsidTr="00D450F8">
        <w:trPr>
          <w:trHeight w:val="470"/>
        </w:trPr>
        <w:tc>
          <w:tcPr>
            <w:cnfStyle w:val="001000000000" w:firstRow="0" w:lastRow="0" w:firstColumn="1" w:lastColumn="0" w:oddVBand="0" w:evenVBand="0" w:oddHBand="0" w:evenHBand="0" w:firstRowFirstColumn="0" w:firstRowLastColumn="0" w:lastRowFirstColumn="0" w:lastRowLastColumn="0"/>
            <w:tcW w:w="784" w:type="pct"/>
            <w:vMerge w:val="restart"/>
            <w:hideMark/>
          </w:tcPr>
          <w:p w14:paraId="7B0CFC12" w14:textId="1F37CF72" w:rsidR="00F02C5D" w:rsidRPr="0077677B" w:rsidRDefault="00F02C5D" w:rsidP="00D450F8">
            <w:pPr>
              <w:spacing w:before="0" w:after="0"/>
              <w:rPr>
                <w:rFonts w:eastAsia="Times New Roman" w:cstheme="minorHAnsi"/>
                <w:b w:val="0"/>
                <w:bCs/>
                <w:sz w:val="16"/>
                <w:szCs w:val="16"/>
                <w:lang w:eastAsia="en-AU"/>
              </w:rPr>
            </w:pPr>
            <w:r w:rsidRPr="00377AB5">
              <w:rPr>
                <w:bCs/>
                <w:sz w:val="16"/>
                <w:lang w:eastAsia="en-AU"/>
              </w:rPr>
              <w:t>2024-25</w:t>
            </w:r>
          </w:p>
        </w:tc>
        <w:tc>
          <w:tcPr>
            <w:tcW w:w="2251" w:type="pct"/>
            <w:hideMark/>
          </w:tcPr>
          <w:p w14:paraId="3C2F3587" w14:textId="33EABD89" w:rsidR="00F02C5D" w:rsidRPr="0077677B" w:rsidRDefault="00F02C5D" w:rsidP="00F02C5D">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b/>
                <w:sz w:val="16"/>
                <w:szCs w:val="16"/>
                <w:lang w:eastAsia="en-AU"/>
              </w:rPr>
            </w:pPr>
            <w:r w:rsidRPr="007857CA">
              <w:rPr>
                <w:b/>
                <w:bCs/>
                <w:sz w:val="16"/>
                <w:lang w:eastAsia="en-AU"/>
              </w:rPr>
              <w:t>Change in expenditure</w:t>
            </w:r>
            <w:r w:rsidRPr="007857CA">
              <w:rPr>
                <w:b/>
                <w:bCs/>
                <w:sz w:val="16"/>
              </w:rPr>
              <w:t xml:space="preserve"> </w:t>
            </w:r>
            <w:r w:rsidRPr="007857CA">
              <w:rPr>
                <w:b/>
                <w:bCs/>
                <w:sz w:val="16"/>
                <w:lang w:eastAsia="en-AU"/>
              </w:rPr>
              <w:t>from predicted</w:t>
            </w:r>
          </w:p>
        </w:tc>
        <w:tc>
          <w:tcPr>
            <w:tcW w:w="1965" w:type="pct"/>
            <w:noWrap/>
            <w:vAlign w:val="center"/>
            <w:hideMark/>
          </w:tcPr>
          <w:p w14:paraId="7A254099" w14:textId="059B4A76" w:rsidR="00F02C5D" w:rsidRPr="00F02C5D" w:rsidRDefault="00F02C5D" w:rsidP="00F02C5D">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n-AU"/>
              </w:rPr>
            </w:pPr>
            <w:r w:rsidRPr="007D6C48">
              <w:rPr>
                <w:b/>
                <w:bCs/>
                <w:color w:val="FF0000"/>
                <w:sz w:val="16"/>
                <w:szCs w:val="16"/>
              </w:rPr>
              <w:t>($4,453,562)</w:t>
            </w:r>
          </w:p>
        </w:tc>
      </w:tr>
      <w:tr w:rsidR="00F02C5D" w:rsidRPr="0077677B" w14:paraId="57362E60" w14:textId="77777777" w:rsidTr="00D450F8">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784" w:type="pct"/>
            <w:vMerge/>
            <w:hideMark/>
          </w:tcPr>
          <w:p w14:paraId="750D5C85" w14:textId="77777777" w:rsidR="00F02C5D" w:rsidRPr="0077677B" w:rsidRDefault="00F02C5D" w:rsidP="00EB7DB4">
            <w:pPr>
              <w:spacing w:before="0" w:after="0"/>
              <w:rPr>
                <w:rFonts w:eastAsia="Times New Roman" w:cstheme="minorHAnsi"/>
                <w:bCs/>
                <w:sz w:val="16"/>
                <w:szCs w:val="16"/>
                <w:lang w:eastAsia="en-AU"/>
              </w:rPr>
            </w:pPr>
          </w:p>
        </w:tc>
        <w:tc>
          <w:tcPr>
            <w:tcW w:w="2251" w:type="pct"/>
            <w:hideMark/>
          </w:tcPr>
          <w:p w14:paraId="1CA33F2D" w14:textId="4F75F328" w:rsidR="00F02C5D" w:rsidRPr="0077677B" w:rsidRDefault="00F02C5D" w:rsidP="00F02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bCs/>
                <w:sz w:val="16"/>
                <w:szCs w:val="16"/>
                <w:lang w:eastAsia="en-AU"/>
              </w:rPr>
            </w:pPr>
            <w:r w:rsidRPr="00377AB5">
              <w:rPr>
                <w:bCs/>
                <w:sz w:val="16"/>
                <w:lang w:eastAsia="en-AU"/>
              </w:rPr>
              <w:t xml:space="preserve">Percentage change </w:t>
            </w:r>
          </w:p>
        </w:tc>
        <w:tc>
          <w:tcPr>
            <w:tcW w:w="1965" w:type="pct"/>
            <w:noWrap/>
            <w:vAlign w:val="center"/>
            <w:hideMark/>
          </w:tcPr>
          <w:p w14:paraId="3DBB5845" w14:textId="31844026" w:rsidR="00F02C5D" w:rsidRPr="00F02C5D" w:rsidRDefault="00F02C5D" w:rsidP="00F02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lang w:eastAsia="en-AU"/>
              </w:rPr>
            </w:pPr>
            <w:r w:rsidRPr="007D6C48">
              <w:rPr>
                <w:rFonts w:ascii="Poppins" w:hAnsi="Poppins" w:cs="Poppins"/>
                <w:color w:val="000000"/>
                <w:sz w:val="16"/>
                <w:szCs w:val="16"/>
              </w:rPr>
              <w:t>-3.68%</w:t>
            </w:r>
          </w:p>
        </w:tc>
      </w:tr>
      <w:tr w:rsidR="00F02C5D" w:rsidRPr="0077677B" w14:paraId="52DE760A" w14:textId="77777777" w:rsidTr="00D450F8">
        <w:trPr>
          <w:trHeight w:val="335"/>
        </w:trPr>
        <w:tc>
          <w:tcPr>
            <w:cnfStyle w:val="001000000000" w:firstRow="0" w:lastRow="0" w:firstColumn="1" w:lastColumn="0" w:oddVBand="0" w:evenVBand="0" w:oddHBand="0" w:evenHBand="0" w:firstRowFirstColumn="0" w:firstRowLastColumn="0" w:lastRowFirstColumn="0" w:lastRowLastColumn="0"/>
            <w:tcW w:w="784" w:type="pct"/>
            <w:vMerge w:val="restart"/>
            <w:hideMark/>
          </w:tcPr>
          <w:p w14:paraId="549DF483" w14:textId="4C6DCE93" w:rsidR="00F02C5D" w:rsidRPr="0077677B" w:rsidRDefault="00F02C5D" w:rsidP="007D6C48">
            <w:pPr>
              <w:spacing w:before="0" w:after="0"/>
              <w:rPr>
                <w:rFonts w:eastAsia="Times New Roman" w:cstheme="minorHAnsi"/>
                <w:b w:val="0"/>
                <w:bCs/>
                <w:sz w:val="16"/>
                <w:szCs w:val="16"/>
                <w:lang w:eastAsia="en-AU"/>
              </w:rPr>
            </w:pPr>
            <w:r w:rsidRPr="00377AB5">
              <w:rPr>
                <w:bCs/>
                <w:sz w:val="16"/>
                <w:lang w:eastAsia="en-AU"/>
              </w:rPr>
              <w:t>2025-26</w:t>
            </w:r>
          </w:p>
        </w:tc>
        <w:tc>
          <w:tcPr>
            <w:tcW w:w="2251" w:type="pct"/>
            <w:hideMark/>
          </w:tcPr>
          <w:p w14:paraId="4ABA250C" w14:textId="2601120A" w:rsidR="00F02C5D" w:rsidRPr="0077677B" w:rsidRDefault="00F02C5D" w:rsidP="00F02C5D">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b/>
                <w:sz w:val="16"/>
                <w:szCs w:val="16"/>
                <w:lang w:eastAsia="en-AU"/>
              </w:rPr>
            </w:pPr>
            <w:r w:rsidRPr="007857CA">
              <w:rPr>
                <w:b/>
                <w:bCs/>
                <w:sz w:val="16"/>
                <w:lang w:eastAsia="en-AU"/>
              </w:rPr>
              <w:t>Change in expenditure</w:t>
            </w:r>
            <w:r w:rsidRPr="007857CA">
              <w:rPr>
                <w:b/>
                <w:bCs/>
                <w:sz w:val="16"/>
              </w:rPr>
              <w:t xml:space="preserve"> </w:t>
            </w:r>
            <w:r w:rsidRPr="007857CA">
              <w:rPr>
                <w:b/>
                <w:bCs/>
                <w:sz w:val="16"/>
                <w:lang w:eastAsia="en-AU"/>
              </w:rPr>
              <w:t>from predicted</w:t>
            </w:r>
          </w:p>
        </w:tc>
        <w:tc>
          <w:tcPr>
            <w:tcW w:w="1965" w:type="pct"/>
            <w:noWrap/>
            <w:vAlign w:val="center"/>
            <w:hideMark/>
          </w:tcPr>
          <w:p w14:paraId="622C26EE" w14:textId="73640416" w:rsidR="00F02C5D" w:rsidRPr="00F02C5D" w:rsidRDefault="00F02C5D" w:rsidP="00F02C5D">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n-AU"/>
              </w:rPr>
            </w:pPr>
            <w:r w:rsidRPr="007D6C48">
              <w:rPr>
                <w:b/>
                <w:bCs/>
                <w:color w:val="FF0000"/>
                <w:sz w:val="16"/>
                <w:szCs w:val="16"/>
              </w:rPr>
              <w:t>($4,790,354)</w:t>
            </w:r>
          </w:p>
        </w:tc>
      </w:tr>
      <w:tr w:rsidR="00F02C5D" w:rsidRPr="0077677B" w14:paraId="3CC3C5A6" w14:textId="77777777" w:rsidTr="00D450F8">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784" w:type="pct"/>
            <w:vMerge/>
            <w:hideMark/>
          </w:tcPr>
          <w:p w14:paraId="3B6347F5" w14:textId="77777777" w:rsidR="00F02C5D" w:rsidRPr="0077677B" w:rsidRDefault="00F02C5D" w:rsidP="00F02C5D">
            <w:pPr>
              <w:spacing w:before="0" w:after="0"/>
              <w:rPr>
                <w:rFonts w:eastAsia="Times New Roman" w:cstheme="minorHAnsi"/>
                <w:bCs/>
                <w:color w:val="B4007C"/>
                <w:sz w:val="16"/>
                <w:szCs w:val="16"/>
                <w:lang w:eastAsia="en-AU"/>
              </w:rPr>
            </w:pPr>
          </w:p>
        </w:tc>
        <w:tc>
          <w:tcPr>
            <w:tcW w:w="2251" w:type="pct"/>
            <w:hideMark/>
          </w:tcPr>
          <w:p w14:paraId="6ACC522D" w14:textId="78BC2417" w:rsidR="00F02C5D" w:rsidRPr="0077677B" w:rsidRDefault="00F02C5D" w:rsidP="00F02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bCs/>
                <w:sz w:val="16"/>
                <w:szCs w:val="16"/>
                <w:lang w:eastAsia="en-AU"/>
              </w:rPr>
            </w:pPr>
            <w:r w:rsidRPr="009B0C8F">
              <w:rPr>
                <w:bCs/>
                <w:sz w:val="16"/>
                <w:lang w:eastAsia="en-AU"/>
              </w:rPr>
              <w:t>Percentage change</w:t>
            </w:r>
          </w:p>
        </w:tc>
        <w:tc>
          <w:tcPr>
            <w:tcW w:w="1965" w:type="pct"/>
            <w:noWrap/>
            <w:vAlign w:val="center"/>
            <w:hideMark/>
          </w:tcPr>
          <w:p w14:paraId="3B796FD3" w14:textId="5EFDC5F6" w:rsidR="00F02C5D" w:rsidRPr="00F02C5D" w:rsidRDefault="00F02C5D" w:rsidP="00F02C5D">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lang w:eastAsia="en-AU"/>
              </w:rPr>
            </w:pPr>
            <w:r w:rsidRPr="007D6C48">
              <w:rPr>
                <w:rFonts w:ascii="Poppins" w:hAnsi="Poppins" w:cs="Poppins"/>
                <w:color w:val="000000"/>
                <w:sz w:val="16"/>
                <w:szCs w:val="16"/>
              </w:rPr>
              <w:t>-3.78%</w:t>
            </w:r>
          </w:p>
        </w:tc>
      </w:tr>
      <w:tr w:rsidR="00D450F8" w:rsidRPr="0077677B" w14:paraId="7CCB83C8" w14:textId="77777777" w:rsidTr="00D450F8">
        <w:trPr>
          <w:cnfStyle w:val="010000000000" w:firstRow="0" w:lastRow="1"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784" w:type="pct"/>
            <w:vMerge/>
            <w:hideMark/>
          </w:tcPr>
          <w:p w14:paraId="3D823C88" w14:textId="77777777" w:rsidR="00B65767" w:rsidRPr="0077677B" w:rsidRDefault="00B65767" w:rsidP="005C7AC1">
            <w:pPr>
              <w:spacing w:before="0" w:after="0"/>
              <w:rPr>
                <w:rFonts w:eastAsia="Times New Roman" w:cstheme="minorHAnsi"/>
                <w:bCs/>
                <w:color w:val="B4007C"/>
                <w:sz w:val="16"/>
                <w:szCs w:val="16"/>
                <w:lang w:eastAsia="en-AU"/>
              </w:rPr>
            </w:pPr>
          </w:p>
        </w:tc>
        <w:tc>
          <w:tcPr>
            <w:tcW w:w="2251" w:type="pct"/>
            <w:shd w:val="clear" w:color="auto" w:fill="FBC6D0" w:themeFill="accent2" w:themeFillTint="33"/>
            <w:hideMark/>
          </w:tcPr>
          <w:p w14:paraId="48591555" w14:textId="77777777" w:rsidR="00B65767" w:rsidRPr="0077677B" w:rsidRDefault="00B65767" w:rsidP="005C7AC1">
            <w:pPr>
              <w:spacing w:before="0" w:after="0"/>
              <w:cnfStyle w:val="010000000000" w:firstRow="0" w:lastRow="1" w:firstColumn="0" w:lastColumn="0" w:oddVBand="0" w:evenVBand="0" w:oddHBand="0" w:evenHBand="0" w:firstRowFirstColumn="0" w:firstRowLastColumn="0" w:lastRowFirstColumn="0" w:lastRowLastColumn="0"/>
              <w:rPr>
                <w:rFonts w:eastAsia="Times New Roman" w:cstheme="minorHAnsi"/>
                <w:i/>
                <w:color w:val="auto"/>
                <w:sz w:val="16"/>
                <w:szCs w:val="16"/>
                <w:lang w:eastAsia="en-AU"/>
              </w:rPr>
            </w:pPr>
            <w:r w:rsidRPr="0077677B">
              <w:rPr>
                <w:rFonts w:eastAsia="Times New Roman" w:cstheme="minorHAnsi"/>
                <w:i/>
                <w:color w:val="auto"/>
                <w:sz w:val="16"/>
                <w:szCs w:val="16"/>
                <w:lang w:eastAsia="en-AU"/>
              </w:rPr>
              <w:t>Number of ostomates impacted (based on current ostomate #)</w:t>
            </w:r>
          </w:p>
        </w:tc>
        <w:tc>
          <w:tcPr>
            <w:tcW w:w="1965" w:type="pct"/>
            <w:shd w:val="clear" w:color="auto" w:fill="FBC6D0" w:themeFill="accent2" w:themeFillTint="33"/>
            <w:noWrap/>
            <w:hideMark/>
          </w:tcPr>
          <w:p w14:paraId="1C94353F" w14:textId="77777777" w:rsidR="00B65767" w:rsidRPr="0077677B" w:rsidRDefault="00B65767" w:rsidP="005C7AC1">
            <w:pPr>
              <w:spacing w:before="0" w:after="0"/>
              <w:cnfStyle w:val="010000000000" w:firstRow="0" w:lastRow="1" w:firstColumn="0" w:lastColumn="0" w:oddVBand="0" w:evenVBand="0" w:oddHBand="0" w:evenHBand="0" w:firstRowFirstColumn="0" w:firstRowLastColumn="0" w:lastRowFirstColumn="0" w:lastRowLastColumn="0"/>
              <w:rPr>
                <w:rFonts w:eastAsia="Times New Roman" w:cstheme="minorHAnsi"/>
                <w:i/>
                <w:iCs/>
                <w:color w:val="000000"/>
                <w:sz w:val="16"/>
                <w:szCs w:val="16"/>
                <w:lang w:eastAsia="en-AU"/>
              </w:rPr>
            </w:pPr>
            <w:r w:rsidRPr="0077677B">
              <w:rPr>
                <w:rFonts w:cstheme="minorHAnsi"/>
                <w:i/>
                <w:iCs/>
                <w:color w:val="000000"/>
                <w:sz w:val="16"/>
                <w:szCs w:val="16"/>
              </w:rPr>
              <w:t>19,229</w:t>
            </w:r>
          </w:p>
        </w:tc>
      </w:tr>
    </w:tbl>
    <w:p w14:paraId="268B7DF4" w14:textId="4AD158CE" w:rsidR="00B65767" w:rsidRDefault="003D5C4B" w:rsidP="00B65767">
      <w:r>
        <w:rPr>
          <w:noProof/>
        </w:rPr>
        <w:drawing>
          <wp:inline distT="0" distB="0" distL="0" distR="0" wp14:anchorId="5FF2E587" wp14:editId="3E98D041">
            <wp:extent cx="4381995" cy="2947276"/>
            <wp:effectExtent l="0" t="0" r="0" b="5715"/>
            <wp:docPr id="1170532702" name="Picture 10" descr="Figure 22: Expenditure related to cleanser wipes if removed from the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32702" name="Picture 10" descr="Figure 22: Expenditure related to cleanser wipes if removed from the Scheme "/>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83948" cy="2948590"/>
                    </a:xfrm>
                    <a:prstGeom prst="rect">
                      <a:avLst/>
                    </a:prstGeom>
                    <a:noFill/>
                  </pic:spPr>
                </pic:pic>
              </a:graphicData>
            </a:graphic>
          </wp:inline>
        </w:drawing>
      </w:r>
    </w:p>
    <w:p w14:paraId="4493B9B5" w14:textId="77777777" w:rsidR="007C3763" w:rsidRDefault="007C3763">
      <w:pPr>
        <w:spacing w:line="276" w:lineRule="auto"/>
        <w:rPr>
          <w:rFonts w:asciiTheme="majorHAnsi" w:eastAsiaTheme="majorEastAsia" w:hAnsiTheme="majorHAnsi" w:cstheme="majorBidi"/>
          <w:b/>
          <w:color w:val="C60C30" w:themeColor="accent2"/>
          <w:spacing w:val="4"/>
          <w:sz w:val="22"/>
          <w:szCs w:val="28"/>
        </w:rPr>
      </w:pPr>
      <w:r>
        <w:br w:type="page"/>
      </w:r>
    </w:p>
    <w:p w14:paraId="506BBB80" w14:textId="0879FE1F" w:rsidR="00B65767" w:rsidRDefault="00B65767" w:rsidP="006261FB">
      <w:pPr>
        <w:pStyle w:val="AltHeading3"/>
      </w:pPr>
      <w:r>
        <w:lastRenderedPageBreak/>
        <w:t>Scenario Six: Removal of low</w:t>
      </w:r>
      <w:r w:rsidR="003A664D">
        <w:t>-</w:t>
      </w:r>
      <w:r>
        <w:t>utilisation products</w:t>
      </w:r>
    </w:p>
    <w:p w14:paraId="500510BD" w14:textId="3BDCFD05" w:rsidR="00B65767" w:rsidRDefault="00B65767" w:rsidP="00B65767">
      <w:pPr>
        <w:pStyle w:val="BodyText"/>
      </w:pPr>
      <w:r>
        <w:t>There was s</w:t>
      </w:r>
      <w:r w:rsidRPr="00E003DE">
        <w:t xml:space="preserve">ome </w:t>
      </w:r>
      <w:r>
        <w:t xml:space="preserve">stakeholder </w:t>
      </w:r>
      <w:r w:rsidRPr="00E003DE">
        <w:t>support for review and removal of low</w:t>
      </w:r>
      <w:r w:rsidR="003A664D">
        <w:t>-</w:t>
      </w:r>
      <w:r w:rsidRPr="00E003DE">
        <w:t>utilisation products (&lt;</w:t>
      </w:r>
      <w:r w:rsidR="00B516B0">
        <w:t>2</w:t>
      </w:r>
      <w:r w:rsidRPr="00E003DE">
        <w:t>0 products ordered per year)</w:t>
      </w:r>
      <w:r>
        <w:t xml:space="preserve"> from the Scheme</w:t>
      </w:r>
      <w:r w:rsidRPr="00E003DE">
        <w:t xml:space="preserve">. </w:t>
      </w:r>
      <w:r>
        <w:t xml:space="preserve">Changes to overall expenditure for the </w:t>
      </w:r>
      <w:r w:rsidR="00915FE0">
        <w:t xml:space="preserve">next </w:t>
      </w:r>
      <w:r>
        <w:t>three years was tested after these low</w:t>
      </w:r>
      <w:r w:rsidR="003A664D">
        <w:t>-</w:t>
      </w:r>
      <w:r>
        <w:t>utilisation products were removed from the Scheme.</w:t>
      </w:r>
      <w:r w:rsidR="00260ADB">
        <w:rPr>
          <w:rStyle w:val="FootnoteReference"/>
        </w:rPr>
        <w:footnoteReference w:id="45"/>
      </w:r>
    </w:p>
    <w:p w14:paraId="6D600A6F" w14:textId="7ECCDB11" w:rsidR="00B65767" w:rsidRDefault="00B65767" w:rsidP="00B65767">
      <w:pPr>
        <w:pStyle w:val="BodyText"/>
      </w:pPr>
      <w:r w:rsidRPr="008203B9">
        <w:t>It was found that from the total expenditure of the Scheme in FY2</w:t>
      </w:r>
      <w:r w:rsidR="00680F26">
        <w:t>5</w:t>
      </w:r>
      <w:r w:rsidRPr="008203B9">
        <w:t>-2</w:t>
      </w:r>
      <w:r w:rsidR="00680F26">
        <w:t>6</w:t>
      </w:r>
      <w:r w:rsidRPr="008203B9">
        <w:t xml:space="preserve"> (</w:t>
      </w:r>
      <w:r w:rsidR="00680F26" w:rsidRPr="00680F26">
        <w:t>$126,792,538</w:t>
      </w:r>
      <w:r>
        <w:t>these low</w:t>
      </w:r>
      <w:r w:rsidR="003A664D">
        <w:t>-</w:t>
      </w:r>
      <w:r>
        <w:t xml:space="preserve">utilisation products accounted for </w:t>
      </w:r>
      <w:r w:rsidR="00030C76" w:rsidRPr="00030C76">
        <w:rPr>
          <w:b/>
          <w:bCs/>
        </w:rPr>
        <w:t>$8,234</w:t>
      </w:r>
      <w:r>
        <w:t xml:space="preserve">and would result in </w:t>
      </w:r>
      <w:r w:rsidRPr="00957211">
        <w:rPr>
          <w:b/>
          <w:bCs/>
        </w:rPr>
        <w:t>less than 1% in cost savings for the Scheme if removed</w:t>
      </w:r>
      <w:r>
        <w:t xml:space="preserve">. </w:t>
      </w:r>
      <w:r w:rsidR="007E6AAA">
        <w:fldChar w:fldCharType="begin"/>
      </w:r>
      <w:r w:rsidR="007E6AAA">
        <w:instrText xml:space="preserve"> REF _Ref157610792 \h </w:instrText>
      </w:r>
      <w:r w:rsidR="007E6AAA">
        <w:fldChar w:fldCharType="separate"/>
      </w:r>
      <w:r w:rsidR="00FE1418">
        <w:t xml:space="preserve">Figure </w:t>
      </w:r>
      <w:r w:rsidR="00FE1418">
        <w:rPr>
          <w:noProof/>
        </w:rPr>
        <w:t>23</w:t>
      </w:r>
      <w:r w:rsidR="007E6AAA">
        <w:fldChar w:fldCharType="end"/>
      </w:r>
      <w:r w:rsidR="007E6AAA">
        <w:t xml:space="preserve"> </w:t>
      </w:r>
      <w:r>
        <w:t xml:space="preserve">provides three years of expenditure related to this </w:t>
      </w:r>
      <w:r w:rsidRPr="00EE2A87">
        <w:t xml:space="preserve">scenario </w:t>
      </w:r>
      <w:r>
        <w:t xml:space="preserve">and highlights the change would </w:t>
      </w:r>
      <w:r w:rsidRPr="00B4661D">
        <w:t>affect</w:t>
      </w:r>
      <w:r w:rsidR="00030C76">
        <w:t xml:space="preserve"> approximately</w:t>
      </w:r>
      <w:r w:rsidRPr="00B4661D">
        <w:t xml:space="preserve"> </w:t>
      </w:r>
      <w:r w:rsidR="00030C76">
        <w:t>45</w:t>
      </w:r>
      <w:r w:rsidR="00030C76" w:rsidRPr="00B4661D">
        <w:t xml:space="preserve"> </w:t>
      </w:r>
      <w:r w:rsidRPr="00B4661D">
        <w:t>ostomates</w:t>
      </w:r>
      <w:r>
        <w:t xml:space="preserve"> if removed from the Scheme.</w:t>
      </w:r>
      <w:r w:rsidR="00030C76">
        <w:t xml:space="preserve"> Notably it is likely these ostomates would switch to similarly products and these cost savings may not be realised.</w:t>
      </w:r>
    </w:p>
    <w:p w14:paraId="187D341F" w14:textId="393F00A9" w:rsidR="00B65767" w:rsidRDefault="00B65767" w:rsidP="00B65767">
      <w:pPr>
        <w:pStyle w:val="Caption"/>
      </w:pPr>
      <w:bookmarkStart w:id="137" w:name="_Ref157610792"/>
      <w:bookmarkStart w:id="138" w:name="_Toc161743147"/>
      <w:r>
        <w:t xml:space="preserve">Figure </w:t>
      </w:r>
      <w:r>
        <w:fldChar w:fldCharType="begin"/>
      </w:r>
      <w:r>
        <w:instrText xml:space="preserve"> SEQ Figure \* ARABIC </w:instrText>
      </w:r>
      <w:r>
        <w:fldChar w:fldCharType="separate"/>
      </w:r>
      <w:r w:rsidR="00FE1418">
        <w:rPr>
          <w:noProof/>
        </w:rPr>
        <w:t>23</w:t>
      </w:r>
      <w:r>
        <w:rPr>
          <w:noProof/>
        </w:rPr>
        <w:fldChar w:fldCharType="end"/>
      </w:r>
      <w:bookmarkEnd w:id="137"/>
      <w:r>
        <w:t xml:space="preserve">: Expenditure </w:t>
      </w:r>
      <w:r w:rsidRPr="00C00E59">
        <w:t xml:space="preserve">related to </w:t>
      </w:r>
      <w:r>
        <w:t>low</w:t>
      </w:r>
      <w:r w:rsidR="003A664D">
        <w:t>-</w:t>
      </w:r>
      <w:r>
        <w:t>utilisation products</w:t>
      </w:r>
      <w:r w:rsidRPr="00C00E59">
        <w:t xml:space="preserve"> if removed from the </w:t>
      </w:r>
      <w:proofErr w:type="gramStart"/>
      <w:r w:rsidRPr="00C00E59">
        <w:t>Scheme</w:t>
      </w:r>
      <w:bookmarkEnd w:id="138"/>
      <w:proofErr w:type="gramEnd"/>
    </w:p>
    <w:tbl>
      <w:tblPr>
        <w:tblStyle w:val="TableHealthConsultPurple"/>
        <w:tblpPr w:leftFromText="180" w:rightFromText="180" w:vertAnchor="text" w:horzAnchor="margin" w:tblpXSpec="right" w:tblpY="273"/>
        <w:tblW w:w="2481" w:type="pct"/>
        <w:tblLayout w:type="fixed"/>
        <w:tblLook w:val="04E0" w:firstRow="1" w:lastRow="1" w:firstColumn="1" w:lastColumn="0" w:noHBand="0" w:noVBand="1"/>
      </w:tblPr>
      <w:tblGrid>
        <w:gridCol w:w="993"/>
        <w:gridCol w:w="3329"/>
        <w:gridCol w:w="2908"/>
      </w:tblGrid>
      <w:tr w:rsidR="00B65767" w:rsidRPr="0077677B" w14:paraId="2B256DD5" w14:textId="77777777" w:rsidTr="00EB7DB4">
        <w:trPr>
          <w:cnfStyle w:val="100000000000" w:firstRow="1" w:lastRow="0" w:firstColumn="0" w:lastColumn="0" w:oddVBand="0" w:evenVBand="0" w:oddHBand="0" w:evenHBand="0" w:firstRowFirstColumn="0" w:firstRowLastColumn="0" w:lastRowFirstColumn="0" w:lastRowLastColumn="0"/>
          <w:trHeight w:val="335"/>
        </w:trPr>
        <w:tc>
          <w:tcPr>
            <w:cnfStyle w:val="001000000100" w:firstRow="0" w:lastRow="0" w:firstColumn="1" w:lastColumn="0" w:oddVBand="0" w:evenVBand="0" w:oddHBand="0" w:evenHBand="0" w:firstRowFirstColumn="1" w:firstRowLastColumn="0" w:lastRowFirstColumn="0" w:lastRowLastColumn="0"/>
            <w:tcW w:w="2988" w:type="pct"/>
            <w:gridSpan w:val="2"/>
          </w:tcPr>
          <w:p w14:paraId="16453D0A" w14:textId="77777777" w:rsidR="00B65767" w:rsidRPr="00C316C3" w:rsidRDefault="00B65767" w:rsidP="005C7AC1">
            <w:pPr>
              <w:spacing w:before="0" w:after="0"/>
              <w:jc w:val="center"/>
              <w:rPr>
                <w:b w:val="0"/>
                <w:bCs/>
                <w:sz w:val="16"/>
                <w:lang w:eastAsia="en-AU"/>
              </w:rPr>
            </w:pPr>
            <w:r w:rsidRPr="0077677B">
              <w:rPr>
                <w:rFonts w:eastAsia="Times New Roman" w:cstheme="minorHAnsi"/>
                <w:sz w:val="16"/>
                <w:szCs w:val="16"/>
                <w:lang w:eastAsia="en-AU"/>
              </w:rPr>
              <w:t>Scenario</w:t>
            </w:r>
            <w:r>
              <w:rPr>
                <w:rFonts w:eastAsia="Times New Roman" w:cstheme="minorHAnsi"/>
                <w:sz w:val="16"/>
                <w:szCs w:val="16"/>
                <w:lang w:eastAsia="en-AU"/>
              </w:rPr>
              <w:t>:</w:t>
            </w:r>
          </w:p>
        </w:tc>
        <w:tc>
          <w:tcPr>
            <w:tcW w:w="2012" w:type="pct"/>
            <w:noWrap/>
          </w:tcPr>
          <w:p w14:paraId="79436FD0" w14:textId="4F6747E3" w:rsidR="00B65767" w:rsidRPr="009B0C8F" w:rsidRDefault="00A40CE8" w:rsidP="005C7AC1">
            <w:pPr>
              <w:spacing w:before="0" w:after="0"/>
              <w:cnfStyle w:val="100000000000" w:firstRow="1" w:lastRow="0" w:firstColumn="0" w:lastColumn="0" w:oddVBand="0" w:evenVBand="0" w:oddHBand="0" w:evenHBand="0" w:firstRowFirstColumn="0" w:firstRowLastColumn="0" w:lastRowFirstColumn="0" w:lastRowLastColumn="0"/>
              <w:rPr>
                <w:bCs/>
                <w:color w:val="FF0000"/>
                <w:sz w:val="16"/>
              </w:rPr>
            </w:pPr>
            <w:r w:rsidRPr="00A40CE8">
              <w:rPr>
                <w:rFonts w:eastAsia="Times New Roman" w:cstheme="minorHAnsi"/>
                <w:bCs/>
                <w:sz w:val="16"/>
                <w:szCs w:val="16"/>
                <w:lang w:eastAsia="en-AU"/>
              </w:rPr>
              <w:t>Removal of low utilisation products (&lt;20 total quantity per annum)</w:t>
            </w:r>
          </w:p>
        </w:tc>
      </w:tr>
      <w:tr w:rsidR="007D0906" w:rsidRPr="0077677B" w14:paraId="33BFD799" w14:textId="77777777" w:rsidTr="00EB7DB4">
        <w:trPr>
          <w:trHeight w:val="335"/>
        </w:trPr>
        <w:tc>
          <w:tcPr>
            <w:cnfStyle w:val="001000000000" w:firstRow="0" w:lastRow="0" w:firstColumn="1" w:lastColumn="0" w:oddVBand="0" w:evenVBand="0" w:oddHBand="0" w:evenHBand="0" w:firstRowFirstColumn="0" w:firstRowLastColumn="0" w:lastRowFirstColumn="0" w:lastRowLastColumn="0"/>
            <w:tcW w:w="687" w:type="pct"/>
            <w:vMerge w:val="restart"/>
            <w:hideMark/>
          </w:tcPr>
          <w:p w14:paraId="55F3542D" w14:textId="5531E708" w:rsidR="007D0906" w:rsidRPr="0077677B" w:rsidRDefault="007D0906" w:rsidP="007D0906">
            <w:pPr>
              <w:spacing w:before="0" w:after="0"/>
              <w:rPr>
                <w:rFonts w:eastAsia="Times New Roman" w:cstheme="minorHAnsi"/>
                <w:b w:val="0"/>
                <w:bCs/>
                <w:sz w:val="16"/>
                <w:szCs w:val="16"/>
                <w:lang w:eastAsia="en-AU"/>
              </w:rPr>
            </w:pPr>
            <w:r w:rsidRPr="00377AB5">
              <w:rPr>
                <w:bCs/>
                <w:sz w:val="16"/>
                <w:lang w:eastAsia="en-AU"/>
              </w:rPr>
              <w:t>2023-24</w:t>
            </w:r>
          </w:p>
        </w:tc>
        <w:tc>
          <w:tcPr>
            <w:tcW w:w="2302" w:type="pct"/>
            <w:hideMark/>
          </w:tcPr>
          <w:p w14:paraId="72F12D58" w14:textId="19637075" w:rsidR="007D0906" w:rsidRPr="005579EA" w:rsidRDefault="007D0906" w:rsidP="007D0906">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n-AU"/>
              </w:rPr>
            </w:pPr>
            <w:r w:rsidRPr="007857CA">
              <w:rPr>
                <w:b/>
                <w:bCs/>
                <w:sz w:val="16"/>
                <w:lang w:eastAsia="en-AU"/>
              </w:rPr>
              <w:t>Change in expenditure from predicted</w:t>
            </w:r>
          </w:p>
        </w:tc>
        <w:tc>
          <w:tcPr>
            <w:tcW w:w="2012" w:type="pct"/>
            <w:noWrap/>
            <w:vAlign w:val="center"/>
            <w:hideMark/>
          </w:tcPr>
          <w:p w14:paraId="2965717F" w14:textId="16DE048F" w:rsidR="007D0906" w:rsidRPr="0056204A" w:rsidRDefault="007D0906" w:rsidP="007D0906">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16"/>
                <w:szCs w:val="16"/>
                <w:lang w:eastAsia="en-AU"/>
              </w:rPr>
            </w:pPr>
            <w:r w:rsidRPr="00D450F8">
              <w:rPr>
                <w:b/>
                <w:bCs/>
                <w:color w:val="FF0000"/>
                <w:sz w:val="16"/>
                <w:szCs w:val="16"/>
              </w:rPr>
              <w:t>($5,983)</w:t>
            </w:r>
          </w:p>
        </w:tc>
      </w:tr>
      <w:tr w:rsidR="007D0906" w:rsidRPr="0077677B" w14:paraId="516683AC" w14:textId="77777777" w:rsidTr="00EB7DB4">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687" w:type="pct"/>
            <w:vMerge/>
            <w:hideMark/>
          </w:tcPr>
          <w:p w14:paraId="61BEE6D7" w14:textId="77777777" w:rsidR="007D0906" w:rsidRPr="0077677B" w:rsidRDefault="007D0906" w:rsidP="007D0906">
            <w:pPr>
              <w:spacing w:before="0" w:after="0"/>
              <w:ind w:left="229"/>
              <w:rPr>
                <w:rFonts w:eastAsia="Times New Roman" w:cstheme="minorHAnsi"/>
                <w:bCs/>
                <w:sz w:val="16"/>
                <w:szCs w:val="16"/>
                <w:lang w:eastAsia="en-AU"/>
              </w:rPr>
            </w:pPr>
          </w:p>
        </w:tc>
        <w:tc>
          <w:tcPr>
            <w:tcW w:w="2302" w:type="pct"/>
            <w:hideMark/>
          </w:tcPr>
          <w:p w14:paraId="73AAB346" w14:textId="5E61A36F" w:rsidR="007D0906" w:rsidRPr="0077677B" w:rsidRDefault="007D0906" w:rsidP="007D0906">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bCs/>
                <w:sz w:val="16"/>
                <w:szCs w:val="16"/>
                <w:lang w:eastAsia="en-AU"/>
              </w:rPr>
            </w:pPr>
            <w:r w:rsidRPr="00377AB5">
              <w:rPr>
                <w:bCs/>
                <w:sz w:val="16"/>
                <w:lang w:eastAsia="en-AU"/>
              </w:rPr>
              <w:t xml:space="preserve">Percentage change </w:t>
            </w:r>
          </w:p>
        </w:tc>
        <w:tc>
          <w:tcPr>
            <w:tcW w:w="2012" w:type="pct"/>
            <w:noWrap/>
            <w:vAlign w:val="center"/>
            <w:hideMark/>
          </w:tcPr>
          <w:p w14:paraId="76AC7738" w14:textId="62C7D015" w:rsidR="007D0906" w:rsidRPr="0056204A" w:rsidRDefault="007D0906" w:rsidP="007D0906">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lang w:eastAsia="en-AU"/>
              </w:rPr>
            </w:pPr>
            <w:r w:rsidRPr="00D450F8">
              <w:rPr>
                <w:rFonts w:ascii="Poppins" w:hAnsi="Poppins" w:cs="Poppins"/>
                <w:color w:val="000000"/>
                <w:sz w:val="16"/>
                <w:szCs w:val="16"/>
              </w:rPr>
              <w:t>-0.01%</w:t>
            </w:r>
          </w:p>
        </w:tc>
      </w:tr>
      <w:tr w:rsidR="007D0906" w:rsidRPr="0077677B" w14:paraId="18613EEF" w14:textId="77777777" w:rsidTr="00EB7DB4">
        <w:trPr>
          <w:trHeight w:val="470"/>
        </w:trPr>
        <w:tc>
          <w:tcPr>
            <w:cnfStyle w:val="001000000000" w:firstRow="0" w:lastRow="0" w:firstColumn="1" w:lastColumn="0" w:oddVBand="0" w:evenVBand="0" w:oddHBand="0" w:evenHBand="0" w:firstRowFirstColumn="0" w:firstRowLastColumn="0" w:lastRowFirstColumn="0" w:lastRowLastColumn="0"/>
            <w:tcW w:w="687" w:type="pct"/>
            <w:vMerge w:val="restart"/>
            <w:hideMark/>
          </w:tcPr>
          <w:p w14:paraId="64D63FB7" w14:textId="1EB76E10" w:rsidR="007D0906" w:rsidRPr="0077677B" w:rsidRDefault="007D0906" w:rsidP="007D0906">
            <w:pPr>
              <w:spacing w:before="0" w:after="0"/>
              <w:rPr>
                <w:rFonts w:eastAsia="Times New Roman" w:cstheme="minorHAnsi"/>
                <w:b w:val="0"/>
                <w:bCs/>
                <w:sz w:val="16"/>
                <w:szCs w:val="16"/>
                <w:lang w:eastAsia="en-AU"/>
              </w:rPr>
            </w:pPr>
            <w:r w:rsidRPr="00377AB5">
              <w:rPr>
                <w:bCs/>
                <w:sz w:val="16"/>
                <w:lang w:eastAsia="en-AU"/>
              </w:rPr>
              <w:t>2024-25</w:t>
            </w:r>
          </w:p>
        </w:tc>
        <w:tc>
          <w:tcPr>
            <w:tcW w:w="2302" w:type="pct"/>
            <w:hideMark/>
          </w:tcPr>
          <w:p w14:paraId="0A572E58" w14:textId="18325788" w:rsidR="007D0906" w:rsidRPr="00C316C3" w:rsidRDefault="007D0906" w:rsidP="007D0906">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n-AU"/>
              </w:rPr>
            </w:pPr>
            <w:r w:rsidRPr="007857CA">
              <w:rPr>
                <w:b/>
                <w:bCs/>
                <w:sz w:val="16"/>
                <w:lang w:eastAsia="en-AU"/>
              </w:rPr>
              <w:t>Change in expenditure</w:t>
            </w:r>
            <w:r w:rsidRPr="007857CA">
              <w:rPr>
                <w:b/>
                <w:bCs/>
                <w:sz w:val="16"/>
              </w:rPr>
              <w:t xml:space="preserve"> </w:t>
            </w:r>
            <w:r w:rsidRPr="007857CA">
              <w:rPr>
                <w:b/>
                <w:bCs/>
                <w:sz w:val="16"/>
                <w:lang w:eastAsia="en-AU"/>
              </w:rPr>
              <w:t>from predicted</w:t>
            </w:r>
          </w:p>
        </w:tc>
        <w:tc>
          <w:tcPr>
            <w:tcW w:w="2012" w:type="pct"/>
            <w:noWrap/>
            <w:vAlign w:val="center"/>
            <w:hideMark/>
          </w:tcPr>
          <w:p w14:paraId="4D9997CC" w14:textId="43455D54" w:rsidR="007D0906" w:rsidRPr="0056204A" w:rsidRDefault="007D0906" w:rsidP="007D0906">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6"/>
                <w:szCs w:val="16"/>
                <w:lang w:eastAsia="en-AU"/>
              </w:rPr>
            </w:pPr>
            <w:r w:rsidRPr="00D450F8">
              <w:rPr>
                <w:b/>
                <w:bCs/>
                <w:color w:val="FF0000"/>
                <w:sz w:val="16"/>
                <w:szCs w:val="16"/>
              </w:rPr>
              <w:t>($8,258)</w:t>
            </w:r>
          </w:p>
        </w:tc>
      </w:tr>
      <w:tr w:rsidR="007D0906" w:rsidRPr="0077677B" w14:paraId="05F0FB9B" w14:textId="77777777" w:rsidTr="00EB7DB4">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687" w:type="pct"/>
            <w:vMerge/>
            <w:hideMark/>
          </w:tcPr>
          <w:p w14:paraId="65B817C9" w14:textId="77777777" w:rsidR="007D0906" w:rsidRPr="0077677B" w:rsidRDefault="007D0906" w:rsidP="007D0906">
            <w:pPr>
              <w:spacing w:before="0" w:after="0"/>
              <w:ind w:left="229"/>
              <w:rPr>
                <w:rFonts w:eastAsia="Times New Roman" w:cstheme="minorHAnsi"/>
                <w:bCs/>
                <w:sz w:val="16"/>
                <w:szCs w:val="16"/>
                <w:lang w:eastAsia="en-AU"/>
              </w:rPr>
            </w:pPr>
          </w:p>
        </w:tc>
        <w:tc>
          <w:tcPr>
            <w:tcW w:w="2302" w:type="pct"/>
            <w:hideMark/>
          </w:tcPr>
          <w:p w14:paraId="6275665D" w14:textId="60A8D85C" w:rsidR="007D0906" w:rsidRPr="0077677B" w:rsidRDefault="007D0906" w:rsidP="007D0906">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bCs/>
                <w:sz w:val="16"/>
                <w:szCs w:val="16"/>
                <w:lang w:eastAsia="en-AU"/>
              </w:rPr>
            </w:pPr>
            <w:r w:rsidRPr="00377AB5">
              <w:rPr>
                <w:bCs/>
                <w:sz w:val="16"/>
                <w:lang w:eastAsia="en-AU"/>
              </w:rPr>
              <w:t xml:space="preserve">Percentage change </w:t>
            </w:r>
          </w:p>
        </w:tc>
        <w:tc>
          <w:tcPr>
            <w:tcW w:w="2012" w:type="pct"/>
            <w:noWrap/>
            <w:vAlign w:val="center"/>
            <w:hideMark/>
          </w:tcPr>
          <w:p w14:paraId="4CE4F0A6" w14:textId="571A342F" w:rsidR="007D0906" w:rsidRPr="0056204A" w:rsidRDefault="007D0906" w:rsidP="007D0906">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lang w:eastAsia="en-AU"/>
              </w:rPr>
            </w:pPr>
            <w:r w:rsidRPr="00D450F8">
              <w:rPr>
                <w:rFonts w:ascii="Poppins" w:hAnsi="Poppins" w:cs="Poppins"/>
                <w:color w:val="000000"/>
                <w:sz w:val="16"/>
                <w:szCs w:val="16"/>
              </w:rPr>
              <w:t>-0.01%</w:t>
            </w:r>
          </w:p>
        </w:tc>
      </w:tr>
      <w:tr w:rsidR="007D0906" w:rsidRPr="0077677B" w14:paraId="3FBC5EE2" w14:textId="77777777" w:rsidTr="00EB7DB4">
        <w:trPr>
          <w:trHeight w:val="335"/>
        </w:trPr>
        <w:tc>
          <w:tcPr>
            <w:cnfStyle w:val="001000000000" w:firstRow="0" w:lastRow="0" w:firstColumn="1" w:lastColumn="0" w:oddVBand="0" w:evenVBand="0" w:oddHBand="0" w:evenHBand="0" w:firstRowFirstColumn="0" w:firstRowLastColumn="0" w:lastRowFirstColumn="0" w:lastRowLastColumn="0"/>
            <w:tcW w:w="687" w:type="pct"/>
            <w:vMerge w:val="restart"/>
            <w:hideMark/>
          </w:tcPr>
          <w:p w14:paraId="08F120FC" w14:textId="280DD4E6" w:rsidR="007D0906" w:rsidRPr="0077677B" w:rsidRDefault="007D0906" w:rsidP="007D0906">
            <w:pPr>
              <w:spacing w:before="0" w:after="0"/>
              <w:rPr>
                <w:rFonts w:eastAsia="Times New Roman" w:cstheme="minorHAnsi"/>
                <w:b w:val="0"/>
                <w:bCs/>
                <w:sz w:val="16"/>
                <w:szCs w:val="16"/>
                <w:lang w:eastAsia="en-AU"/>
              </w:rPr>
            </w:pPr>
            <w:r w:rsidRPr="00377AB5">
              <w:rPr>
                <w:bCs/>
                <w:sz w:val="16"/>
                <w:lang w:eastAsia="en-AU"/>
              </w:rPr>
              <w:t>2025-26</w:t>
            </w:r>
          </w:p>
        </w:tc>
        <w:tc>
          <w:tcPr>
            <w:tcW w:w="2302" w:type="pct"/>
            <w:hideMark/>
          </w:tcPr>
          <w:p w14:paraId="258B1573" w14:textId="40E98262" w:rsidR="007D0906" w:rsidRPr="00C316C3" w:rsidRDefault="007D0906" w:rsidP="007D0906">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6"/>
                <w:szCs w:val="16"/>
                <w:lang w:eastAsia="en-AU"/>
              </w:rPr>
            </w:pPr>
            <w:r w:rsidRPr="007857CA">
              <w:rPr>
                <w:b/>
                <w:bCs/>
                <w:sz w:val="16"/>
                <w:lang w:eastAsia="en-AU"/>
              </w:rPr>
              <w:t>Change in expenditure</w:t>
            </w:r>
            <w:r w:rsidRPr="007857CA">
              <w:rPr>
                <w:b/>
                <w:bCs/>
                <w:sz w:val="16"/>
              </w:rPr>
              <w:t xml:space="preserve"> </w:t>
            </w:r>
            <w:r w:rsidRPr="007857CA">
              <w:rPr>
                <w:b/>
                <w:bCs/>
                <w:sz w:val="16"/>
                <w:lang w:eastAsia="en-AU"/>
              </w:rPr>
              <w:t>from predicted</w:t>
            </w:r>
          </w:p>
        </w:tc>
        <w:tc>
          <w:tcPr>
            <w:tcW w:w="2012" w:type="pct"/>
            <w:noWrap/>
            <w:vAlign w:val="center"/>
            <w:hideMark/>
          </w:tcPr>
          <w:p w14:paraId="63C2B591" w14:textId="6EAE39DD" w:rsidR="007D0906" w:rsidRPr="0056204A" w:rsidRDefault="007D0906" w:rsidP="007D0906">
            <w:pPr>
              <w:spacing w:before="0" w:after="0"/>
              <w:cnfStyle w:val="000000000000" w:firstRow="0" w:lastRow="0" w:firstColumn="0" w:lastColumn="0" w:oddVBand="0" w:evenVBand="0" w:oddHBand="0" w:evenHBand="0" w:firstRowFirstColumn="0" w:firstRowLastColumn="0" w:lastRowFirstColumn="0" w:lastRowLastColumn="0"/>
              <w:rPr>
                <w:rFonts w:eastAsia="Times New Roman" w:cstheme="minorHAnsi"/>
                <w:b/>
                <w:color w:val="000000"/>
                <w:sz w:val="16"/>
                <w:szCs w:val="16"/>
                <w:lang w:eastAsia="en-AU"/>
              </w:rPr>
            </w:pPr>
            <w:r w:rsidRPr="00D450F8">
              <w:rPr>
                <w:b/>
                <w:bCs/>
                <w:color w:val="FF0000"/>
                <w:sz w:val="16"/>
                <w:szCs w:val="16"/>
              </w:rPr>
              <w:t>($8,234)</w:t>
            </w:r>
          </w:p>
        </w:tc>
      </w:tr>
      <w:tr w:rsidR="00A40CE8" w:rsidRPr="0077677B" w14:paraId="7E876496" w14:textId="77777777" w:rsidTr="00EB7DB4">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687" w:type="pct"/>
            <w:vMerge/>
            <w:hideMark/>
          </w:tcPr>
          <w:p w14:paraId="3890CA76" w14:textId="77777777" w:rsidR="00A40CE8" w:rsidRPr="0077677B" w:rsidRDefault="00A40CE8" w:rsidP="00A40CE8">
            <w:pPr>
              <w:spacing w:before="0" w:after="0"/>
              <w:rPr>
                <w:rFonts w:eastAsia="Times New Roman" w:cstheme="minorHAnsi"/>
                <w:bCs/>
                <w:color w:val="B4007C"/>
                <w:sz w:val="16"/>
                <w:szCs w:val="16"/>
                <w:lang w:eastAsia="en-AU"/>
              </w:rPr>
            </w:pPr>
          </w:p>
        </w:tc>
        <w:tc>
          <w:tcPr>
            <w:tcW w:w="2302" w:type="pct"/>
            <w:hideMark/>
          </w:tcPr>
          <w:p w14:paraId="25B3D9D9" w14:textId="77777777" w:rsidR="00A40CE8" w:rsidRPr="0077677B" w:rsidRDefault="00A40CE8" w:rsidP="00A40CE8">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bCs/>
                <w:sz w:val="16"/>
                <w:szCs w:val="16"/>
                <w:lang w:eastAsia="en-AU"/>
              </w:rPr>
            </w:pPr>
            <w:r w:rsidRPr="009B0C8F">
              <w:rPr>
                <w:bCs/>
                <w:sz w:val="16"/>
                <w:lang w:eastAsia="en-AU"/>
              </w:rPr>
              <w:t>Percentage change</w:t>
            </w:r>
          </w:p>
        </w:tc>
        <w:tc>
          <w:tcPr>
            <w:tcW w:w="2012" w:type="pct"/>
            <w:noWrap/>
            <w:vAlign w:val="center"/>
            <w:hideMark/>
          </w:tcPr>
          <w:p w14:paraId="7FB93085" w14:textId="2CEED463" w:rsidR="00A40CE8" w:rsidRPr="0056204A" w:rsidRDefault="00A40CE8" w:rsidP="00A40CE8">
            <w:pPr>
              <w:spacing w:before="0"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16"/>
                <w:szCs w:val="16"/>
                <w:lang w:eastAsia="en-AU"/>
              </w:rPr>
            </w:pPr>
            <w:r w:rsidRPr="00D450F8">
              <w:rPr>
                <w:rFonts w:ascii="Poppins" w:hAnsi="Poppins" w:cs="Poppins"/>
                <w:color w:val="000000"/>
                <w:sz w:val="16"/>
                <w:szCs w:val="16"/>
              </w:rPr>
              <w:t>-0.01%</w:t>
            </w:r>
          </w:p>
        </w:tc>
      </w:tr>
      <w:tr w:rsidR="00B65767" w:rsidRPr="0077677B" w14:paraId="762A8B0E" w14:textId="77777777" w:rsidTr="00EB7DB4">
        <w:trPr>
          <w:cnfStyle w:val="010000000000" w:firstRow="0" w:lastRow="1"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687" w:type="pct"/>
            <w:vMerge/>
            <w:hideMark/>
          </w:tcPr>
          <w:p w14:paraId="2B2ABB84" w14:textId="77777777" w:rsidR="00B65767" w:rsidRPr="0077677B" w:rsidRDefault="00B65767" w:rsidP="005C7AC1">
            <w:pPr>
              <w:spacing w:before="0" w:after="0"/>
              <w:rPr>
                <w:rFonts w:eastAsia="Times New Roman" w:cstheme="minorHAnsi"/>
                <w:bCs/>
                <w:color w:val="B4007C"/>
                <w:sz w:val="16"/>
                <w:szCs w:val="16"/>
                <w:lang w:eastAsia="en-AU"/>
              </w:rPr>
            </w:pPr>
          </w:p>
        </w:tc>
        <w:tc>
          <w:tcPr>
            <w:tcW w:w="2302" w:type="pct"/>
            <w:shd w:val="clear" w:color="auto" w:fill="FBC6D0" w:themeFill="accent2" w:themeFillTint="33"/>
            <w:hideMark/>
          </w:tcPr>
          <w:p w14:paraId="21687585" w14:textId="77777777" w:rsidR="00B65767" w:rsidRPr="0077677B" w:rsidRDefault="00B65767" w:rsidP="005C7AC1">
            <w:pPr>
              <w:spacing w:before="0" w:after="0"/>
              <w:cnfStyle w:val="010000000000" w:firstRow="0" w:lastRow="1" w:firstColumn="0" w:lastColumn="0" w:oddVBand="0" w:evenVBand="0" w:oddHBand="0" w:evenHBand="0" w:firstRowFirstColumn="0" w:firstRowLastColumn="0" w:lastRowFirstColumn="0" w:lastRowLastColumn="0"/>
              <w:rPr>
                <w:rFonts w:eastAsia="Times New Roman" w:cstheme="minorHAnsi"/>
                <w:i/>
                <w:color w:val="auto"/>
                <w:sz w:val="16"/>
                <w:szCs w:val="16"/>
                <w:lang w:eastAsia="en-AU"/>
              </w:rPr>
            </w:pPr>
            <w:r w:rsidRPr="009B0C8F">
              <w:rPr>
                <w:i/>
                <w:sz w:val="16"/>
                <w:lang w:eastAsia="en-AU"/>
              </w:rPr>
              <w:t>Number of ostomates impacted (based on current ostomate #)</w:t>
            </w:r>
          </w:p>
        </w:tc>
        <w:tc>
          <w:tcPr>
            <w:tcW w:w="2012" w:type="pct"/>
            <w:shd w:val="clear" w:color="auto" w:fill="FBC6D0" w:themeFill="accent2" w:themeFillTint="33"/>
            <w:noWrap/>
            <w:hideMark/>
          </w:tcPr>
          <w:p w14:paraId="3F713C7E" w14:textId="560EB993" w:rsidR="00B65767" w:rsidRPr="0077677B" w:rsidRDefault="00B65767" w:rsidP="005C7AC1">
            <w:pPr>
              <w:spacing w:before="0" w:after="0"/>
              <w:cnfStyle w:val="010000000000" w:firstRow="0" w:lastRow="1" w:firstColumn="0" w:lastColumn="0" w:oddVBand="0" w:evenVBand="0" w:oddHBand="0" w:evenHBand="0" w:firstRowFirstColumn="0" w:firstRowLastColumn="0" w:lastRowFirstColumn="0" w:lastRowLastColumn="0"/>
              <w:rPr>
                <w:rFonts w:eastAsia="Times New Roman" w:cstheme="minorHAnsi"/>
                <w:i/>
                <w:iCs/>
                <w:color w:val="000000"/>
                <w:sz w:val="16"/>
                <w:szCs w:val="16"/>
                <w:lang w:eastAsia="en-AU"/>
              </w:rPr>
            </w:pPr>
            <w:r w:rsidRPr="009B0C8F">
              <w:rPr>
                <w:i/>
                <w:iCs/>
                <w:color w:val="000000"/>
                <w:sz w:val="16"/>
              </w:rPr>
              <w:t>4</w:t>
            </w:r>
            <w:r w:rsidR="0056204A">
              <w:rPr>
                <w:i/>
                <w:iCs/>
                <w:color w:val="000000"/>
                <w:sz w:val="16"/>
              </w:rPr>
              <w:t>5</w:t>
            </w:r>
          </w:p>
        </w:tc>
      </w:tr>
    </w:tbl>
    <w:p w14:paraId="1321F71E" w14:textId="2B6F30D3" w:rsidR="007C3763" w:rsidRDefault="00515937" w:rsidP="00D70686">
      <w:pPr>
        <w:pStyle w:val="BodyText"/>
      </w:pPr>
      <w:r w:rsidRPr="00515937">
        <w:rPr>
          <w:noProof/>
        </w:rPr>
        <w:t xml:space="preserve"> </w:t>
      </w:r>
      <w:r>
        <w:rPr>
          <w:noProof/>
        </w:rPr>
        <w:drawing>
          <wp:inline distT="0" distB="0" distL="0" distR="0" wp14:anchorId="2E49675C" wp14:editId="1193512A">
            <wp:extent cx="4120785" cy="2493818"/>
            <wp:effectExtent l="0" t="0" r="0" b="1905"/>
            <wp:docPr id="1007832399" name="Picture 9" descr="Figure 23: Expenditure related to low-utilisation products if removed from the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32399" name="Picture 9" descr="Figure 23: Expenditure related to low-utilisation products if removed from the Scheme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28651" cy="2498578"/>
                    </a:xfrm>
                    <a:prstGeom prst="rect">
                      <a:avLst/>
                    </a:prstGeom>
                    <a:noFill/>
                  </pic:spPr>
                </pic:pic>
              </a:graphicData>
            </a:graphic>
          </wp:inline>
        </w:drawing>
      </w:r>
      <w:r w:rsidR="007C3763">
        <w:br w:type="page"/>
      </w:r>
    </w:p>
    <w:p w14:paraId="1911F2FF" w14:textId="634176EF" w:rsidR="00B65767" w:rsidRDefault="00B65767" w:rsidP="006261FB">
      <w:pPr>
        <w:pStyle w:val="AltHeading3"/>
      </w:pPr>
      <w:r>
        <w:lastRenderedPageBreak/>
        <w:t xml:space="preserve">Scenario Seven: Decrease in </w:t>
      </w:r>
      <w:r w:rsidR="00C229AF">
        <w:t xml:space="preserve">maximum </w:t>
      </w:r>
      <w:r>
        <w:t xml:space="preserve">quantity of closed bag </w:t>
      </w:r>
      <w:proofErr w:type="gramStart"/>
      <w:r>
        <w:t>systems</w:t>
      </w:r>
      <w:proofErr w:type="gramEnd"/>
    </w:p>
    <w:p w14:paraId="60A3E3D9" w14:textId="225036BF" w:rsidR="00B65767" w:rsidRPr="0033520C" w:rsidRDefault="00B65767" w:rsidP="00B65767">
      <w:pPr>
        <w:pStyle w:val="BodyText"/>
      </w:pPr>
      <w:r>
        <w:t>According to stakeholders, closed bag system allocation could be reduced on the Scheme. A 50% decrease in maximum annual quantity of closed bag systems (</w:t>
      </w:r>
      <w:r w:rsidR="00C229AF">
        <w:t xml:space="preserve">all </w:t>
      </w:r>
      <w:r>
        <w:t xml:space="preserve">product </w:t>
      </w:r>
      <w:r w:rsidR="00C229AF">
        <w:t>codes in</w:t>
      </w:r>
      <w:r>
        <w:t xml:space="preserve"> groups 1 and 5) was tested.</w:t>
      </w:r>
    </w:p>
    <w:p w14:paraId="0A68D30D" w14:textId="3EB4B40B" w:rsidR="00B65767" w:rsidRDefault="00B65767" w:rsidP="00B65767">
      <w:pPr>
        <w:pStyle w:val="BodyText"/>
      </w:pPr>
      <w:r w:rsidRPr="008203B9">
        <w:t xml:space="preserve">It was found that </w:t>
      </w:r>
      <w:r>
        <w:t>a 50% decrease in maximum quantity of closed bag systems in</w:t>
      </w:r>
      <w:r w:rsidRPr="008203B9">
        <w:t xml:space="preserve"> FY2</w:t>
      </w:r>
      <w:r w:rsidR="009C63A6">
        <w:t>5</w:t>
      </w:r>
      <w:r w:rsidRPr="008203B9">
        <w:t>-2</w:t>
      </w:r>
      <w:r w:rsidR="009C63A6">
        <w:t>6</w:t>
      </w:r>
      <w:r w:rsidRPr="008203B9">
        <w:t xml:space="preserve"> (</w:t>
      </w:r>
      <w:r>
        <w:t xml:space="preserve">total expenditure </w:t>
      </w:r>
      <w:r w:rsidR="009C63A6" w:rsidRPr="009C63A6">
        <w:t>$126,792,538</w:t>
      </w:r>
      <w:r w:rsidRPr="008203B9">
        <w:t>)</w:t>
      </w:r>
      <w:r>
        <w:t>, would result in a cost</w:t>
      </w:r>
      <w:r w:rsidR="003601DD">
        <w:t>-</w:t>
      </w:r>
      <w:r>
        <w:t xml:space="preserve">saving of </w:t>
      </w:r>
      <w:r w:rsidR="009C63A6" w:rsidRPr="009C63A6">
        <w:rPr>
          <w:b/>
          <w:bCs/>
        </w:rPr>
        <w:t>$13,057,223</w:t>
      </w:r>
      <w:r w:rsidR="009C63A6" w:rsidRPr="009C63A6" w:rsidDel="009C63A6">
        <w:rPr>
          <w:b/>
          <w:bCs/>
        </w:rPr>
        <w:t xml:space="preserve"> </w:t>
      </w:r>
      <w:r>
        <w:t>(a</w:t>
      </w:r>
      <w:r w:rsidRPr="00957211">
        <w:rPr>
          <w:b/>
          <w:bCs/>
        </w:rPr>
        <w:t xml:space="preserve"> </w:t>
      </w:r>
      <w:r w:rsidR="009C63A6">
        <w:rPr>
          <w:b/>
          <w:bCs/>
        </w:rPr>
        <w:t>10.3</w:t>
      </w:r>
      <w:r w:rsidRPr="00957211">
        <w:rPr>
          <w:b/>
          <w:bCs/>
        </w:rPr>
        <w:t xml:space="preserve">% </w:t>
      </w:r>
      <w:r>
        <w:rPr>
          <w:b/>
          <w:bCs/>
        </w:rPr>
        <w:t>decrease</w:t>
      </w:r>
      <w:r w:rsidRPr="00957211">
        <w:rPr>
          <w:b/>
          <w:bCs/>
        </w:rPr>
        <w:t xml:space="preserve"> </w:t>
      </w:r>
      <w:r>
        <w:rPr>
          <w:b/>
          <w:bCs/>
        </w:rPr>
        <w:t>in expenditure for the Scheme)</w:t>
      </w:r>
      <w:r>
        <w:t xml:space="preserve">. </w:t>
      </w:r>
      <w:r w:rsidR="007E6AAA">
        <w:fldChar w:fldCharType="begin"/>
      </w:r>
      <w:r w:rsidR="007E6AAA">
        <w:instrText xml:space="preserve"> REF _Ref157610812 \h </w:instrText>
      </w:r>
      <w:r w:rsidR="007E6AAA">
        <w:fldChar w:fldCharType="separate"/>
      </w:r>
      <w:r w:rsidR="00FE1418">
        <w:t xml:space="preserve">Figure </w:t>
      </w:r>
      <w:r w:rsidR="00FE1418">
        <w:rPr>
          <w:noProof/>
        </w:rPr>
        <w:t>24</w:t>
      </w:r>
      <w:r w:rsidR="007E6AAA">
        <w:fldChar w:fldCharType="end"/>
      </w:r>
      <w:r w:rsidR="007E6AAA">
        <w:t xml:space="preserve"> </w:t>
      </w:r>
      <w:r>
        <w:t xml:space="preserve">provides three years of </w:t>
      </w:r>
      <w:r w:rsidR="009C63A6">
        <w:t xml:space="preserve">predicted </w:t>
      </w:r>
      <w:r>
        <w:t xml:space="preserve">expenditure related to this scenario and highlights the change would </w:t>
      </w:r>
      <w:r w:rsidRPr="00B4661D">
        <w:t xml:space="preserve">affect </w:t>
      </w:r>
      <w:r w:rsidR="009C63A6">
        <w:t xml:space="preserve">approximately </w:t>
      </w:r>
      <w:r>
        <w:t>7,202</w:t>
      </w:r>
      <w:r w:rsidRPr="00B4661D">
        <w:t xml:space="preserve"> ostomates</w:t>
      </w:r>
      <w:r>
        <w:t xml:space="preserve"> if restricted on the Scheme.</w:t>
      </w:r>
    </w:p>
    <w:p w14:paraId="72755DAE" w14:textId="7BF1A34F" w:rsidR="00B65767" w:rsidRDefault="00B65767" w:rsidP="00B65767">
      <w:pPr>
        <w:pStyle w:val="Caption"/>
      </w:pPr>
      <w:bookmarkStart w:id="139" w:name="_Ref157610812"/>
      <w:bookmarkStart w:id="140" w:name="_Toc161743148"/>
      <w:r>
        <w:t xml:space="preserve">Figure </w:t>
      </w:r>
      <w:r>
        <w:fldChar w:fldCharType="begin"/>
      </w:r>
      <w:r>
        <w:instrText xml:space="preserve"> SEQ Figure \* ARABIC </w:instrText>
      </w:r>
      <w:r>
        <w:fldChar w:fldCharType="separate"/>
      </w:r>
      <w:r w:rsidR="00FE1418">
        <w:rPr>
          <w:noProof/>
        </w:rPr>
        <w:t>24</w:t>
      </w:r>
      <w:r>
        <w:rPr>
          <w:noProof/>
        </w:rPr>
        <w:fldChar w:fldCharType="end"/>
      </w:r>
      <w:bookmarkEnd w:id="139"/>
      <w:r>
        <w:t xml:space="preserve">: </w:t>
      </w:r>
      <w:r w:rsidRPr="00192B1B">
        <w:t xml:space="preserve">Expenditure related </w:t>
      </w:r>
      <w:r>
        <w:t>to closed bag systems</w:t>
      </w:r>
      <w:r w:rsidRPr="00192B1B">
        <w:t xml:space="preserve"> if </w:t>
      </w:r>
      <w:r>
        <w:t>maximum quantity was decreased 50%</w:t>
      </w:r>
      <w:r w:rsidRPr="00192B1B">
        <w:t xml:space="preserve"> </w:t>
      </w:r>
      <w:r>
        <w:t>on</w:t>
      </w:r>
      <w:r w:rsidRPr="00192B1B">
        <w:t xml:space="preserve"> the </w:t>
      </w:r>
      <w:proofErr w:type="gramStart"/>
      <w:r w:rsidRPr="00192B1B">
        <w:t>Scheme</w:t>
      </w:r>
      <w:bookmarkEnd w:id="140"/>
      <w:proofErr w:type="gramEnd"/>
    </w:p>
    <w:tbl>
      <w:tblPr>
        <w:tblStyle w:val="TableHealthConsultPurple"/>
        <w:tblpPr w:leftFromText="180" w:rightFromText="180" w:vertAnchor="text" w:horzAnchor="margin" w:tblpXSpec="right" w:tblpY="146"/>
        <w:tblW w:w="2530" w:type="pct"/>
        <w:tblLayout w:type="fixed"/>
        <w:tblLook w:val="04E0" w:firstRow="1" w:lastRow="1" w:firstColumn="1" w:lastColumn="0" w:noHBand="0" w:noVBand="1"/>
      </w:tblPr>
      <w:tblGrid>
        <w:gridCol w:w="992"/>
        <w:gridCol w:w="3261"/>
        <w:gridCol w:w="62"/>
        <w:gridCol w:w="2986"/>
        <w:gridCol w:w="71"/>
      </w:tblGrid>
      <w:tr w:rsidR="00B65767" w:rsidRPr="00771E0B" w14:paraId="116B41F3" w14:textId="77777777" w:rsidTr="005C7AC1">
        <w:trPr>
          <w:cnfStyle w:val="100000000000" w:firstRow="1" w:lastRow="0" w:firstColumn="0" w:lastColumn="0" w:oddVBand="0" w:evenVBand="0" w:oddHBand="0" w:evenHBand="0" w:firstRowFirstColumn="0" w:firstRowLastColumn="0" w:lastRowFirstColumn="0" w:lastRowLastColumn="0"/>
          <w:trHeight w:val="443"/>
        </w:trPr>
        <w:tc>
          <w:tcPr>
            <w:cnfStyle w:val="001000000100" w:firstRow="0" w:lastRow="0" w:firstColumn="1" w:lastColumn="0" w:oddVBand="0" w:evenVBand="0" w:oddHBand="0" w:evenHBand="0" w:firstRowFirstColumn="1" w:firstRowLastColumn="0" w:lastRowFirstColumn="0" w:lastRowLastColumn="0"/>
            <w:tcW w:w="2885" w:type="pct"/>
            <w:gridSpan w:val="2"/>
            <w:noWrap/>
            <w:hideMark/>
          </w:tcPr>
          <w:p w14:paraId="1B97D2C0" w14:textId="77777777" w:rsidR="00B65767" w:rsidRPr="00771E0B" w:rsidRDefault="00B65767" w:rsidP="005C7AC1">
            <w:pPr>
              <w:pStyle w:val="BodyText"/>
              <w:jc w:val="center"/>
              <w:rPr>
                <w:sz w:val="16"/>
                <w:szCs w:val="16"/>
                <w:lang w:eastAsia="en-AU"/>
              </w:rPr>
            </w:pPr>
            <w:r w:rsidRPr="00771E0B">
              <w:rPr>
                <w:sz w:val="16"/>
                <w:szCs w:val="16"/>
                <w:lang w:eastAsia="en-AU"/>
              </w:rPr>
              <w:t>Scenario</w:t>
            </w:r>
            <w:r>
              <w:rPr>
                <w:sz w:val="16"/>
                <w:szCs w:val="16"/>
                <w:lang w:eastAsia="en-AU"/>
              </w:rPr>
              <w:t>:</w:t>
            </w:r>
          </w:p>
        </w:tc>
        <w:tc>
          <w:tcPr>
            <w:tcW w:w="2115" w:type="pct"/>
            <w:gridSpan w:val="3"/>
            <w:noWrap/>
            <w:hideMark/>
          </w:tcPr>
          <w:p w14:paraId="2A7CD104" w14:textId="77777777" w:rsidR="00B65767" w:rsidRPr="00771E0B" w:rsidRDefault="00B65767" w:rsidP="005C7AC1">
            <w:pPr>
              <w:pStyle w:val="BodyText"/>
              <w:cnfStyle w:val="100000000000" w:firstRow="1" w:lastRow="0" w:firstColumn="0" w:lastColumn="0" w:oddVBand="0" w:evenVBand="0" w:oddHBand="0" w:evenHBand="0" w:firstRowFirstColumn="0" w:firstRowLastColumn="0" w:lastRowFirstColumn="0" w:lastRowLastColumn="0"/>
              <w:rPr>
                <w:bCs/>
                <w:sz w:val="16"/>
                <w:szCs w:val="16"/>
                <w:lang w:eastAsia="en-AU"/>
              </w:rPr>
            </w:pPr>
            <w:r w:rsidRPr="00771E0B">
              <w:rPr>
                <w:bCs/>
                <w:sz w:val="16"/>
                <w:szCs w:val="16"/>
                <w:lang w:eastAsia="en-AU"/>
              </w:rPr>
              <w:t>50% decrease in annual quantity of closed bag systems</w:t>
            </w:r>
          </w:p>
        </w:tc>
      </w:tr>
      <w:tr w:rsidR="007042C6" w:rsidRPr="00771E0B" w14:paraId="4727607C" w14:textId="77777777" w:rsidTr="005C7AC1">
        <w:trPr>
          <w:gridAfter w:val="1"/>
          <w:wAfter w:w="48" w:type="pct"/>
          <w:trHeight w:val="355"/>
        </w:trPr>
        <w:tc>
          <w:tcPr>
            <w:cnfStyle w:val="001000000000" w:firstRow="0" w:lastRow="0" w:firstColumn="1" w:lastColumn="0" w:oddVBand="0" w:evenVBand="0" w:oddHBand="0" w:evenHBand="0" w:firstRowFirstColumn="0" w:firstRowLastColumn="0" w:lastRowFirstColumn="0" w:lastRowLastColumn="0"/>
            <w:tcW w:w="673" w:type="pct"/>
            <w:vMerge w:val="restart"/>
            <w:tcBorders>
              <w:top w:val="nil"/>
              <w:bottom w:val="nil"/>
            </w:tcBorders>
            <w:hideMark/>
          </w:tcPr>
          <w:p w14:paraId="5ACDC34B" w14:textId="4B683A90" w:rsidR="007042C6" w:rsidRPr="00771E0B" w:rsidRDefault="007042C6" w:rsidP="007042C6">
            <w:pPr>
              <w:pStyle w:val="BodyText"/>
              <w:rPr>
                <w:b w:val="0"/>
                <w:bCs/>
                <w:sz w:val="16"/>
                <w:szCs w:val="16"/>
                <w:lang w:eastAsia="en-AU"/>
              </w:rPr>
            </w:pPr>
            <w:r w:rsidRPr="00377AB5">
              <w:rPr>
                <w:bCs/>
                <w:sz w:val="16"/>
                <w:szCs w:val="20"/>
                <w:lang w:eastAsia="en-AU"/>
              </w:rPr>
              <w:t>2023-24</w:t>
            </w:r>
          </w:p>
        </w:tc>
        <w:tc>
          <w:tcPr>
            <w:tcW w:w="2254" w:type="pct"/>
            <w:gridSpan w:val="2"/>
            <w:hideMark/>
          </w:tcPr>
          <w:p w14:paraId="22CA010B" w14:textId="7EAD76D3" w:rsidR="007042C6" w:rsidRPr="00B91542" w:rsidRDefault="007042C6" w:rsidP="007042C6">
            <w:pPr>
              <w:pStyle w:val="BodyText"/>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7857CA">
              <w:rPr>
                <w:b/>
                <w:bCs/>
                <w:sz w:val="16"/>
                <w:szCs w:val="20"/>
                <w:lang w:eastAsia="en-AU"/>
              </w:rPr>
              <w:t>Change in expenditure from predicted</w:t>
            </w:r>
          </w:p>
        </w:tc>
        <w:tc>
          <w:tcPr>
            <w:tcW w:w="2025" w:type="pct"/>
            <w:noWrap/>
            <w:hideMark/>
          </w:tcPr>
          <w:p w14:paraId="3A96D2F2" w14:textId="3734AE4B" w:rsidR="007042C6" w:rsidRPr="00B91542" w:rsidRDefault="007042C6" w:rsidP="007042C6">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EB7DB4">
              <w:rPr>
                <w:b/>
                <w:bCs/>
                <w:color w:val="FF0000"/>
                <w:sz w:val="16"/>
                <w:szCs w:val="16"/>
              </w:rPr>
              <w:t>($9,060,627)</w:t>
            </w:r>
          </w:p>
        </w:tc>
      </w:tr>
      <w:tr w:rsidR="007042C6" w:rsidRPr="00771E0B" w14:paraId="7FED0F78" w14:textId="77777777" w:rsidTr="005C7AC1">
        <w:trPr>
          <w:gridAfter w:val="1"/>
          <w:cnfStyle w:val="000000010000" w:firstRow="0" w:lastRow="0" w:firstColumn="0" w:lastColumn="0" w:oddVBand="0" w:evenVBand="0" w:oddHBand="0" w:evenHBand="1" w:firstRowFirstColumn="0" w:firstRowLastColumn="0" w:lastRowFirstColumn="0" w:lastRowLastColumn="0"/>
          <w:wAfter w:w="48" w:type="pct"/>
          <w:trHeight w:val="355"/>
        </w:trPr>
        <w:tc>
          <w:tcPr>
            <w:cnfStyle w:val="001000000000" w:firstRow="0" w:lastRow="0" w:firstColumn="1" w:lastColumn="0" w:oddVBand="0" w:evenVBand="0" w:oddHBand="0" w:evenHBand="0" w:firstRowFirstColumn="0" w:firstRowLastColumn="0" w:lastRowFirstColumn="0" w:lastRowLastColumn="0"/>
            <w:tcW w:w="673" w:type="pct"/>
            <w:vMerge/>
            <w:tcBorders>
              <w:top w:val="nil"/>
              <w:bottom w:val="nil"/>
            </w:tcBorders>
            <w:hideMark/>
          </w:tcPr>
          <w:p w14:paraId="4CAD5554" w14:textId="77777777" w:rsidR="007042C6" w:rsidRPr="00771E0B" w:rsidRDefault="007042C6" w:rsidP="007042C6">
            <w:pPr>
              <w:pStyle w:val="BodyText"/>
              <w:rPr>
                <w:bCs/>
                <w:sz w:val="16"/>
                <w:szCs w:val="16"/>
                <w:lang w:eastAsia="en-AU"/>
              </w:rPr>
            </w:pPr>
          </w:p>
        </w:tc>
        <w:tc>
          <w:tcPr>
            <w:tcW w:w="2254" w:type="pct"/>
            <w:gridSpan w:val="2"/>
            <w:hideMark/>
          </w:tcPr>
          <w:p w14:paraId="30AF6104" w14:textId="629F5D31" w:rsidR="007042C6" w:rsidRPr="00771E0B" w:rsidRDefault="007042C6" w:rsidP="007042C6">
            <w:pPr>
              <w:pStyle w:val="BodyText"/>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377AB5">
              <w:rPr>
                <w:bCs/>
                <w:sz w:val="16"/>
                <w:szCs w:val="20"/>
                <w:lang w:eastAsia="en-AU"/>
              </w:rPr>
              <w:t xml:space="preserve">Percentage change </w:t>
            </w:r>
          </w:p>
        </w:tc>
        <w:tc>
          <w:tcPr>
            <w:tcW w:w="2025" w:type="pct"/>
            <w:noWrap/>
            <w:hideMark/>
          </w:tcPr>
          <w:p w14:paraId="5329A6B3" w14:textId="7B0F31E2" w:rsidR="007042C6" w:rsidRPr="007042C6" w:rsidRDefault="007042C6" w:rsidP="007042C6">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sidRPr="00EB7DB4">
              <w:rPr>
                <w:sz w:val="16"/>
                <w:szCs w:val="16"/>
              </w:rPr>
              <w:t>-7.85%</w:t>
            </w:r>
          </w:p>
        </w:tc>
      </w:tr>
      <w:tr w:rsidR="007042C6" w:rsidRPr="00771E0B" w14:paraId="118A344F" w14:textId="77777777" w:rsidTr="005C7AC1">
        <w:trPr>
          <w:gridAfter w:val="1"/>
          <w:wAfter w:w="48" w:type="pct"/>
          <w:trHeight w:val="498"/>
        </w:trPr>
        <w:tc>
          <w:tcPr>
            <w:cnfStyle w:val="001000000000" w:firstRow="0" w:lastRow="0" w:firstColumn="1" w:lastColumn="0" w:oddVBand="0" w:evenVBand="0" w:oddHBand="0" w:evenHBand="0" w:firstRowFirstColumn="0" w:firstRowLastColumn="0" w:lastRowFirstColumn="0" w:lastRowLastColumn="0"/>
            <w:tcW w:w="673" w:type="pct"/>
            <w:vMerge w:val="restart"/>
            <w:tcBorders>
              <w:top w:val="nil"/>
              <w:bottom w:val="nil"/>
            </w:tcBorders>
            <w:hideMark/>
          </w:tcPr>
          <w:p w14:paraId="447764C1" w14:textId="76F2F4C2" w:rsidR="007042C6" w:rsidRPr="00771E0B" w:rsidRDefault="007042C6" w:rsidP="007042C6">
            <w:pPr>
              <w:pStyle w:val="BodyText"/>
              <w:rPr>
                <w:b w:val="0"/>
                <w:bCs/>
                <w:sz w:val="16"/>
                <w:szCs w:val="16"/>
                <w:lang w:eastAsia="en-AU"/>
              </w:rPr>
            </w:pPr>
            <w:r w:rsidRPr="00377AB5">
              <w:rPr>
                <w:bCs/>
                <w:sz w:val="16"/>
                <w:szCs w:val="20"/>
                <w:lang w:eastAsia="en-AU"/>
              </w:rPr>
              <w:t>2024-25</w:t>
            </w:r>
          </w:p>
        </w:tc>
        <w:tc>
          <w:tcPr>
            <w:tcW w:w="2254" w:type="pct"/>
            <w:gridSpan w:val="2"/>
            <w:hideMark/>
          </w:tcPr>
          <w:p w14:paraId="33612B30" w14:textId="5CCF53CB" w:rsidR="007042C6" w:rsidRPr="00B91542" w:rsidRDefault="007042C6" w:rsidP="007042C6">
            <w:pPr>
              <w:pStyle w:val="BodyText"/>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7857CA">
              <w:rPr>
                <w:b/>
                <w:bCs/>
                <w:sz w:val="16"/>
                <w:szCs w:val="20"/>
                <w:lang w:eastAsia="en-AU"/>
              </w:rPr>
              <w:t>Change in expenditure</w:t>
            </w:r>
            <w:r w:rsidRPr="007857CA">
              <w:rPr>
                <w:b/>
                <w:bCs/>
                <w:sz w:val="16"/>
                <w:szCs w:val="20"/>
              </w:rPr>
              <w:t xml:space="preserve"> </w:t>
            </w:r>
            <w:r w:rsidRPr="007857CA">
              <w:rPr>
                <w:b/>
                <w:bCs/>
                <w:sz w:val="16"/>
                <w:szCs w:val="20"/>
                <w:lang w:eastAsia="en-AU"/>
              </w:rPr>
              <w:t>from predicted</w:t>
            </w:r>
          </w:p>
        </w:tc>
        <w:tc>
          <w:tcPr>
            <w:tcW w:w="2025" w:type="pct"/>
            <w:noWrap/>
            <w:hideMark/>
          </w:tcPr>
          <w:p w14:paraId="31C29992" w14:textId="10F9A59D" w:rsidR="007042C6" w:rsidRPr="007042C6" w:rsidRDefault="007042C6" w:rsidP="007042C6">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EB7DB4">
              <w:rPr>
                <w:b/>
                <w:bCs/>
                <w:color w:val="FF0000"/>
                <w:sz w:val="16"/>
                <w:szCs w:val="16"/>
              </w:rPr>
              <w:t>($11,109,633)</w:t>
            </w:r>
          </w:p>
        </w:tc>
      </w:tr>
      <w:tr w:rsidR="007042C6" w:rsidRPr="00771E0B" w14:paraId="15D05479" w14:textId="77777777" w:rsidTr="005C7AC1">
        <w:trPr>
          <w:gridAfter w:val="1"/>
          <w:cnfStyle w:val="000000010000" w:firstRow="0" w:lastRow="0" w:firstColumn="0" w:lastColumn="0" w:oddVBand="0" w:evenVBand="0" w:oddHBand="0" w:evenHBand="1" w:firstRowFirstColumn="0" w:firstRowLastColumn="0" w:lastRowFirstColumn="0" w:lastRowLastColumn="0"/>
          <w:wAfter w:w="48" w:type="pct"/>
          <w:trHeight w:val="355"/>
        </w:trPr>
        <w:tc>
          <w:tcPr>
            <w:cnfStyle w:val="001000000000" w:firstRow="0" w:lastRow="0" w:firstColumn="1" w:lastColumn="0" w:oddVBand="0" w:evenVBand="0" w:oddHBand="0" w:evenHBand="0" w:firstRowFirstColumn="0" w:firstRowLastColumn="0" w:lastRowFirstColumn="0" w:lastRowLastColumn="0"/>
            <w:tcW w:w="673" w:type="pct"/>
            <w:vMerge/>
            <w:tcBorders>
              <w:top w:val="nil"/>
              <w:bottom w:val="nil"/>
            </w:tcBorders>
            <w:hideMark/>
          </w:tcPr>
          <w:p w14:paraId="7E056C00" w14:textId="77777777" w:rsidR="007042C6" w:rsidRPr="00771E0B" w:rsidRDefault="007042C6" w:rsidP="007042C6">
            <w:pPr>
              <w:pStyle w:val="BodyText"/>
              <w:rPr>
                <w:bCs/>
                <w:sz w:val="16"/>
                <w:szCs w:val="16"/>
                <w:lang w:eastAsia="en-AU"/>
              </w:rPr>
            </w:pPr>
          </w:p>
        </w:tc>
        <w:tc>
          <w:tcPr>
            <w:tcW w:w="2254" w:type="pct"/>
            <w:gridSpan w:val="2"/>
            <w:hideMark/>
          </w:tcPr>
          <w:p w14:paraId="310D29C5" w14:textId="76A9582E" w:rsidR="007042C6" w:rsidRPr="00771E0B" w:rsidRDefault="007042C6" w:rsidP="007042C6">
            <w:pPr>
              <w:pStyle w:val="BodyText"/>
              <w:cnfStyle w:val="000000010000" w:firstRow="0" w:lastRow="0" w:firstColumn="0" w:lastColumn="0" w:oddVBand="0" w:evenVBand="0" w:oddHBand="0" w:evenHBand="1" w:firstRowFirstColumn="0" w:firstRowLastColumn="0" w:lastRowFirstColumn="0" w:lastRowLastColumn="0"/>
              <w:rPr>
                <w:sz w:val="16"/>
                <w:szCs w:val="16"/>
                <w:lang w:eastAsia="en-AU"/>
              </w:rPr>
            </w:pPr>
            <w:r w:rsidRPr="00377AB5">
              <w:rPr>
                <w:bCs/>
                <w:sz w:val="16"/>
                <w:szCs w:val="20"/>
                <w:lang w:eastAsia="en-AU"/>
              </w:rPr>
              <w:t xml:space="preserve">Percentage change </w:t>
            </w:r>
          </w:p>
        </w:tc>
        <w:tc>
          <w:tcPr>
            <w:tcW w:w="2025" w:type="pct"/>
            <w:noWrap/>
            <w:hideMark/>
          </w:tcPr>
          <w:p w14:paraId="61084873" w14:textId="54532AE9" w:rsidR="007042C6" w:rsidRPr="007042C6" w:rsidRDefault="007042C6" w:rsidP="007042C6">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sidRPr="00EB7DB4">
              <w:rPr>
                <w:sz w:val="16"/>
                <w:szCs w:val="16"/>
              </w:rPr>
              <w:t>-9.18%</w:t>
            </w:r>
          </w:p>
        </w:tc>
      </w:tr>
      <w:tr w:rsidR="007042C6" w:rsidRPr="00771E0B" w14:paraId="708785F9" w14:textId="77777777" w:rsidTr="005C7AC1">
        <w:trPr>
          <w:gridAfter w:val="1"/>
          <w:wAfter w:w="48" w:type="pct"/>
          <w:trHeight w:val="355"/>
        </w:trPr>
        <w:tc>
          <w:tcPr>
            <w:cnfStyle w:val="001000000000" w:firstRow="0" w:lastRow="0" w:firstColumn="1" w:lastColumn="0" w:oddVBand="0" w:evenVBand="0" w:oddHBand="0" w:evenHBand="0" w:firstRowFirstColumn="0" w:firstRowLastColumn="0" w:lastRowFirstColumn="0" w:lastRowLastColumn="0"/>
            <w:tcW w:w="673" w:type="pct"/>
            <w:vMerge w:val="restart"/>
            <w:tcBorders>
              <w:top w:val="nil"/>
            </w:tcBorders>
            <w:hideMark/>
          </w:tcPr>
          <w:p w14:paraId="7445609F" w14:textId="0C7B171A" w:rsidR="007042C6" w:rsidRPr="00C316C3" w:rsidRDefault="007042C6" w:rsidP="007042C6">
            <w:pPr>
              <w:pStyle w:val="BodyText"/>
              <w:rPr>
                <w:bCs/>
                <w:sz w:val="16"/>
                <w:szCs w:val="16"/>
                <w:lang w:eastAsia="en-AU"/>
              </w:rPr>
            </w:pPr>
            <w:r w:rsidRPr="00377AB5">
              <w:rPr>
                <w:bCs/>
                <w:sz w:val="16"/>
                <w:szCs w:val="20"/>
                <w:lang w:eastAsia="en-AU"/>
              </w:rPr>
              <w:t>2025-26</w:t>
            </w:r>
          </w:p>
        </w:tc>
        <w:tc>
          <w:tcPr>
            <w:tcW w:w="2254" w:type="pct"/>
            <w:gridSpan w:val="2"/>
            <w:hideMark/>
          </w:tcPr>
          <w:p w14:paraId="2498BC95" w14:textId="1EC7722F" w:rsidR="007042C6" w:rsidRPr="00B91542" w:rsidRDefault="007042C6" w:rsidP="007042C6">
            <w:pPr>
              <w:pStyle w:val="BodyText"/>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7857CA">
              <w:rPr>
                <w:b/>
                <w:bCs/>
                <w:sz w:val="16"/>
                <w:szCs w:val="20"/>
                <w:lang w:eastAsia="en-AU"/>
              </w:rPr>
              <w:t>Change in expenditure</w:t>
            </w:r>
            <w:r w:rsidRPr="007857CA">
              <w:rPr>
                <w:b/>
                <w:bCs/>
                <w:sz w:val="16"/>
                <w:szCs w:val="20"/>
              </w:rPr>
              <w:t xml:space="preserve"> </w:t>
            </w:r>
            <w:r w:rsidRPr="007857CA">
              <w:rPr>
                <w:b/>
                <w:bCs/>
                <w:sz w:val="16"/>
                <w:szCs w:val="20"/>
                <w:lang w:eastAsia="en-AU"/>
              </w:rPr>
              <w:t>from predicted</w:t>
            </w:r>
          </w:p>
        </w:tc>
        <w:tc>
          <w:tcPr>
            <w:tcW w:w="2025" w:type="pct"/>
            <w:noWrap/>
            <w:hideMark/>
          </w:tcPr>
          <w:p w14:paraId="12876DAF" w14:textId="15A2134D" w:rsidR="007042C6" w:rsidRPr="007042C6" w:rsidRDefault="007042C6" w:rsidP="007042C6">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EB7DB4">
              <w:rPr>
                <w:b/>
                <w:bCs/>
                <w:color w:val="FF0000"/>
                <w:sz w:val="16"/>
                <w:szCs w:val="16"/>
              </w:rPr>
              <w:t>($13,057,223)</w:t>
            </w:r>
          </w:p>
        </w:tc>
      </w:tr>
      <w:tr w:rsidR="007042C6" w:rsidRPr="00771E0B" w14:paraId="6DAD8CD5" w14:textId="77777777" w:rsidTr="005C7AC1">
        <w:trPr>
          <w:gridAfter w:val="1"/>
          <w:cnfStyle w:val="000000010000" w:firstRow="0" w:lastRow="0" w:firstColumn="0" w:lastColumn="0" w:oddVBand="0" w:evenVBand="0" w:oddHBand="0" w:evenHBand="1" w:firstRowFirstColumn="0" w:firstRowLastColumn="0" w:lastRowFirstColumn="0" w:lastRowLastColumn="0"/>
          <w:wAfter w:w="48" w:type="pct"/>
          <w:trHeight w:val="355"/>
        </w:trPr>
        <w:tc>
          <w:tcPr>
            <w:cnfStyle w:val="001000000000" w:firstRow="0" w:lastRow="0" w:firstColumn="1" w:lastColumn="0" w:oddVBand="0" w:evenVBand="0" w:oddHBand="0" w:evenHBand="0" w:firstRowFirstColumn="0" w:firstRowLastColumn="0" w:lastRowFirstColumn="0" w:lastRowLastColumn="0"/>
            <w:tcW w:w="673" w:type="pct"/>
            <w:vMerge/>
            <w:hideMark/>
          </w:tcPr>
          <w:p w14:paraId="1A2B9287" w14:textId="77777777" w:rsidR="007042C6" w:rsidRPr="00771E0B" w:rsidRDefault="007042C6" w:rsidP="007042C6">
            <w:pPr>
              <w:pStyle w:val="BodyText"/>
              <w:rPr>
                <w:bCs/>
                <w:sz w:val="16"/>
                <w:szCs w:val="16"/>
                <w:lang w:eastAsia="en-AU"/>
              </w:rPr>
            </w:pPr>
          </w:p>
        </w:tc>
        <w:tc>
          <w:tcPr>
            <w:tcW w:w="2254" w:type="pct"/>
            <w:gridSpan w:val="2"/>
            <w:hideMark/>
          </w:tcPr>
          <w:p w14:paraId="14A0FC45" w14:textId="3A23D5CF" w:rsidR="007042C6" w:rsidRPr="00771E0B" w:rsidRDefault="007042C6" w:rsidP="007042C6">
            <w:pPr>
              <w:pStyle w:val="BodyText"/>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377AB5">
              <w:rPr>
                <w:sz w:val="16"/>
                <w:szCs w:val="20"/>
                <w:lang w:eastAsia="en-AU"/>
              </w:rPr>
              <w:t>Percentage change</w:t>
            </w:r>
          </w:p>
        </w:tc>
        <w:tc>
          <w:tcPr>
            <w:tcW w:w="2025" w:type="pct"/>
            <w:noWrap/>
            <w:hideMark/>
          </w:tcPr>
          <w:p w14:paraId="7EFA9185" w14:textId="05CB1E9C" w:rsidR="007042C6" w:rsidRPr="007042C6" w:rsidRDefault="007042C6" w:rsidP="007042C6">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sidRPr="00EB7DB4">
              <w:rPr>
                <w:sz w:val="16"/>
                <w:szCs w:val="16"/>
              </w:rPr>
              <w:t>-10.30%</w:t>
            </w:r>
          </w:p>
        </w:tc>
      </w:tr>
      <w:tr w:rsidR="00B65767" w:rsidRPr="00771E0B" w14:paraId="0E309F0E" w14:textId="77777777" w:rsidTr="005C7AC1">
        <w:trPr>
          <w:gridAfter w:val="1"/>
          <w:cnfStyle w:val="010000000000" w:firstRow="0" w:lastRow="1" w:firstColumn="0" w:lastColumn="0" w:oddVBand="0" w:evenVBand="0" w:oddHBand="0" w:evenHBand="0" w:firstRowFirstColumn="0" w:firstRowLastColumn="0" w:lastRowFirstColumn="0" w:lastRowLastColumn="0"/>
          <w:wAfter w:w="48" w:type="pct"/>
          <w:trHeight w:val="443"/>
        </w:trPr>
        <w:tc>
          <w:tcPr>
            <w:cnfStyle w:val="001000000000" w:firstRow="0" w:lastRow="0" w:firstColumn="1" w:lastColumn="0" w:oddVBand="0" w:evenVBand="0" w:oddHBand="0" w:evenHBand="0" w:firstRowFirstColumn="0" w:firstRowLastColumn="0" w:lastRowFirstColumn="0" w:lastRowLastColumn="0"/>
            <w:tcW w:w="673" w:type="pct"/>
            <w:vMerge/>
            <w:hideMark/>
          </w:tcPr>
          <w:p w14:paraId="3600A869" w14:textId="77777777" w:rsidR="00B65767" w:rsidRPr="00771E0B" w:rsidRDefault="00B65767" w:rsidP="005C7AC1">
            <w:pPr>
              <w:pStyle w:val="BodyText"/>
              <w:rPr>
                <w:bCs/>
                <w:sz w:val="16"/>
                <w:szCs w:val="16"/>
                <w:lang w:eastAsia="en-AU"/>
              </w:rPr>
            </w:pPr>
          </w:p>
        </w:tc>
        <w:tc>
          <w:tcPr>
            <w:tcW w:w="2254" w:type="pct"/>
            <w:gridSpan w:val="2"/>
            <w:shd w:val="clear" w:color="auto" w:fill="FBC6D0" w:themeFill="accent2" w:themeFillTint="33"/>
            <w:hideMark/>
          </w:tcPr>
          <w:p w14:paraId="5249A6AD" w14:textId="77777777" w:rsidR="00B65767" w:rsidRPr="00771E0B" w:rsidRDefault="00B65767" w:rsidP="005C7AC1">
            <w:pPr>
              <w:pStyle w:val="BodyText"/>
              <w:cnfStyle w:val="010000000000" w:firstRow="0" w:lastRow="1" w:firstColumn="0" w:lastColumn="0" w:oddVBand="0" w:evenVBand="0" w:oddHBand="0" w:evenHBand="0" w:firstRowFirstColumn="0" w:firstRowLastColumn="0" w:lastRowFirstColumn="0" w:lastRowLastColumn="0"/>
              <w:rPr>
                <w:i/>
                <w:sz w:val="16"/>
                <w:szCs w:val="16"/>
                <w:lang w:eastAsia="en-AU"/>
              </w:rPr>
            </w:pPr>
            <w:r w:rsidRPr="00771E0B">
              <w:rPr>
                <w:i/>
                <w:sz w:val="16"/>
                <w:szCs w:val="16"/>
                <w:lang w:eastAsia="en-AU"/>
              </w:rPr>
              <w:t>Number of ostomates impacted (based on current ostomate #)</w:t>
            </w:r>
          </w:p>
        </w:tc>
        <w:tc>
          <w:tcPr>
            <w:tcW w:w="2025" w:type="pct"/>
            <w:shd w:val="clear" w:color="auto" w:fill="FBC6D0" w:themeFill="accent2" w:themeFillTint="33"/>
            <w:noWrap/>
            <w:hideMark/>
          </w:tcPr>
          <w:p w14:paraId="6E8C0F37" w14:textId="77777777" w:rsidR="00B65767" w:rsidRPr="00771E0B" w:rsidRDefault="00B65767" w:rsidP="005C7AC1">
            <w:pPr>
              <w:pStyle w:val="BodyText"/>
              <w:cnfStyle w:val="010000000000" w:firstRow="0" w:lastRow="1" w:firstColumn="0" w:lastColumn="0" w:oddVBand="0" w:evenVBand="0" w:oddHBand="0" w:evenHBand="0" w:firstRowFirstColumn="0" w:firstRowLastColumn="0" w:lastRowFirstColumn="0" w:lastRowLastColumn="0"/>
              <w:rPr>
                <w:i/>
                <w:iCs/>
                <w:color w:val="000000"/>
                <w:sz w:val="16"/>
                <w:szCs w:val="16"/>
                <w:lang w:eastAsia="en-AU"/>
              </w:rPr>
            </w:pPr>
            <w:r w:rsidRPr="00771E0B">
              <w:rPr>
                <w:i/>
                <w:iCs/>
                <w:color w:val="000000"/>
                <w:sz w:val="16"/>
                <w:szCs w:val="16"/>
                <w:lang w:eastAsia="en-AU"/>
              </w:rPr>
              <w:t>7,202</w:t>
            </w:r>
          </w:p>
        </w:tc>
      </w:tr>
    </w:tbl>
    <w:p w14:paraId="7A52891D" w14:textId="2BF3BD35" w:rsidR="00B65767" w:rsidRDefault="009C63A6" w:rsidP="00B65767">
      <w:pPr>
        <w:pStyle w:val="BodyText"/>
      </w:pPr>
      <w:r>
        <w:rPr>
          <w:noProof/>
        </w:rPr>
        <w:drawing>
          <wp:inline distT="0" distB="0" distL="0" distR="0" wp14:anchorId="7AA609A1" wp14:editId="6B54FC1B">
            <wp:extent cx="4237355" cy="3005455"/>
            <wp:effectExtent l="0" t="0" r="0" b="4445"/>
            <wp:docPr id="1088601619" name="Picture 7" descr="Figure 24: Expenditure related to closed bag systems if maximum quantity was decreased 50% on the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01619" name="Picture 7" descr="Figure 24: Expenditure related to closed bag systems if maximum quantity was decreased 50% on the Scheme "/>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37355" cy="3005455"/>
                    </a:xfrm>
                    <a:prstGeom prst="rect">
                      <a:avLst/>
                    </a:prstGeom>
                    <a:noFill/>
                  </pic:spPr>
                </pic:pic>
              </a:graphicData>
            </a:graphic>
          </wp:inline>
        </w:drawing>
      </w:r>
    </w:p>
    <w:p w14:paraId="4B63241B" w14:textId="088AD730" w:rsidR="007C3763" w:rsidRDefault="007C3763">
      <w:pPr>
        <w:spacing w:line="276" w:lineRule="auto"/>
      </w:pPr>
      <w:r>
        <w:br w:type="page"/>
      </w:r>
    </w:p>
    <w:p w14:paraId="356D0257" w14:textId="617CAD74" w:rsidR="00B65767" w:rsidRPr="00570905" w:rsidRDefault="00B65767" w:rsidP="00B65767">
      <w:pPr>
        <w:keepNext/>
        <w:keepLines/>
        <w:spacing w:before="300" w:after="200" w:line="240" w:lineRule="atLeast"/>
        <w:outlineLvl w:val="2"/>
        <w:rPr>
          <w:rFonts w:asciiTheme="majorHAnsi" w:eastAsiaTheme="majorEastAsia" w:hAnsiTheme="majorHAnsi" w:cstheme="majorBidi"/>
          <w:b/>
          <w:color w:val="C60C30" w:themeColor="accent2"/>
          <w:spacing w:val="4"/>
          <w:sz w:val="22"/>
          <w:szCs w:val="28"/>
        </w:rPr>
      </w:pPr>
      <w:r w:rsidRPr="00570905">
        <w:rPr>
          <w:rFonts w:asciiTheme="majorHAnsi" w:eastAsiaTheme="majorEastAsia" w:hAnsiTheme="majorHAnsi" w:cstheme="majorBidi"/>
          <w:b/>
          <w:color w:val="C60C30" w:themeColor="accent2"/>
          <w:spacing w:val="4"/>
          <w:sz w:val="22"/>
          <w:szCs w:val="28"/>
        </w:rPr>
        <w:lastRenderedPageBreak/>
        <w:t xml:space="preserve">Scenario </w:t>
      </w:r>
      <w:r>
        <w:rPr>
          <w:rFonts w:asciiTheme="majorHAnsi" w:eastAsiaTheme="majorEastAsia" w:hAnsiTheme="majorHAnsi" w:cstheme="majorBidi"/>
          <w:b/>
          <w:color w:val="C60C30" w:themeColor="accent2"/>
          <w:spacing w:val="4"/>
          <w:sz w:val="22"/>
          <w:szCs w:val="28"/>
        </w:rPr>
        <w:t>Eight</w:t>
      </w:r>
      <w:r w:rsidRPr="00570905">
        <w:rPr>
          <w:rFonts w:asciiTheme="majorHAnsi" w:eastAsiaTheme="majorEastAsia" w:hAnsiTheme="majorHAnsi" w:cstheme="majorBidi"/>
          <w:b/>
          <w:color w:val="C60C30" w:themeColor="accent2"/>
          <w:spacing w:val="4"/>
          <w:sz w:val="22"/>
          <w:szCs w:val="28"/>
        </w:rPr>
        <w:t xml:space="preserve">: Increase in </w:t>
      </w:r>
      <w:r w:rsidR="00553B76">
        <w:rPr>
          <w:rFonts w:asciiTheme="majorHAnsi" w:eastAsiaTheme="majorEastAsia" w:hAnsiTheme="majorHAnsi" w:cstheme="majorBidi"/>
          <w:b/>
          <w:color w:val="C60C30" w:themeColor="accent2"/>
          <w:spacing w:val="4"/>
          <w:sz w:val="22"/>
          <w:szCs w:val="28"/>
        </w:rPr>
        <w:t>maximum</w:t>
      </w:r>
      <w:r w:rsidR="00553B76" w:rsidRPr="00570905">
        <w:rPr>
          <w:rFonts w:asciiTheme="majorHAnsi" w:eastAsiaTheme="majorEastAsia" w:hAnsiTheme="majorHAnsi" w:cstheme="majorBidi"/>
          <w:b/>
          <w:color w:val="C60C30" w:themeColor="accent2"/>
          <w:spacing w:val="4"/>
          <w:sz w:val="22"/>
          <w:szCs w:val="28"/>
        </w:rPr>
        <w:t xml:space="preserve"> </w:t>
      </w:r>
      <w:r w:rsidRPr="00570905">
        <w:rPr>
          <w:rFonts w:asciiTheme="majorHAnsi" w:eastAsiaTheme="majorEastAsia" w:hAnsiTheme="majorHAnsi" w:cstheme="majorBidi"/>
          <w:b/>
          <w:color w:val="C60C30" w:themeColor="accent2"/>
          <w:spacing w:val="4"/>
          <w:sz w:val="22"/>
          <w:szCs w:val="28"/>
        </w:rPr>
        <w:t xml:space="preserve">quantity of </w:t>
      </w:r>
      <w:r>
        <w:rPr>
          <w:rFonts w:asciiTheme="majorHAnsi" w:eastAsiaTheme="majorEastAsia" w:hAnsiTheme="majorHAnsi" w:cstheme="majorBidi"/>
          <w:b/>
          <w:color w:val="C60C30" w:themeColor="accent2"/>
          <w:spacing w:val="4"/>
          <w:sz w:val="22"/>
          <w:szCs w:val="28"/>
        </w:rPr>
        <w:t xml:space="preserve">plug </w:t>
      </w:r>
      <w:proofErr w:type="gramStart"/>
      <w:r>
        <w:rPr>
          <w:rFonts w:asciiTheme="majorHAnsi" w:eastAsiaTheme="majorEastAsia" w:hAnsiTheme="majorHAnsi" w:cstheme="majorBidi"/>
          <w:b/>
          <w:color w:val="C60C30" w:themeColor="accent2"/>
          <w:spacing w:val="4"/>
          <w:sz w:val="22"/>
          <w:szCs w:val="28"/>
        </w:rPr>
        <w:t>systems</w:t>
      </w:r>
      <w:proofErr w:type="gramEnd"/>
    </w:p>
    <w:p w14:paraId="31FF97FA" w14:textId="071713EF" w:rsidR="00B65767" w:rsidRPr="00570905" w:rsidRDefault="00B65767" w:rsidP="00B65767">
      <w:pPr>
        <w:pStyle w:val="BodyText"/>
      </w:pPr>
      <w:r>
        <w:t>There was some s</w:t>
      </w:r>
      <w:r w:rsidRPr="00570905">
        <w:t xml:space="preserve">takeholder </w:t>
      </w:r>
      <w:r>
        <w:t>support for</w:t>
      </w:r>
      <w:r w:rsidRPr="00570905">
        <w:t xml:space="preserve"> </w:t>
      </w:r>
      <w:r>
        <w:t>an increase in maximum annual</w:t>
      </w:r>
      <w:r w:rsidRPr="00570905">
        <w:t xml:space="preserve"> quantit</w:t>
      </w:r>
      <w:r>
        <w:t>y</w:t>
      </w:r>
      <w:r w:rsidRPr="00570905">
        <w:t xml:space="preserve"> for</w:t>
      </w:r>
      <w:r>
        <w:t xml:space="preserve"> plus systems (product group 08(a))</w:t>
      </w:r>
      <w:r w:rsidRPr="00570905">
        <w:t xml:space="preserve">. A </w:t>
      </w:r>
      <w:r>
        <w:t>10</w:t>
      </w:r>
      <w:r w:rsidRPr="00570905">
        <w:t xml:space="preserve">0% increase in annual quantity of </w:t>
      </w:r>
      <w:r>
        <w:t>plug systems</w:t>
      </w:r>
      <w:r w:rsidRPr="00570905">
        <w:t xml:space="preserve"> </w:t>
      </w:r>
      <w:r w:rsidR="008E4971">
        <w:t>(product codes</w:t>
      </w:r>
      <w:r w:rsidR="008E4971" w:rsidRPr="008E4971">
        <w:t xml:space="preserve"> 03641P, 09845E, 80101W, 80163D, </w:t>
      </w:r>
      <w:r w:rsidR="008E4971">
        <w:t xml:space="preserve">and </w:t>
      </w:r>
      <w:r w:rsidR="008E4971" w:rsidRPr="008E4971">
        <w:t>80179Y</w:t>
      </w:r>
      <w:r w:rsidR="008E4971">
        <w:t>).</w:t>
      </w:r>
      <w:r w:rsidR="008E4971" w:rsidRPr="008E4971">
        <w:t xml:space="preserve"> The Scenario assumes that any ostomate currently ordering the maximum would instead order the new doubled maximum quantity. </w:t>
      </w:r>
    </w:p>
    <w:p w14:paraId="35761987" w14:textId="6EC6E37F" w:rsidR="00B65767" w:rsidRPr="00570905" w:rsidRDefault="00B65767" w:rsidP="00B65767">
      <w:pPr>
        <w:pStyle w:val="BodyText"/>
      </w:pPr>
      <w:r w:rsidRPr="00570905">
        <w:t xml:space="preserve">It was found that a </w:t>
      </w:r>
      <w:r>
        <w:t>10</w:t>
      </w:r>
      <w:r w:rsidRPr="00570905">
        <w:t>0% increase in maximum quantity in FY2</w:t>
      </w:r>
      <w:r w:rsidR="00ED1546">
        <w:t>5</w:t>
      </w:r>
      <w:r w:rsidRPr="00570905">
        <w:t>-2</w:t>
      </w:r>
      <w:r w:rsidR="00ED1546">
        <w:t>6</w:t>
      </w:r>
      <w:r w:rsidRPr="00570905">
        <w:t xml:space="preserve"> (</w:t>
      </w:r>
      <w:r w:rsidR="00ED1546" w:rsidRPr="00ED1546">
        <w:t>total expenditure $126,792,538</w:t>
      </w:r>
      <w:r w:rsidRPr="00570905">
        <w:t xml:space="preserve">), could result in an additional </w:t>
      </w:r>
      <w:r w:rsidR="00ED1546" w:rsidRPr="00ED1546">
        <w:rPr>
          <w:b/>
          <w:bCs/>
        </w:rPr>
        <w:t>$24,736</w:t>
      </w:r>
      <w:r>
        <w:rPr>
          <w:b/>
          <w:bCs/>
        </w:rPr>
        <w:t xml:space="preserve">, or </w:t>
      </w:r>
      <w:r w:rsidRPr="00113C6C">
        <w:rPr>
          <w:b/>
          <w:bCs/>
        </w:rPr>
        <w:t>less than 1%</w:t>
      </w:r>
      <w:r w:rsidRPr="00570905">
        <w:rPr>
          <w:b/>
          <w:bCs/>
        </w:rPr>
        <w:t xml:space="preserve"> increase in expenditure for the Scheme</w:t>
      </w:r>
      <w:r w:rsidRPr="001F49DA">
        <w:rPr>
          <w:rStyle w:val="BodyTextChar"/>
        </w:rPr>
        <w:t xml:space="preserve">. </w:t>
      </w:r>
      <w:r w:rsidR="007E6AAA" w:rsidRPr="00E20C3E">
        <w:fldChar w:fldCharType="begin"/>
      </w:r>
      <w:r w:rsidR="007E6AAA" w:rsidRPr="00E20C3E">
        <w:instrText xml:space="preserve"> REF _Ref157610828 \h </w:instrText>
      </w:r>
      <w:r w:rsidR="00E20C3E">
        <w:instrText xml:space="preserve"> \* MERGEFORMAT </w:instrText>
      </w:r>
      <w:r w:rsidR="007E6AAA" w:rsidRPr="00E20C3E">
        <w:fldChar w:fldCharType="separate"/>
      </w:r>
      <w:r w:rsidR="00FE1418" w:rsidRPr="00FE1418">
        <w:t>Figure 25</w:t>
      </w:r>
      <w:r w:rsidR="007E6AAA" w:rsidRPr="00E20C3E">
        <w:fldChar w:fldCharType="end"/>
      </w:r>
      <w:r w:rsidR="007E6AAA" w:rsidRPr="00E20C3E">
        <w:t xml:space="preserve"> </w:t>
      </w:r>
      <w:r w:rsidRPr="00570905">
        <w:t xml:space="preserve">provides three years of </w:t>
      </w:r>
      <w:r w:rsidR="00ED1546">
        <w:t xml:space="preserve">predicted </w:t>
      </w:r>
      <w:r w:rsidRPr="00570905">
        <w:t xml:space="preserve">expenditure related to this scenario and highlights the change would </w:t>
      </w:r>
      <w:r>
        <w:t>impact</w:t>
      </w:r>
      <w:r w:rsidRPr="00570905">
        <w:t xml:space="preserve"> </w:t>
      </w:r>
      <w:r w:rsidR="00ED1546">
        <w:t xml:space="preserve">approximately </w:t>
      </w:r>
      <w:r w:rsidRPr="00570905">
        <w:t>3</w:t>
      </w:r>
      <w:r w:rsidRPr="00036352">
        <w:t>0</w:t>
      </w:r>
      <w:r w:rsidRPr="00570905">
        <w:t xml:space="preserve"> ostomates </w:t>
      </w:r>
      <w:r>
        <w:t>currently accessing maximum quantity from</w:t>
      </w:r>
      <w:r w:rsidRPr="00570905">
        <w:t xml:space="preserve"> the Scheme.</w:t>
      </w:r>
    </w:p>
    <w:p w14:paraId="0EBE235E" w14:textId="3118234E" w:rsidR="00B65767" w:rsidRPr="001F49DA" w:rsidRDefault="00B65767" w:rsidP="00B65767">
      <w:pPr>
        <w:keepNext/>
        <w:spacing w:before="360" w:after="160"/>
        <w:jc w:val="center"/>
        <w:rPr>
          <w:b/>
          <w:iCs/>
          <w:color w:val="3B0083" w:themeColor="accent1"/>
          <w:spacing w:val="10"/>
        </w:rPr>
      </w:pPr>
      <w:bookmarkStart w:id="141" w:name="_Ref157610828"/>
      <w:bookmarkStart w:id="142" w:name="_Toc161743149"/>
      <w:r w:rsidRPr="001F49DA">
        <w:rPr>
          <w:rStyle w:val="CaptionChar"/>
        </w:rPr>
        <w:t xml:space="preserve">Figure </w:t>
      </w:r>
      <w:r w:rsidRPr="001F49DA">
        <w:rPr>
          <w:rStyle w:val="CaptionChar"/>
        </w:rPr>
        <w:fldChar w:fldCharType="begin"/>
      </w:r>
      <w:r w:rsidRPr="001F49DA">
        <w:rPr>
          <w:rStyle w:val="CaptionChar"/>
        </w:rPr>
        <w:instrText xml:space="preserve"> SEQ Figure \* ARABIC </w:instrText>
      </w:r>
      <w:r w:rsidRPr="001F49DA">
        <w:rPr>
          <w:rStyle w:val="CaptionChar"/>
        </w:rPr>
        <w:fldChar w:fldCharType="separate"/>
      </w:r>
      <w:r w:rsidR="00FE1418">
        <w:rPr>
          <w:rStyle w:val="CaptionChar"/>
          <w:noProof/>
        </w:rPr>
        <w:t>25</w:t>
      </w:r>
      <w:r w:rsidRPr="001F49DA">
        <w:rPr>
          <w:rStyle w:val="CaptionChar"/>
        </w:rPr>
        <w:fldChar w:fldCharType="end"/>
      </w:r>
      <w:bookmarkEnd w:id="141"/>
      <w:r w:rsidRPr="001F49DA">
        <w:rPr>
          <w:rStyle w:val="CaptionChar"/>
        </w:rPr>
        <w:t>: Expenditure related to plug</w:t>
      </w:r>
      <w:r w:rsidRPr="001F49DA">
        <w:rPr>
          <w:b/>
          <w:iCs/>
          <w:color w:val="3B0083" w:themeColor="accent1"/>
          <w:spacing w:val="10"/>
        </w:rPr>
        <w:t xml:space="preserve"> systems if maximum quantity was increased 100% on the </w:t>
      </w:r>
      <w:proofErr w:type="gramStart"/>
      <w:r w:rsidRPr="001F49DA">
        <w:rPr>
          <w:b/>
          <w:iCs/>
          <w:color w:val="3B0083" w:themeColor="accent1"/>
          <w:spacing w:val="10"/>
        </w:rPr>
        <w:t>Scheme</w:t>
      </w:r>
      <w:bookmarkEnd w:id="142"/>
      <w:proofErr w:type="gramEnd"/>
    </w:p>
    <w:tbl>
      <w:tblPr>
        <w:tblStyle w:val="TableHealthConsultPurple"/>
        <w:tblpPr w:leftFromText="180" w:rightFromText="180" w:vertAnchor="text" w:horzAnchor="margin" w:tblpXSpec="right" w:tblpY="206"/>
        <w:tblW w:w="2440" w:type="pct"/>
        <w:tblLayout w:type="fixed"/>
        <w:tblLook w:val="04E0" w:firstRow="1" w:lastRow="1" w:firstColumn="1" w:lastColumn="0" w:noHBand="0" w:noVBand="1"/>
      </w:tblPr>
      <w:tblGrid>
        <w:gridCol w:w="993"/>
        <w:gridCol w:w="3261"/>
        <w:gridCol w:w="2835"/>
        <w:gridCol w:w="21"/>
      </w:tblGrid>
      <w:tr w:rsidR="00B65767" w:rsidRPr="003833AD" w14:paraId="2EF35B60" w14:textId="77777777" w:rsidTr="00EB7DB4">
        <w:trPr>
          <w:cnfStyle w:val="100000000000" w:firstRow="1" w:lastRow="0" w:firstColumn="0" w:lastColumn="0" w:oddVBand="0" w:evenVBand="0" w:oddHBand="0" w:evenHBand="0" w:firstRowFirstColumn="0" w:firstRowLastColumn="0" w:lastRowFirstColumn="0" w:lastRowLastColumn="0"/>
          <w:trHeight w:val="444"/>
        </w:trPr>
        <w:tc>
          <w:tcPr>
            <w:cnfStyle w:val="001000000100" w:firstRow="0" w:lastRow="0" w:firstColumn="1" w:lastColumn="0" w:oddVBand="0" w:evenVBand="0" w:oddHBand="0" w:evenHBand="0" w:firstRowFirstColumn="1" w:firstRowLastColumn="0" w:lastRowFirstColumn="0" w:lastRowLastColumn="0"/>
            <w:tcW w:w="2991" w:type="pct"/>
            <w:gridSpan w:val="2"/>
            <w:noWrap/>
            <w:hideMark/>
          </w:tcPr>
          <w:p w14:paraId="2F5F8007" w14:textId="77777777" w:rsidR="00B65767" w:rsidRPr="003833AD" w:rsidRDefault="00B65767" w:rsidP="005C7AC1">
            <w:pPr>
              <w:pStyle w:val="BodyText"/>
              <w:jc w:val="center"/>
              <w:rPr>
                <w:sz w:val="16"/>
                <w:szCs w:val="16"/>
                <w:lang w:eastAsia="en-AU"/>
              </w:rPr>
            </w:pPr>
            <w:r w:rsidRPr="003833AD">
              <w:rPr>
                <w:sz w:val="16"/>
                <w:szCs w:val="16"/>
                <w:lang w:eastAsia="en-AU"/>
              </w:rPr>
              <w:t>Scenario</w:t>
            </w:r>
            <w:r>
              <w:rPr>
                <w:sz w:val="16"/>
                <w:szCs w:val="16"/>
                <w:lang w:eastAsia="en-AU"/>
              </w:rPr>
              <w:t>:</w:t>
            </w:r>
          </w:p>
        </w:tc>
        <w:tc>
          <w:tcPr>
            <w:tcW w:w="2009" w:type="pct"/>
            <w:gridSpan w:val="2"/>
            <w:noWrap/>
            <w:hideMark/>
          </w:tcPr>
          <w:p w14:paraId="7DBF4CD4" w14:textId="77777777" w:rsidR="00B65767" w:rsidRPr="003833AD" w:rsidRDefault="00B65767" w:rsidP="005C7AC1">
            <w:pPr>
              <w:pStyle w:val="BodyText"/>
              <w:cnfStyle w:val="100000000000" w:firstRow="1" w:lastRow="0" w:firstColumn="0" w:lastColumn="0" w:oddVBand="0" w:evenVBand="0" w:oddHBand="0" w:evenHBand="0" w:firstRowFirstColumn="0" w:firstRowLastColumn="0" w:lastRowFirstColumn="0" w:lastRowLastColumn="0"/>
              <w:rPr>
                <w:bCs/>
                <w:sz w:val="16"/>
                <w:szCs w:val="16"/>
                <w:lang w:eastAsia="en-AU"/>
              </w:rPr>
            </w:pPr>
            <w:r w:rsidRPr="003833AD">
              <w:rPr>
                <w:bCs/>
                <w:sz w:val="16"/>
                <w:szCs w:val="16"/>
                <w:lang w:eastAsia="en-AU"/>
              </w:rPr>
              <w:t>100% increase in annual quantity of plug systems</w:t>
            </w:r>
          </w:p>
        </w:tc>
      </w:tr>
      <w:tr w:rsidR="002854BA" w:rsidRPr="003833AD" w14:paraId="626EE6D6" w14:textId="77777777" w:rsidTr="00EB7DB4">
        <w:trPr>
          <w:gridAfter w:val="1"/>
          <w:wAfter w:w="15" w:type="pct"/>
          <w:trHeight w:val="355"/>
        </w:trPr>
        <w:tc>
          <w:tcPr>
            <w:cnfStyle w:val="001000000000" w:firstRow="0" w:lastRow="0" w:firstColumn="1" w:lastColumn="0" w:oddVBand="0" w:evenVBand="0" w:oddHBand="0" w:evenHBand="0" w:firstRowFirstColumn="0" w:firstRowLastColumn="0" w:lastRowFirstColumn="0" w:lastRowLastColumn="0"/>
            <w:tcW w:w="698" w:type="pct"/>
            <w:vMerge w:val="restart"/>
            <w:hideMark/>
          </w:tcPr>
          <w:p w14:paraId="49053D2D" w14:textId="2645B56F" w:rsidR="002854BA" w:rsidRPr="003833AD" w:rsidRDefault="002854BA" w:rsidP="002854BA">
            <w:pPr>
              <w:pStyle w:val="BodyText"/>
              <w:rPr>
                <w:bCs/>
                <w:sz w:val="16"/>
                <w:szCs w:val="16"/>
                <w:lang w:eastAsia="en-AU"/>
              </w:rPr>
            </w:pPr>
            <w:r w:rsidRPr="00377AB5">
              <w:rPr>
                <w:bCs/>
                <w:sz w:val="16"/>
                <w:szCs w:val="20"/>
                <w:lang w:eastAsia="en-AU"/>
              </w:rPr>
              <w:t>2023-24</w:t>
            </w:r>
          </w:p>
        </w:tc>
        <w:tc>
          <w:tcPr>
            <w:tcW w:w="2293" w:type="pct"/>
            <w:hideMark/>
          </w:tcPr>
          <w:p w14:paraId="6908D63D" w14:textId="7DB1479D" w:rsidR="002854BA" w:rsidRPr="003833AD" w:rsidRDefault="002854BA" w:rsidP="002854BA">
            <w:pPr>
              <w:pStyle w:val="BodyText"/>
              <w:cnfStyle w:val="000000000000" w:firstRow="0" w:lastRow="0" w:firstColumn="0" w:lastColumn="0" w:oddVBand="0" w:evenVBand="0" w:oddHBand="0" w:evenHBand="0" w:firstRowFirstColumn="0" w:firstRowLastColumn="0" w:lastRowFirstColumn="0" w:lastRowLastColumn="0"/>
              <w:rPr>
                <w:b/>
                <w:sz w:val="16"/>
                <w:szCs w:val="16"/>
                <w:lang w:eastAsia="en-AU"/>
              </w:rPr>
            </w:pPr>
            <w:r w:rsidRPr="007857CA">
              <w:rPr>
                <w:b/>
                <w:bCs/>
                <w:sz w:val="16"/>
                <w:szCs w:val="20"/>
                <w:lang w:eastAsia="en-AU"/>
              </w:rPr>
              <w:t>Change in expenditure from predicted</w:t>
            </w:r>
          </w:p>
        </w:tc>
        <w:tc>
          <w:tcPr>
            <w:tcW w:w="1994" w:type="pct"/>
            <w:noWrap/>
            <w:vAlign w:val="center"/>
            <w:hideMark/>
          </w:tcPr>
          <w:p w14:paraId="130FDBC6" w14:textId="48DCC56F" w:rsidR="002854BA" w:rsidRPr="002854BA" w:rsidRDefault="002854BA" w:rsidP="002854BA">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EB7DB4">
              <w:rPr>
                <w:rFonts w:ascii="Poppins" w:hAnsi="Poppins" w:cs="Poppins"/>
                <w:b/>
                <w:bCs/>
                <w:color w:val="000000"/>
                <w:sz w:val="16"/>
                <w:szCs w:val="16"/>
              </w:rPr>
              <w:t xml:space="preserve">$17,931 </w:t>
            </w:r>
          </w:p>
        </w:tc>
      </w:tr>
      <w:tr w:rsidR="002854BA" w:rsidRPr="003833AD" w14:paraId="425BD156" w14:textId="77777777" w:rsidTr="00EB7DB4">
        <w:trPr>
          <w:gridAfter w:val="1"/>
          <w:cnfStyle w:val="000000010000" w:firstRow="0" w:lastRow="0" w:firstColumn="0" w:lastColumn="0" w:oddVBand="0" w:evenVBand="0" w:oddHBand="0" w:evenHBand="1" w:firstRowFirstColumn="0" w:firstRowLastColumn="0" w:lastRowFirstColumn="0" w:lastRowLastColumn="0"/>
          <w:wAfter w:w="15" w:type="pct"/>
          <w:trHeight w:val="355"/>
        </w:trPr>
        <w:tc>
          <w:tcPr>
            <w:cnfStyle w:val="001000000000" w:firstRow="0" w:lastRow="0" w:firstColumn="1" w:lastColumn="0" w:oddVBand="0" w:evenVBand="0" w:oddHBand="0" w:evenHBand="0" w:firstRowFirstColumn="0" w:firstRowLastColumn="0" w:lastRowFirstColumn="0" w:lastRowLastColumn="0"/>
            <w:tcW w:w="698" w:type="pct"/>
            <w:vMerge/>
            <w:hideMark/>
          </w:tcPr>
          <w:p w14:paraId="539A8A84" w14:textId="77777777" w:rsidR="002854BA" w:rsidRPr="003833AD" w:rsidRDefault="002854BA" w:rsidP="002854BA">
            <w:pPr>
              <w:pStyle w:val="BodyText"/>
              <w:rPr>
                <w:bCs/>
                <w:sz w:val="16"/>
                <w:szCs w:val="16"/>
                <w:lang w:eastAsia="en-AU"/>
              </w:rPr>
            </w:pPr>
          </w:p>
        </w:tc>
        <w:tc>
          <w:tcPr>
            <w:tcW w:w="2293" w:type="pct"/>
            <w:hideMark/>
          </w:tcPr>
          <w:p w14:paraId="6AC0BD92" w14:textId="37516E83" w:rsidR="002854BA" w:rsidRPr="003833AD" w:rsidRDefault="002854BA" w:rsidP="002854BA">
            <w:pPr>
              <w:pStyle w:val="BodyText"/>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377AB5">
              <w:rPr>
                <w:bCs/>
                <w:sz w:val="16"/>
                <w:szCs w:val="20"/>
                <w:lang w:eastAsia="en-AU"/>
              </w:rPr>
              <w:t xml:space="preserve">Percentage change </w:t>
            </w:r>
          </w:p>
        </w:tc>
        <w:tc>
          <w:tcPr>
            <w:tcW w:w="1994" w:type="pct"/>
            <w:noWrap/>
            <w:vAlign w:val="center"/>
            <w:hideMark/>
          </w:tcPr>
          <w:p w14:paraId="7F357F26" w14:textId="588F1E19" w:rsidR="002854BA" w:rsidRPr="002854BA" w:rsidRDefault="002854BA" w:rsidP="002854BA">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Pr>
                <w:rFonts w:ascii="Poppins" w:hAnsi="Poppins" w:cs="Poppins"/>
                <w:color w:val="000000"/>
                <w:sz w:val="16"/>
                <w:szCs w:val="16"/>
              </w:rPr>
              <w:t>+</w:t>
            </w:r>
            <w:r w:rsidRPr="00EB7DB4">
              <w:rPr>
                <w:rFonts w:ascii="Poppins" w:hAnsi="Poppins" w:cs="Poppins"/>
                <w:color w:val="000000"/>
                <w:sz w:val="16"/>
                <w:szCs w:val="16"/>
              </w:rPr>
              <w:t>0.02%</w:t>
            </w:r>
          </w:p>
        </w:tc>
      </w:tr>
      <w:tr w:rsidR="002854BA" w:rsidRPr="003833AD" w14:paraId="53106AA8" w14:textId="77777777" w:rsidTr="00EB7DB4">
        <w:trPr>
          <w:gridAfter w:val="1"/>
          <w:wAfter w:w="15" w:type="pct"/>
          <w:trHeight w:val="500"/>
        </w:trPr>
        <w:tc>
          <w:tcPr>
            <w:cnfStyle w:val="001000000000" w:firstRow="0" w:lastRow="0" w:firstColumn="1" w:lastColumn="0" w:oddVBand="0" w:evenVBand="0" w:oddHBand="0" w:evenHBand="0" w:firstRowFirstColumn="0" w:firstRowLastColumn="0" w:lastRowFirstColumn="0" w:lastRowLastColumn="0"/>
            <w:tcW w:w="698" w:type="pct"/>
            <w:vMerge w:val="restart"/>
            <w:hideMark/>
          </w:tcPr>
          <w:p w14:paraId="577AA5E2" w14:textId="25AC317A" w:rsidR="002854BA" w:rsidRPr="003833AD" w:rsidRDefault="002854BA" w:rsidP="002854BA">
            <w:pPr>
              <w:pStyle w:val="BodyText"/>
              <w:rPr>
                <w:bCs/>
                <w:sz w:val="16"/>
                <w:szCs w:val="16"/>
                <w:lang w:eastAsia="en-AU"/>
              </w:rPr>
            </w:pPr>
            <w:r w:rsidRPr="00377AB5">
              <w:rPr>
                <w:bCs/>
                <w:sz w:val="16"/>
                <w:szCs w:val="20"/>
                <w:lang w:eastAsia="en-AU"/>
              </w:rPr>
              <w:t>2024-25</w:t>
            </w:r>
          </w:p>
        </w:tc>
        <w:tc>
          <w:tcPr>
            <w:tcW w:w="2293" w:type="pct"/>
            <w:hideMark/>
          </w:tcPr>
          <w:p w14:paraId="173AC08C" w14:textId="17D3E302" w:rsidR="002854BA" w:rsidRPr="003833AD" w:rsidRDefault="002854BA" w:rsidP="002854BA">
            <w:pPr>
              <w:pStyle w:val="BodyText"/>
              <w:cnfStyle w:val="000000000000" w:firstRow="0" w:lastRow="0" w:firstColumn="0" w:lastColumn="0" w:oddVBand="0" w:evenVBand="0" w:oddHBand="0" w:evenHBand="0" w:firstRowFirstColumn="0" w:firstRowLastColumn="0" w:lastRowFirstColumn="0" w:lastRowLastColumn="0"/>
              <w:rPr>
                <w:b/>
                <w:sz w:val="16"/>
                <w:szCs w:val="16"/>
                <w:lang w:eastAsia="en-AU"/>
              </w:rPr>
            </w:pPr>
            <w:r w:rsidRPr="007857CA">
              <w:rPr>
                <w:b/>
                <w:bCs/>
                <w:sz w:val="16"/>
                <w:szCs w:val="20"/>
                <w:lang w:eastAsia="en-AU"/>
              </w:rPr>
              <w:t>Change in expenditure</w:t>
            </w:r>
            <w:r w:rsidRPr="007857CA">
              <w:rPr>
                <w:b/>
                <w:bCs/>
                <w:sz w:val="16"/>
                <w:szCs w:val="20"/>
              </w:rPr>
              <w:t xml:space="preserve"> </w:t>
            </w:r>
            <w:r w:rsidRPr="007857CA">
              <w:rPr>
                <w:b/>
                <w:bCs/>
                <w:sz w:val="16"/>
                <w:szCs w:val="20"/>
                <w:lang w:eastAsia="en-AU"/>
              </w:rPr>
              <w:t>from predicted</w:t>
            </w:r>
          </w:p>
        </w:tc>
        <w:tc>
          <w:tcPr>
            <w:tcW w:w="1994" w:type="pct"/>
            <w:noWrap/>
            <w:vAlign w:val="center"/>
            <w:hideMark/>
          </w:tcPr>
          <w:p w14:paraId="43F96E7C" w14:textId="058278B5" w:rsidR="002854BA" w:rsidRPr="002854BA" w:rsidRDefault="002854BA" w:rsidP="002854BA">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EB7DB4">
              <w:rPr>
                <w:rFonts w:ascii="Poppins" w:hAnsi="Poppins" w:cs="Poppins"/>
                <w:b/>
                <w:bCs/>
                <w:color w:val="000000"/>
                <w:sz w:val="16"/>
                <w:szCs w:val="16"/>
              </w:rPr>
              <w:t xml:space="preserve">$21,333 </w:t>
            </w:r>
          </w:p>
        </w:tc>
      </w:tr>
      <w:tr w:rsidR="002854BA" w:rsidRPr="003833AD" w14:paraId="5D8EC86F" w14:textId="77777777" w:rsidTr="00EB7DB4">
        <w:trPr>
          <w:gridAfter w:val="1"/>
          <w:cnfStyle w:val="000000010000" w:firstRow="0" w:lastRow="0" w:firstColumn="0" w:lastColumn="0" w:oddVBand="0" w:evenVBand="0" w:oddHBand="0" w:evenHBand="1" w:firstRowFirstColumn="0" w:firstRowLastColumn="0" w:lastRowFirstColumn="0" w:lastRowLastColumn="0"/>
          <w:wAfter w:w="15" w:type="pct"/>
          <w:trHeight w:val="355"/>
        </w:trPr>
        <w:tc>
          <w:tcPr>
            <w:cnfStyle w:val="001000000000" w:firstRow="0" w:lastRow="0" w:firstColumn="1" w:lastColumn="0" w:oddVBand="0" w:evenVBand="0" w:oddHBand="0" w:evenHBand="0" w:firstRowFirstColumn="0" w:firstRowLastColumn="0" w:lastRowFirstColumn="0" w:lastRowLastColumn="0"/>
            <w:tcW w:w="698" w:type="pct"/>
            <w:vMerge/>
            <w:hideMark/>
          </w:tcPr>
          <w:p w14:paraId="37D8802E" w14:textId="77777777" w:rsidR="002854BA" w:rsidRPr="003833AD" w:rsidRDefault="002854BA" w:rsidP="002854BA">
            <w:pPr>
              <w:pStyle w:val="BodyText"/>
              <w:rPr>
                <w:bCs/>
                <w:sz w:val="16"/>
                <w:szCs w:val="16"/>
                <w:lang w:eastAsia="en-AU"/>
              </w:rPr>
            </w:pPr>
          </w:p>
        </w:tc>
        <w:tc>
          <w:tcPr>
            <w:tcW w:w="2293" w:type="pct"/>
            <w:hideMark/>
          </w:tcPr>
          <w:p w14:paraId="07BA33B0" w14:textId="5789384D" w:rsidR="002854BA" w:rsidRPr="003833AD" w:rsidRDefault="002854BA" w:rsidP="002854BA">
            <w:pPr>
              <w:pStyle w:val="BodyText"/>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377AB5">
              <w:rPr>
                <w:bCs/>
                <w:sz w:val="16"/>
                <w:szCs w:val="20"/>
                <w:lang w:eastAsia="en-AU"/>
              </w:rPr>
              <w:t xml:space="preserve">Percentage change </w:t>
            </w:r>
          </w:p>
        </w:tc>
        <w:tc>
          <w:tcPr>
            <w:tcW w:w="1994" w:type="pct"/>
            <w:noWrap/>
            <w:vAlign w:val="center"/>
            <w:hideMark/>
          </w:tcPr>
          <w:p w14:paraId="0D5DABA6" w14:textId="795D6023" w:rsidR="002854BA" w:rsidRPr="002854BA" w:rsidRDefault="002854BA" w:rsidP="002854BA">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Pr>
                <w:rFonts w:ascii="Poppins" w:hAnsi="Poppins" w:cs="Poppins"/>
                <w:color w:val="000000"/>
                <w:sz w:val="16"/>
                <w:szCs w:val="16"/>
              </w:rPr>
              <w:t>+</w:t>
            </w:r>
            <w:r w:rsidRPr="00EB7DB4">
              <w:rPr>
                <w:rFonts w:ascii="Poppins" w:hAnsi="Poppins" w:cs="Poppins"/>
                <w:color w:val="000000"/>
                <w:sz w:val="16"/>
                <w:szCs w:val="16"/>
              </w:rPr>
              <w:t>0.02%</w:t>
            </w:r>
          </w:p>
        </w:tc>
      </w:tr>
      <w:tr w:rsidR="002854BA" w:rsidRPr="003833AD" w14:paraId="6455DDB1" w14:textId="77777777" w:rsidTr="00EB7DB4">
        <w:trPr>
          <w:gridAfter w:val="1"/>
          <w:wAfter w:w="15" w:type="pct"/>
          <w:trHeight w:val="355"/>
        </w:trPr>
        <w:tc>
          <w:tcPr>
            <w:cnfStyle w:val="001000000000" w:firstRow="0" w:lastRow="0" w:firstColumn="1" w:lastColumn="0" w:oddVBand="0" w:evenVBand="0" w:oddHBand="0" w:evenHBand="0" w:firstRowFirstColumn="0" w:firstRowLastColumn="0" w:lastRowFirstColumn="0" w:lastRowLastColumn="0"/>
            <w:tcW w:w="698" w:type="pct"/>
            <w:vMerge w:val="restart"/>
            <w:hideMark/>
          </w:tcPr>
          <w:p w14:paraId="49AC2EF4" w14:textId="2F73638E" w:rsidR="002854BA" w:rsidRPr="003833AD" w:rsidRDefault="002854BA" w:rsidP="002854BA">
            <w:pPr>
              <w:pStyle w:val="BodyText"/>
              <w:rPr>
                <w:bCs/>
                <w:sz w:val="16"/>
                <w:szCs w:val="16"/>
                <w:lang w:eastAsia="en-AU"/>
              </w:rPr>
            </w:pPr>
            <w:r w:rsidRPr="00377AB5">
              <w:rPr>
                <w:bCs/>
                <w:sz w:val="16"/>
                <w:szCs w:val="20"/>
                <w:lang w:eastAsia="en-AU"/>
              </w:rPr>
              <w:t>2025-26</w:t>
            </w:r>
          </w:p>
        </w:tc>
        <w:tc>
          <w:tcPr>
            <w:tcW w:w="2293" w:type="pct"/>
            <w:hideMark/>
          </w:tcPr>
          <w:p w14:paraId="6D921E4E" w14:textId="3B5A2947" w:rsidR="002854BA" w:rsidRPr="003833AD" w:rsidRDefault="002854BA" w:rsidP="002854BA">
            <w:pPr>
              <w:pStyle w:val="BodyText"/>
              <w:cnfStyle w:val="000000000000" w:firstRow="0" w:lastRow="0" w:firstColumn="0" w:lastColumn="0" w:oddVBand="0" w:evenVBand="0" w:oddHBand="0" w:evenHBand="0" w:firstRowFirstColumn="0" w:firstRowLastColumn="0" w:lastRowFirstColumn="0" w:lastRowLastColumn="0"/>
              <w:rPr>
                <w:b/>
                <w:sz w:val="16"/>
                <w:szCs w:val="16"/>
                <w:lang w:eastAsia="en-AU"/>
              </w:rPr>
            </w:pPr>
            <w:r w:rsidRPr="007857CA">
              <w:rPr>
                <w:b/>
                <w:bCs/>
                <w:sz w:val="16"/>
                <w:szCs w:val="20"/>
                <w:lang w:eastAsia="en-AU"/>
              </w:rPr>
              <w:t>Change in expenditure</w:t>
            </w:r>
            <w:r w:rsidRPr="007857CA">
              <w:rPr>
                <w:b/>
                <w:bCs/>
                <w:sz w:val="16"/>
                <w:szCs w:val="20"/>
              </w:rPr>
              <w:t xml:space="preserve"> </w:t>
            </w:r>
            <w:r w:rsidRPr="007857CA">
              <w:rPr>
                <w:b/>
                <w:bCs/>
                <w:sz w:val="16"/>
                <w:szCs w:val="20"/>
                <w:lang w:eastAsia="en-AU"/>
              </w:rPr>
              <w:t>from predicted</w:t>
            </w:r>
          </w:p>
        </w:tc>
        <w:tc>
          <w:tcPr>
            <w:tcW w:w="1994" w:type="pct"/>
            <w:noWrap/>
            <w:vAlign w:val="center"/>
            <w:hideMark/>
          </w:tcPr>
          <w:p w14:paraId="19A1841C" w14:textId="0E3E1B40" w:rsidR="002854BA" w:rsidRPr="002854BA" w:rsidRDefault="002854BA" w:rsidP="002854BA">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EB7DB4">
              <w:rPr>
                <w:rFonts w:ascii="Poppins" w:hAnsi="Poppins" w:cs="Poppins"/>
                <w:b/>
                <w:bCs/>
                <w:color w:val="000000"/>
                <w:sz w:val="16"/>
                <w:szCs w:val="16"/>
              </w:rPr>
              <w:t xml:space="preserve">$24,736 </w:t>
            </w:r>
          </w:p>
        </w:tc>
      </w:tr>
      <w:tr w:rsidR="002854BA" w:rsidRPr="003833AD" w14:paraId="12AA3726" w14:textId="77777777" w:rsidTr="00EB7DB4">
        <w:trPr>
          <w:gridAfter w:val="1"/>
          <w:cnfStyle w:val="000000010000" w:firstRow="0" w:lastRow="0" w:firstColumn="0" w:lastColumn="0" w:oddVBand="0" w:evenVBand="0" w:oddHBand="0" w:evenHBand="1" w:firstRowFirstColumn="0" w:firstRowLastColumn="0" w:lastRowFirstColumn="0" w:lastRowLastColumn="0"/>
          <w:wAfter w:w="15" w:type="pct"/>
          <w:trHeight w:val="355"/>
        </w:trPr>
        <w:tc>
          <w:tcPr>
            <w:cnfStyle w:val="001000000000" w:firstRow="0" w:lastRow="0" w:firstColumn="1" w:lastColumn="0" w:oddVBand="0" w:evenVBand="0" w:oddHBand="0" w:evenHBand="0" w:firstRowFirstColumn="0" w:firstRowLastColumn="0" w:lastRowFirstColumn="0" w:lastRowLastColumn="0"/>
            <w:tcW w:w="698" w:type="pct"/>
            <w:vMerge/>
            <w:hideMark/>
          </w:tcPr>
          <w:p w14:paraId="4D26BFFE" w14:textId="77777777" w:rsidR="002854BA" w:rsidRPr="003833AD" w:rsidRDefault="002854BA" w:rsidP="002854BA">
            <w:pPr>
              <w:pStyle w:val="BodyText"/>
              <w:rPr>
                <w:bCs/>
                <w:sz w:val="16"/>
                <w:szCs w:val="16"/>
                <w:lang w:eastAsia="en-AU"/>
              </w:rPr>
            </w:pPr>
          </w:p>
        </w:tc>
        <w:tc>
          <w:tcPr>
            <w:tcW w:w="2293" w:type="pct"/>
            <w:hideMark/>
          </w:tcPr>
          <w:p w14:paraId="62A0544E" w14:textId="1C18BEAE" w:rsidR="002854BA" w:rsidRPr="003833AD" w:rsidRDefault="002854BA" w:rsidP="002854BA">
            <w:pPr>
              <w:pStyle w:val="BodyText"/>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377AB5">
              <w:rPr>
                <w:sz w:val="16"/>
                <w:szCs w:val="20"/>
                <w:lang w:eastAsia="en-AU"/>
              </w:rPr>
              <w:t>Percentage change</w:t>
            </w:r>
          </w:p>
        </w:tc>
        <w:tc>
          <w:tcPr>
            <w:tcW w:w="1994" w:type="pct"/>
            <w:noWrap/>
            <w:vAlign w:val="center"/>
            <w:hideMark/>
          </w:tcPr>
          <w:p w14:paraId="3BCF16CB" w14:textId="7FA81587" w:rsidR="002854BA" w:rsidRPr="002854BA" w:rsidRDefault="002854BA" w:rsidP="002854BA">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Pr>
                <w:rFonts w:ascii="Poppins" w:hAnsi="Poppins" w:cs="Poppins"/>
                <w:color w:val="000000"/>
                <w:sz w:val="16"/>
                <w:szCs w:val="16"/>
              </w:rPr>
              <w:t>+</w:t>
            </w:r>
            <w:r w:rsidRPr="00EB7DB4">
              <w:rPr>
                <w:rFonts w:ascii="Poppins" w:hAnsi="Poppins" w:cs="Poppins"/>
                <w:color w:val="000000"/>
                <w:sz w:val="16"/>
                <w:szCs w:val="16"/>
              </w:rPr>
              <w:t>0.02%</w:t>
            </w:r>
          </w:p>
        </w:tc>
      </w:tr>
      <w:tr w:rsidR="00B65767" w:rsidRPr="003833AD" w14:paraId="5FFB2EE7" w14:textId="77777777" w:rsidTr="00EB7DB4">
        <w:trPr>
          <w:gridAfter w:val="1"/>
          <w:cnfStyle w:val="010000000000" w:firstRow="0" w:lastRow="1" w:firstColumn="0" w:lastColumn="0" w:oddVBand="0" w:evenVBand="0" w:oddHBand="0" w:evenHBand="0" w:firstRowFirstColumn="0" w:firstRowLastColumn="0" w:lastRowFirstColumn="0" w:lastRowLastColumn="0"/>
          <w:wAfter w:w="15" w:type="pct"/>
          <w:trHeight w:val="444"/>
        </w:trPr>
        <w:tc>
          <w:tcPr>
            <w:cnfStyle w:val="001000000000" w:firstRow="0" w:lastRow="0" w:firstColumn="1" w:lastColumn="0" w:oddVBand="0" w:evenVBand="0" w:oddHBand="0" w:evenHBand="0" w:firstRowFirstColumn="0" w:firstRowLastColumn="0" w:lastRowFirstColumn="0" w:lastRowLastColumn="0"/>
            <w:tcW w:w="698" w:type="pct"/>
            <w:vMerge/>
            <w:hideMark/>
          </w:tcPr>
          <w:p w14:paraId="271278A2" w14:textId="77777777" w:rsidR="00B65767" w:rsidRPr="003833AD" w:rsidRDefault="00B65767" w:rsidP="005C7AC1">
            <w:pPr>
              <w:pStyle w:val="BodyText"/>
              <w:rPr>
                <w:bCs/>
                <w:sz w:val="16"/>
                <w:szCs w:val="16"/>
                <w:lang w:eastAsia="en-AU"/>
              </w:rPr>
            </w:pPr>
          </w:p>
        </w:tc>
        <w:tc>
          <w:tcPr>
            <w:tcW w:w="2293" w:type="pct"/>
            <w:shd w:val="clear" w:color="auto" w:fill="FBC6D0" w:themeFill="accent2" w:themeFillTint="33"/>
            <w:hideMark/>
          </w:tcPr>
          <w:p w14:paraId="0AAAB1CD" w14:textId="77777777" w:rsidR="00B65767" w:rsidRPr="003833AD" w:rsidRDefault="00B65767" w:rsidP="005C7AC1">
            <w:pPr>
              <w:pStyle w:val="BodyText"/>
              <w:cnfStyle w:val="010000000000" w:firstRow="0" w:lastRow="1" w:firstColumn="0" w:lastColumn="0" w:oddVBand="0" w:evenVBand="0" w:oddHBand="0" w:evenHBand="0" w:firstRowFirstColumn="0" w:firstRowLastColumn="0" w:lastRowFirstColumn="0" w:lastRowLastColumn="0"/>
              <w:rPr>
                <w:bCs/>
                <w:i/>
                <w:sz w:val="16"/>
                <w:szCs w:val="16"/>
                <w:lang w:eastAsia="en-AU"/>
              </w:rPr>
            </w:pPr>
            <w:r w:rsidRPr="003833AD">
              <w:rPr>
                <w:bCs/>
                <w:i/>
                <w:sz w:val="16"/>
                <w:szCs w:val="16"/>
                <w:lang w:eastAsia="en-AU"/>
              </w:rPr>
              <w:t>Number of ostomates impacted (based on current ostomate #)</w:t>
            </w:r>
          </w:p>
        </w:tc>
        <w:tc>
          <w:tcPr>
            <w:tcW w:w="1994" w:type="pct"/>
            <w:shd w:val="clear" w:color="auto" w:fill="FBC6D0" w:themeFill="accent2" w:themeFillTint="33"/>
            <w:noWrap/>
            <w:hideMark/>
          </w:tcPr>
          <w:p w14:paraId="5173BBDF" w14:textId="77777777" w:rsidR="00B65767" w:rsidRPr="003833AD" w:rsidRDefault="00B65767" w:rsidP="005C7AC1">
            <w:pPr>
              <w:pStyle w:val="BodyText"/>
              <w:cnfStyle w:val="010000000000" w:firstRow="0" w:lastRow="1" w:firstColumn="0" w:lastColumn="0" w:oddVBand="0" w:evenVBand="0" w:oddHBand="0" w:evenHBand="0" w:firstRowFirstColumn="0" w:firstRowLastColumn="0" w:lastRowFirstColumn="0" w:lastRowLastColumn="0"/>
              <w:rPr>
                <w:bCs/>
                <w:i/>
                <w:iCs/>
                <w:color w:val="000000"/>
                <w:sz w:val="16"/>
                <w:szCs w:val="16"/>
                <w:lang w:eastAsia="en-AU"/>
              </w:rPr>
            </w:pPr>
            <w:r w:rsidRPr="003833AD">
              <w:rPr>
                <w:bCs/>
                <w:i/>
                <w:iCs/>
                <w:color w:val="000000"/>
                <w:sz w:val="16"/>
                <w:szCs w:val="16"/>
                <w:lang w:eastAsia="en-AU"/>
              </w:rPr>
              <w:t>30</w:t>
            </w:r>
          </w:p>
        </w:tc>
      </w:tr>
    </w:tbl>
    <w:p w14:paraId="42434C67" w14:textId="3ADB1EE2" w:rsidR="007C3763" w:rsidRDefault="00030BFE" w:rsidP="00B65767">
      <w:r>
        <w:rPr>
          <w:noProof/>
        </w:rPr>
        <w:drawing>
          <wp:inline distT="0" distB="0" distL="0" distR="0" wp14:anchorId="05C33189" wp14:editId="2A11CCF8">
            <wp:extent cx="4272455" cy="3140458"/>
            <wp:effectExtent l="0" t="0" r="0" b="3175"/>
            <wp:docPr id="1318882121" name="Picture 6" descr="Figure 25: Expenditure related to plug systems if maximum quantity was increased 100% on the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82121" name="Picture 6" descr="Figure 25: Expenditure related to plug systems if maximum quantity was increased 100% on the Scheme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74798" cy="3142180"/>
                    </a:xfrm>
                    <a:prstGeom prst="rect">
                      <a:avLst/>
                    </a:prstGeom>
                    <a:noFill/>
                  </pic:spPr>
                </pic:pic>
              </a:graphicData>
            </a:graphic>
          </wp:inline>
        </w:drawing>
      </w:r>
    </w:p>
    <w:p w14:paraId="49F4F34D" w14:textId="77777777" w:rsidR="007C3763" w:rsidRDefault="007C3763">
      <w:pPr>
        <w:spacing w:line="276" w:lineRule="auto"/>
      </w:pPr>
      <w:r>
        <w:br w:type="page"/>
      </w:r>
    </w:p>
    <w:p w14:paraId="2AD6E841" w14:textId="16CA1C53" w:rsidR="00B65767" w:rsidRDefault="00B65767" w:rsidP="006261FB">
      <w:pPr>
        <w:pStyle w:val="AltHeading3"/>
      </w:pPr>
      <w:bookmarkStart w:id="143" w:name="_Hlk161214642"/>
      <w:r>
        <w:lastRenderedPageBreak/>
        <w:t xml:space="preserve">Scenario Nine: Increase in </w:t>
      </w:r>
      <w:r w:rsidR="00553B76">
        <w:t xml:space="preserve">maximum </w:t>
      </w:r>
      <w:r>
        <w:t xml:space="preserve">quantity of </w:t>
      </w:r>
      <w:proofErr w:type="gramStart"/>
      <w:r w:rsidR="00B078DC">
        <w:t>caps</w:t>
      </w:r>
      <w:proofErr w:type="gramEnd"/>
    </w:p>
    <w:p w14:paraId="1198E17B" w14:textId="6E12B72A" w:rsidR="00B65767" w:rsidRPr="0033520C" w:rsidRDefault="00B65767" w:rsidP="00B65767">
      <w:pPr>
        <w:pStyle w:val="BodyText"/>
      </w:pPr>
      <w:r>
        <w:t>Stakeholder feedback showed w</w:t>
      </w:r>
      <w:r w:rsidRPr="00C50E8C">
        <w:t xml:space="preserve">ide support for rationalisation of quantities for certain products, particularly </w:t>
      </w:r>
      <w:r>
        <w:t>maximum</w:t>
      </w:r>
      <w:r w:rsidRPr="00C50E8C">
        <w:t xml:space="preserve"> quantities of bags</w:t>
      </w:r>
      <w:r w:rsidR="002231F8">
        <w:t xml:space="preserve">, </w:t>
      </w:r>
      <w:proofErr w:type="gramStart"/>
      <w:r w:rsidR="002231F8">
        <w:t>caps</w:t>
      </w:r>
      <w:proofErr w:type="gramEnd"/>
      <w:r w:rsidRPr="00C50E8C">
        <w:t xml:space="preserve"> and seals to align with usage</w:t>
      </w:r>
      <w:r>
        <w:t xml:space="preserve">. </w:t>
      </w:r>
      <w:r w:rsidR="000D11EE">
        <w:t xml:space="preserve">This Scenario tests the impact of </w:t>
      </w:r>
      <w:r w:rsidR="009F7917">
        <w:t xml:space="preserve">increasing </w:t>
      </w:r>
      <w:r w:rsidR="00B41F8D">
        <w:t>the maximum quantity of stoma caps (</w:t>
      </w:r>
      <w:r w:rsidR="00817CCC">
        <w:t xml:space="preserve">group </w:t>
      </w:r>
      <w:r w:rsidR="00B41F8D">
        <w:t>01a)</w:t>
      </w:r>
      <w:r w:rsidR="00817CCC">
        <w:t xml:space="preserve"> from 60 per month to 90</w:t>
      </w:r>
      <w:r w:rsidR="002231F8">
        <w:t>.</w:t>
      </w:r>
    </w:p>
    <w:p w14:paraId="310ED352" w14:textId="526D9F4B" w:rsidR="00B65767" w:rsidRDefault="00B65767" w:rsidP="00B65767">
      <w:pPr>
        <w:pStyle w:val="BodyText"/>
      </w:pPr>
      <w:r w:rsidRPr="008203B9">
        <w:t xml:space="preserve">It was found that </w:t>
      </w:r>
      <w:r w:rsidR="0000027F">
        <w:t>the</w:t>
      </w:r>
      <w:r>
        <w:t xml:space="preserve"> increase in maximum quantity of </w:t>
      </w:r>
      <w:r w:rsidR="0000027F">
        <w:t>caps</w:t>
      </w:r>
      <w:r>
        <w:t xml:space="preserve"> in</w:t>
      </w:r>
      <w:r w:rsidRPr="008203B9">
        <w:t xml:space="preserve"> FY2</w:t>
      </w:r>
      <w:r w:rsidR="00D7029C">
        <w:t>5</w:t>
      </w:r>
      <w:r w:rsidRPr="008203B9">
        <w:t>-2</w:t>
      </w:r>
      <w:r w:rsidR="00D7029C">
        <w:t>6</w:t>
      </w:r>
      <w:r w:rsidRPr="008203B9">
        <w:t xml:space="preserve"> (</w:t>
      </w:r>
      <w:r>
        <w:t xml:space="preserve">total expenditure </w:t>
      </w:r>
      <w:r w:rsidR="00D7029C" w:rsidRPr="00D7029C">
        <w:t>$126,792,538</w:t>
      </w:r>
      <w:r w:rsidRPr="008203B9">
        <w:t>)</w:t>
      </w:r>
      <w:r>
        <w:t xml:space="preserve">, could result in an additional </w:t>
      </w:r>
      <w:r w:rsidRPr="00646535">
        <w:rPr>
          <w:b/>
          <w:bCs/>
        </w:rPr>
        <w:t>$</w:t>
      </w:r>
      <w:r w:rsidR="00D7029C" w:rsidRPr="00D7029C">
        <w:rPr>
          <w:b/>
          <w:bCs/>
        </w:rPr>
        <w:t xml:space="preserve">$14,850 </w:t>
      </w:r>
      <w:r>
        <w:t>(a</w:t>
      </w:r>
      <w:r w:rsidRPr="00957211">
        <w:rPr>
          <w:b/>
          <w:bCs/>
        </w:rPr>
        <w:t xml:space="preserve"> </w:t>
      </w:r>
      <w:r w:rsidR="004B0E7A">
        <w:rPr>
          <w:b/>
          <w:bCs/>
        </w:rPr>
        <w:t>0.01</w:t>
      </w:r>
      <w:r w:rsidRPr="00957211">
        <w:rPr>
          <w:b/>
          <w:bCs/>
        </w:rPr>
        <w:t xml:space="preserve">% </w:t>
      </w:r>
      <w:r>
        <w:rPr>
          <w:b/>
          <w:bCs/>
        </w:rPr>
        <w:t>increase</w:t>
      </w:r>
      <w:r w:rsidRPr="00957211">
        <w:rPr>
          <w:b/>
          <w:bCs/>
        </w:rPr>
        <w:t xml:space="preserve"> </w:t>
      </w:r>
      <w:r>
        <w:rPr>
          <w:b/>
          <w:bCs/>
        </w:rPr>
        <w:t>in expenditure for the Scheme)</w:t>
      </w:r>
      <w:r>
        <w:t xml:space="preserve">. </w:t>
      </w:r>
      <w:r w:rsidR="00D35FA5">
        <w:fldChar w:fldCharType="begin"/>
      </w:r>
      <w:r w:rsidR="00D35FA5">
        <w:instrText xml:space="preserve"> REF _Ref157610854 \h </w:instrText>
      </w:r>
      <w:r w:rsidR="00D35FA5">
        <w:fldChar w:fldCharType="separate"/>
      </w:r>
      <w:r w:rsidR="00FE1418">
        <w:t xml:space="preserve">Figure </w:t>
      </w:r>
      <w:r w:rsidR="00FE1418">
        <w:rPr>
          <w:noProof/>
        </w:rPr>
        <w:t>26</w:t>
      </w:r>
      <w:r w:rsidR="00D35FA5">
        <w:fldChar w:fldCharType="end"/>
      </w:r>
      <w:r w:rsidR="00D35FA5">
        <w:t xml:space="preserve"> </w:t>
      </w:r>
      <w:r>
        <w:t xml:space="preserve">provides three years of </w:t>
      </w:r>
      <w:r w:rsidR="00D7029C">
        <w:t xml:space="preserve">predicted </w:t>
      </w:r>
      <w:r>
        <w:t xml:space="preserve">expenditure related to this scenario and highlights the change would </w:t>
      </w:r>
      <w:r w:rsidRPr="00B4661D">
        <w:t xml:space="preserve">affect </w:t>
      </w:r>
      <w:r w:rsidR="007E1034">
        <w:t>25</w:t>
      </w:r>
      <w:r w:rsidRPr="00B4661D">
        <w:t xml:space="preserve"> ostomates</w:t>
      </w:r>
      <w:r>
        <w:t xml:space="preserve"> </w:t>
      </w:r>
      <w:r w:rsidR="007E1034">
        <w:t xml:space="preserve">who are currently ordering the maximum monthly amount. </w:t>
      </w:r>
    </w:p>
    <w:p w14:paraId="20CDCE01" w14:textId="7A3E9F86" w:rsidR="00B65767" w:rsidRDefault="00B65767" w:rsidP="00B65767">
      <w:pPr>
        <w:pStyle w:val="Caption"/>
      </w:pPr>
      <w:bookmarkStart w:id="144" w:name="_Ref157610854"/>
      <w:bookmarkStart w:id="145" w:name="_Toc161743150"/>
      <w:bookmarkEnd w:id="143"/>
      <w:r>
        <w:t xml:space="preserve">Figure </w:t>
      </w:r>
      <w:r>
        <w:fldChar w:fldCharType="begin"/>
      </w:r>
      <w:r>
        <w:instrText xml:space="preserve"> SEQ Figure \* ARABIC </w:instrText>
      </w:r>
      <w:r>
        <w:fldChar w:fldCharType="separate"/>
      </w:r>
      <w:r w:rsidR="00FE1418">
        <w:rPr>
          <w:noProof/>
        </w:rPr>
        <w:t>26</w:t>
      </w:r>
      <w:r>
        <w:rPr>
          <w:noProof/>
        </w:rPr>
        <w:fldChar w:fldCharType="end"/>
      </w:r>
      <w:bookmarkEnd w:id="144"/>
      <w:r>
        <w:t xml:space="preserve">: Expenditure </w:t>
      </w:r>
      <w:r w:rsidRPr="00192B1B">
        <w:t xml:space="preserve">related to </w:t>
      </w:r>
      <w:r w:rsidR="00416203">
        <w:t xml:space="preserve">increasing maximum quantity of caps on the </w:t>
      </w:r>
      <w:proofErr w:type="gramStart"/>
      <w:r w:rsidR="00416203">
        <w:t>Scheme</w:t>
      </w:r>
      <w:bookmarkEnd w:id="145"/>
      <w:proofErr w:type="gramEnd"/>
    </w:p>
    <w:tbl>
      <w:tblPr>
        <w:tblStyle w:val="TableHealthConsultPurple"/>
        <w:tblpPr w:leftFromText="180" w:rightFromText="180" w:vertAnchor="text" w:horzAnchor="page" w:tblpX="8392" w:tblpY="129"/>
        <w:tblW w:w="2470" w:type="pct"/>
        <w:tblLayout w:type="fixed"/>
        <w:tblLook w:val="04E0" w:firstRow="1" w:lastRow="1" w:firstColumn="1" w:lastColumn="0" w:noHBand="0" w:noVBand="1"/>
      </w:tblPr>
      <w:tblGrid>
        <w:gridCol w:w="994"/>
        <w:gridCol w:w="3826"/>
        <w:gridCol w:w="2378"/>
      </w:tblGrid>
      <w:tr w:rsidR="00B65767" w:rsidRPr="00F86DE1" w14:paraId="639D11DE" w14:textId="77777777" w:rsidTr="00D70686">
        <w:trPr>
          <w:cnfStyle w:val="100000000000" w:firstRow="1" w:lastRow="0" w:firstColumn="0" w:lastColumn="0" w:oddVBand="0" w:evenVBand="0" w:oddHBand="0" w:evenHBand="0" w:firstRowFirstColumn="0" w:firstRowLastColumn="0" w:lastRowFirstColumn="0" w:lastRowLastColumn="0"/>
          <w:trHeight w:val="419"/>
        </w:trPr>
        <w:tc>
          <w:tcPr>
            <w:cnfStyle w:val="001000000100" w:firstRow="0" w:lastRow="0" w:firstColumn="1" w:lastColumn="0" w:oddVBand="0" w:evenVBand="0" w:oddHBand="0" w:evenHBand="0" w:firstRowFirstColumn="1" w:firstRowLastColumn="0" w:lastRowFirstColumn="0" w:lastRowLastColumn="0"/>
            <w:tcW w:w="3348" w:type="pct"/>
            <w:gridSpan w:val="2"/>
            <w:noWrap/>
            <w:hideMark/>
          </w:tcPr>
          <w:p w14:paraId="1264AE58" w14:textId="77777777" w:rsidR="00B65767" w:rsidRPr="00F86DE1" w:rsidRDefault="00B65767" w:rsidP="005C7AC1">
            <w:pPr>
              <w:pStyle w:val="BodyText"/>
              <w:jc w:val="center"/>
              <w:rPr>
                <w:sz w:val="16"/>
                <w:szCs w:val="20"/>
                <w:lang w:eastAsia="en-AU"/>
              </w:rPr>
            </w:pPr>
            <w:r w:rsidRPr="00F86DE1">
              <w:rPr>
                <w:sz w:val="16"/>
                <w:szCs w:val="20"/>
                <w:lang w:eastAsia="en-AU"/>
              </w:rPr>
              <w:t>Scenario</w:t>
            </w:r>
            <w:r>
              <w:rPr>
                <w:sz w:val="16"/>
                <w:szCs w:val="20"/>
                <w:lang w:eastAsia="en-AU"/>
              </w:rPr>
              <w:t>:</w:t>
            </w:r>
          </w:p>
        </w:tc>
        <w:tc>
          <w:tcPr>
            <w:tcW w:w="1652" w:type="pct"/>
            <w:noWrap/>
            <w:hideMark/>
          </w:tcPr>
          <w:p w14:paraId="3B811F5D" w14:textId="511E9570" w:rsidR="00B65767" w:rsidRPr="00F86DE1" w:rsidRDefault="005C3670" w:rsidP="005C7AC1">
            <w:pPr>
              <w:pStyle w:val="BodyText"/>
              <w:cnfStyle w:val="100000000000" w:firstRow="1" w:lastRow="0" w:firstColumn="0" w:lastColumn="0" w:oddVBand="0" w:evenVBand="0" w:oddHBand="0" w:evenHBand="0" w:firstRowFirstColumn="0" w:firstRowLastColumn="0" w:lastRowFirstColumn="0" w:lastRowLastColumn="0"/>
              <w:rPr>
                <w:bCs/>
                <w:sz w:val="16"/>
                <w:szCs w:val="20"/>
                <w:lang w:eastAsia="en-AU"/>
              </w:rPr>
            </w:pPr>
            <w:r>
              <w:rPr>
                <w:bCs/>
                <w:sz w:val="16"/>
                <w:szCs w:val="20"/>
                <w:lang w:eastAsia="en-AU"/>
              </w:rPr>
              <w:t>I</w:t>
            </w:r>
            <w:r w:rsidR="00B65767" w:rsidRPr="00F86DE1">
              <w:rPr>
                <w:bCs/>
                <w:sz w:val="16"/>
                <w:szCs w:val="20"/>
                <w:lang w:eastAsia="en-AU"/>
              </w:rPr>
              <w:t xml:space="preserve">ncrease in </w:t>
            </w:r>
            <w:r>
              <w:rPr>
                <w:bCs/>
                <w:sz w:val="16"/>
                <w:szCs w:val="20"/>
                <w:lang w:eastAsia="en-AU"/>
              </w:rPr>
              <w:t>maximum</w:t>
            </w:r>
            <w:r w:rsidRPr="00F86DE1">
              <w:rPr>
                <w:bCs/>
                <w:sz w:val="16"/>
                <w:szCs w:val="20"/>
                <w:lang w:eastAsia="en-AU"/>
              </w:rPr>
              <w:t xml:space="preserve"> </w:t>
            </w:r>
            <w:r w:rsidR="00B65767" w:rsidRPr="00F86DE1">
              <w:rPr>
                <w:bCs/>
                <w:sz w:val="16"/>
                <w:szCs w:val="20"/>
                <w:lang w:eastAsia="en-AU"/>
              </w:rPr>
              <w:t xml:space="preserve">quantity of </w:t>
            </w:r>
            <w:r>
              <w:rPr>
                <w:bCs/>
                <w:sz w:val="16"/>
                <w:szCs w:val="20"/>
                <w:lang w:eastAsia="en-AU"/>
              </w:rPr>
              <w:t>caps</w:t>
            </w:r>
            <w:r w:rsidR="00CE4DF7">
              <w:rPr>
                <w:bCs/>
                <w:sz w:val="16"/>
                <w:szCs w:val="20"/>
                <w:lang w:eastAsia="en-AU"/>
              </w:rPr>
              <w:t xml:space="preserve"> (01a)</w:t>
            </w:r>
          </w:p>
        </w:tc>
      </w:tr>
      <w:tr w:rsidR="00EA06EA" w:rsidRPr="00F86DE1" w14:paraId="579AE127" w14:textId="77777777" w:rsidTr="00D70686">
        <w:trPr>
          <w:trHeight w:val="336"/>
        </w:trPr>
        <w:tc>
          <w:tcPr>
            <w:cnfStyle w:val="001000000000" w:firstRow="0" w:lastRow="0" w:firstColumn="1" w:lastColumn="0" w:oddVBand="0" w:evenVBand="0" w:oddHBand="0" w:evenHBand="0" w:firstRowFirstColumn="0" w:firstRowLastColumn="0" w:lastRowFirstColumn="0" w:lastRowLastColumn="0"/>
            <w:tcW w:w="690" w:type="pct"/>
            <w:vMerge w:val="restart"/>
            <w:hideMark/>
          </w:tcPr>
          <w:p w14:paraId="1BC35EBF" w14:textId="7A3835AE" w:rsidR="00EA06EA" w:rsidRPr="00F86DE1" w:rsidRDefault="00EA06EA" w:rsidP="00EA06EA">
            <w:pPr>
              <w:pStyle w:val="BodyText"/>
              <w:rPr>
                <w:b w:val="0"/>
                <w:bCs/>
                <w:sz w:val="16"/>
                <w:szCs w:val="20"/>
                <w:lang w:eastAsia="en-AU"/>
              </w:rPr>
            </w:pPr>
            <w:r w:rsidRPr="00377AB5">
              <w:rPr>
                <w:bCs/>
                <w:sz w:val="16"/>
                <w:szCs w:val="20"/>
                <w:lang w:eastAsia="en-AU"/>
              </w:rPr>
              <w:t>2023-24</w:t>
            </w:r>
          </w:p>
        </w:tc>
        <w:tc>
          <w:tcPr>
            <w:tcW w:w="2658" w:type="pct"/>
            <w:hideMark/>
          </w:tcPr>
          <w:p w14:paraId="31168AD9" w14:textId="1C30005A" w:rsidR="00EA06EA" w:rsidRPr="00B91542" w:rsidRDefault="00EA06EA" w:rsidP="00EA06EA">
            <w:pPr>
              <w:pStyle w:val="BodyText"/>
              <w:cnfStyle w:val="000000000000" w:firstRow="0" w:lastRow="0" w:firstColumn="0" w:lastColumn="0" w:oddVBand="0" w:evenVBand="0" w:oddHBand="0" w:evenHBand="0" w:firstRowFirstColumn="0" w:firstRowLastColumn="0" w:lastRowFirstColumn="0" w:lastRowLastColumn="0"/>
              <w:rPr>
                <w:b/>
                <w:bCs/>
                <w:sz w:val="16"/>
                <w:szCs w:val="20"/>
                <w:lang w:eastAsia="en-AU"/>
              </w:rPr>
            </w:pPr>
            <w:r w:rsidRPr="007857CA">
              <w:rPr>
                <w:b/>
                <w:bCs/>
                <w:sz w:val="16"/>
                <w:szCs w:val="20"/>
                <w:lang w:eastAsia="en-AU"/>
              </w:rPr>
              <w:t>Change in expenditure from predicted</w:t>
            </w:r>
          </w:p>
        </w:tc>
        <w:tc>
          <w:tcPr>
            <w:tcW w:w="1652" w:type="pct"/>
            <w:noWrap/>
            <w:vAlign w:val="center"/>
            <w:hideMark/>
          </w:tcPr>
          <w:p w14:paraId="48D968EB" w14:textId="482EA041" w:rsidR="00EA06EA" w:rsidRPr="00EA06EA" w:rsidRDefault="00EA06EA" w:rsidP="00EA06EA">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EB7DB4">
              <w:rPr>
                <w:rFonts w:ascii="Poppins" w:hAnsi="Poppins" w:cs="Poppins"/>
                <w:b/>
                <w:bCs/>
                <w:color w:val="000000"/>
                <w:sz w:val="16"/>
                <w:szCs w:val="16"/>
              </w:rPr>
              <w:t>$9,736</w:t>
            </w:r>
            <w:r w:rsidRPr="00EB7DB4">
              <w:rPr>
                <w:rFonts w:ascii="Poppins" w:hAnsi="Poppins" w:cs="Poppins"/>
                <w:color w:val="000000"/>
                <w:sz w:val="16"/>
                <w:szCs w:val="16"/>
              </w:rPr>
              <w:t xml:space="preserve"> </w:t>
            </w:r>
          </w:p>
        </w:tc>
      </w:tr>
      <w:tr w:rsidR="00EA06EA" w:rsidRPr="00F86DE1" w14:paraId="03806AC6" w14:textId="77777777" w:rsidTr="00D70686">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90" w:type="pct"/>
            <w:vMerge/>
            <w:hideMark/>
          </w:tcPr>
          <w:p w14:paraId="6BBC7094" w14:textId="77777777" w:rsidR="00EA06EA" w:rsidRPr="00F86DE1" w:rsidRDefault="00EA06EA" w:rsidP="00EA06EA">
            <w:pPr>
              <w:pStyle w:val="BodyText"/>
              <w:rPr>
                <w:bCs/>
                <w:sz w:val="16"/>
                <w:szCs w:val="20"/>
                <w:lang w:eastAsia="en-AU"/>
              </w:rPr>
            </w:pPr>
          </w:p>
        </w:tc>
        <w:tc>
          <w:tcPr>
            <w:tcW w:w="2658" w:type="pct"/>
            <w:hideMark/>
          </w:tcPr>
          <w:p w14:paraId="3737CEAF" w14:textId="478FF97E" w:rsidR="00EA06EA" w:rsidRPr="00F86DE1" w:rsidRDefault="00EA06EA" w:rsidP="00EA06EA">
            <w:pPr>
              <w:pStyle w:val="BodyText"/>
              <w:cnfStyle w:val="000000010000" w:firstRow="0" w:lastRow="0" w:firstColumn="0" w:lastColumn="0" w:oddVBand="0" w:evenVBand="0" w:oddHBand="0" w:evenHBand="1" w:firstRowFirstColumn="0" w:firstRowLastColumn="0" w:lastRowFirstColumn="0" w:lastRowLastColumn="0"/>
              <w:rPr>
                <w:bCs/>
                <w:sz w:val="16"/>
                <w:szCs w:val="20"/>
                <w:lang w:eastAsia="en-AU"/>
              </w:rPr>
            </w:pPr>
            <w:r w:rsidRPr="00377AB5">
              <w:rPr>
                <w:bCs/>
                <w:sz w:val="16"/>
                <w:szCs w:val="20"/>
                <w:lang w:eastAsia="en-AU"/>
              </w:rPr>
              <w:t xml:space="preserve">Percentage change </w:t>
            </w:r>
          </w:p>
        </w:tc>
        <w:tc>
          <w:tcPr>
            <w:tcW w:w="1652" w:type="pct"/>
            <w:noWrap/>
            <w:vAlign w:val="center"/>
            <w:hideMark/>
          </w:tcPr>
          <w:p w14:paraId="7300DF38" w14:textId="3FC6B55B" w:rsidR="00EA06EA" w:rsidRPr="00EA06EA" w:rsidRDefault="00EA06EA" w:rsidP="00EA06EA">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Pr>
                <w:rFonts w:ascii="Poppins" w:hAnsi="Poppins" w:cs="Poppins"/>
                <w:color w:val="000000"/>
                <w:sz w:val="16"/>
                <w:szCs w:val="16"/>
              </w:rPr>
              <w:t>+</w:t>
            </w:r>
            <w:r w:rsidRPr="00EB7DB4">
              <w:rPr>
                <w:rFonts w:ascii="Poppins" w:hAnsi="Poppins" w:cs="Poppins"/>
                <w:color w:val="000000"/>
                <w:sz w:val="16"/>
                <w:szCs w:val="16"/>
              </w:rPr>
              <w:t>0.01%</w:t>
            </w:r>
          </w:p>
        </w:tc>
      </w:tr>
      <w:tr w:rsidR="00EA06EA" w:rsidRPr="00F86DE1" w14:paraId="20F4B903" w14:textId="77777777" w:rsidTr="00D70686">
        <w:trPr>
          <w:trHeight w:val="471"/>
        </w:trPr>
        <w:tc>
          <w:tcPr>
            <w:cnfStyle w:val="001000000000" w:firstRow="0" w:lastRow="0" w:firstColumn="1" w:lastColumn="0" w:oddVBand="0" w:evenVBand="0" w:oddHBand="0" w:evenHBand="0" w:firstRowFirstColumn="0" w:firstRowLastColumn="0" w:lastRowFirstColumn="0" w:lastRowLastColumn="0"/>
            <w:tcW w:w="690" w:type="pct"/>
            <w:vMerge w:val="restart"/>
            <w:hideMark/>
          </w:tcPr>
          <w:p w14:paraId="708CD21E" w14:textId="21CCFAB7" w:rsidR="00EA06EA" w:rsidRPr="00F86DE1" w:rsidRDefault="00EA06EA" w:rsidP="00EA06EA">
            <w:pPr>
              <w:pStyle w:val="BodyText"/>
              <w:rPr>
                <w:b w:val="0"/>
                <w:bCs/>
                <w:sz w:val="16"/>
                <w:szCs w:val="20"/>
                <w:lang w:eastAsia="en-AU"/>
              </w:rPr>
            </w:pPr>
            <w:r w:rsidRPr="00377AB5">
              <w:rPr>
                <w:bCs/>
                <w:sz w:val="16"/>
                <w:szCs w:val="20"/>
                <w:lang w:eastAsia="en-AU"/>
              </w:rPr>
              <w:t>2024-25</w:t>
            </w:r>
          </w:p>
        </w:tc>
        <w:tc>
          <w:tcPr>
            <w:tcW w:w="2658" w:type="pct"/>
            <w:hideMark/>
          </w:tcPr>
          <w:p w14:paraId="6565BED5" w14:textId="02E3BF54" w:rsidR="00EA06EA" w:rsidRPr="00B91542" w:rsidRDefault="00EA06EA" w:rsidP="00EA06EA">
            <w:pPr>
              <w:pStyle w:val="BodyText"/>
              <w:cnfStyle w:val="000000000000" w:firstRow="0" w:lastRow="0" w:firstColumn="0" w:lastColumn="0" w:oddVBand="0" w:evenVBand="0" w:oddHBand="0" w:evenHBand="0" w:firstRowFirstColumn="0" w:firstRowLastColumn="0" w:lastRowFirstColumn="0" w:lastRowLastColumn="0"/>
              <w:rPr>
                <w:b/>
                <w:bCs/>
                <w:sz w:val="16"/>
                <w:szCs w:val="20"/>
                <w:lang w:eastAsia="en-AU"/>
              </w:rPr>
            </w:pPr>
            <w:r w:rsidRPr="007857CA">
              <w:rPr>
                <w:b/>
                <w:bCs/>
                <w:sz w:val="16"/>
                <w:szCs w:val="20"/>
                <w:lang w:eastAsia="en-AU"/>
              </w:rPr>
              <w:t>Change in expenditure</w:t>
            </w:r>
            <w:r w:rsidRPr="007857CA">
              <w:rPr>
                <w:b/>
                <w:bCs/>
                <w:sz w:val="16"/>
                <w:szCs w:val="20"/>
              </w:rPr>
              <w:t xml:space="preserve"> </w:t>
            </w:r>
            <w:r w:rsidRPr="007857CA">
              <w:rPr>
                <w:b/>
                <w:bCs/>
                <w:sz w:val="16"/>
                <w:szCs w:val="20"/>
                <w:lang w:eastAsia="en-AU"/>
              </w:rPr>
              <w:t>from predicted</w:t>
            </w:r>
          </w:p>
        </w:tc>
        <w:tc>
          <w:tcPr>
            <w:tcW w:w="1652" w:type="pct"/>
            <w:noWrap/>
            <w:vAlign w:val="center"/>
            <w:hideMark/>
          </w:tcPr>
          <w:p w14:paraId="0B56EDFD" w14:textId="4528326F" w:rsidR="00EA06EA" w:rsidRPr="00EA06EA" w:rsidRDefault="00EA06EA" w:rsidP="00EA06EA">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EB7DB4">
              <w:rPr>
                <w:rFonts w:ascii="Poppins" w:hAnsi="Poppins" w:cs="Poppins"/>
                <w:b/>
                <w:bCs/>
                <w:color w:val="000000"/>
                <w:sz w:val="16"/>
                <w:szCs w:val="16"/>
              </w:rPr>
              <w:t xml:space="preserve">$12,293 </w:t>
            </w:r>
          </w:p>
        </w:tc>
      </w:tr>
      <w:tr w:rsidR="00EA06EA" w:rsidRPr="00F86DE1" w14:paraId="2B5C7C83" w14:textId="77777777" w:rsidTr="00D70686">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90" w:type="pct"/>
            <w:vMerge/>
            <w:hideMark/>
          </w:tcPr>
          <w:p w14:paraId="676A611C" w14:textId="77777777" w:rsidR="00EA06EA" w:rsidRPr="00F86DE1" w:rsidRDefault="00EA06EA" w:rsidP="00EA06EA">
            <w:pPr>
              <w:pStyle w:val="BodyText"/>
              <w:rPr>
                <w:bCs/>
                <w:sz w:val="16"/>
                <w:szCs w:val="20"/>
                <w:lang w:eastAsia="en-AU"/>
              </w:rPr>
            </w:pPr>
          </w:p>
        </w:tc>
        <w:tc>
          <w:tcPr>
            <w:tcW w:w="2658" w:type="pct"/>
            <w:hideMark/>
          </w:tcPr>
          <w:p w14:paraId="771C51C6" w14:textId="7ABF9ED9" w:rsidR="00EA06EA" w:rsidRPr="00F86DE1" w:rsidRDefault="00EA06EA" w:rsidP="00EA06EA">
            <w:pPr>
              <w:pStyle w:val="BodyText"/>
              <w:cnfStyle w:val="000000010000" w:firstRow="0" w:lastRow="0" w:firstColumn="0" w:lastColumn="0" w:oddVBand="0" w:evenVBand="0" w:oddHBand="0" w:evenHBand="1" w:firstRowFirstColumn="0" w:firstRowLastColumn="0" w:lastRowFirstColumn="0" w:lastRowLastColumn="0"/>
              <w:rPr>
                <w:bCs/>
                <w:sz w:val="16"/>
                <w:szCs w:val="20"/>
                <w:lang w:eastAsia="en-AU"/>
              </w:rPr>
            </w:pPr>
            <w:r w:rsidRPr="00377AB5">
              <w:rPr>
                <w:bCs/>
                <w:sz w:val="16"/>
                <w:szCs w:val="20"/>
                <w:lang w:eastAsia="en-AU"/>
              </w:rPr>
              <w:t xml:space="preserve">Percentage change </w:t>
            </w:r>
          </w:p>
        </w:tc>
        <w:tc>
          <w:tcPr>
            <w:tcW w:w="1652" w:type="pct"/>
            <w:noWrap/>
            <w:vAlign w:val="center"/>
            <w:hideMark/>
          </w:tcPr>
          <w:p w14:paraId="147A1AA2" w14:textId="3223A604" w:rsidR="00EA06EA" w:rsidRPr="00EA06EA" w:rsidRDefault="00EA06EA" w:rsidP="00EA06EA">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Pr>
                <w:rFonts w:ascii="Poppins" w:hAnsi="Poppins" w:cs="Poppins"/>
                <w:color w:val="000000"/>
                <w:sz w:val="16"/>
                <w:szCs w:val="16"/>
              </w:rPr>
              <w:t>+</w:t>
            </w:r>
            <w:r w:rsidRPr="00EB7DB4">
              <w:rPr>
                <w:rFonts w:ascii="Poppins" w:hAnsi="Poppins" w:cs="Poppins"/>
                <w:color w:val="000000"/>
                <w:sz w:val="16"/>
                <w:szCs w:val="16"/>
              </w:rPr>
              <w:t>0.01%</w:t>
            </w:r>
          </w:p>
        </w:tc>
      </w:tr>
      <w:tr w:rsidR="00EA06EA" w:rsidRPr="00F86DE1" w14:paraId="629442FA" w14:textId="77777777" w:rsidTr="00D70686">
        <w:trPr>
          <w:trHeight w:val="336"/>
        </w:trPr>
        <w:tc>
          <w:tcPr>
            <w:cnfStyle w:val="001000000000" w:firstRow="0" w:lastRow="0" w:firstColumn="1" w:lastColumn="0" w:oddVBand="0" w:evenVBand="0" w:oddHBand="0" w:evenHBand="0" w:firstRowFirstColumn="0" w:firstRowLastColumn="0" w:lastRowFirstColumn="0" w:lastRowLastColumn="0"/>
            <w:tcW w:w="690" w:type="pct"/>
            <w:vMerge w:val="restart"/>
            <w:hideMark/>
          </w:tcPr>
          <w:p w14:paraId="16218842" w14:textId="4BF72C83" w:rsidR="00EA06EA" w:rsidRPr="00F86DE1" w:rsidRDefault="00EA06EA" w:rsidP="00EA06EA">
            <w:pPr>
              <w:pStyle w:val="BodyText"/>
              <w:rPr>
                <w:b w:val="0"/>
                <w:bCs/>
                <w:sz w:val="16"/>
                <w:szCs w:val="20"/>
                <w:lang w:eastAsia="en-AU"/>
              </w:rPr>
            </w:pPr>
            <w:r w:rsidRPr="00377AB5">
              <w:rPr>
                <w:bCs/>
                <w:sz w:val="16"/>
                <w:szCs w:val="20"/>
                <w:lang w:eastAsia="en-AU"/>
              </w:rPr>
              <w:t>2025-26</w:t>
            </w:r>
          </w:p>
        </w:tc>
        <w:tc>
          <w:tcPr>
            <w:tcW w:w="2658" w:type="pct"/>
            <w:hideMark/>
          </w:tcPr>
          <w:p w14:paraId="1F74F736" w14:textId="6FE8EF38" w:rsidR="00EA06EA" w:rsidRPr="00B91542" w:rsidRDefault="00EA06EA" w:rsidP="00EA06EA">
            <w:pPr>
              <w:pStyle w:val="BodyText"/>
              <w:cnfStyle w:val="000000000000" w:firstRow="0" w:lastRow="0" w:firstColumn="0" w:lastColumn="0" w:oddVBand="0" w:evenVBand="0" w:oddHBand="0" w:evenHBand="0" w:firstRowFirstColumn="0" w:firstRowLastColumn="0" w:lastRowFirstColumn="0" w:lastRowLastColumn="0"/>
              <w:rPr>
                <w:b/>
                <w:bCs/>
                <w:sz w:val="16"/>
                <w:szCs w:val="20"/>
                <w:lang w:eastAsia="en-AU"/>
              </w:rPr>
            </w:pPr>
            <w:r w:rsidRPr="007857CA">
              <w:rPr>
                <w:b/>
                <w:bCs/>
                <w:sz w:val="16"/>
                <w:szCs w:val="20"/>
                <w:lang w:eastAsia="en-AU"/>
              </w:rPr>
              <w:t>Change in expenditure</w:t>
            </w:r>
            <w:r w:rsidRPr="007857CA">
              <w:rPr>
                <w:b/>
                <w:bCs/>
                <w:sz w:val="16"/>
                <w:szCs w:val="20"/>
              </w:rPr>
              <w:t xml:space="preserve"> </w:t>
            </w:r>
            <w:r w:rsidRPr="007857CA">
              <w:rPr>
                <w:b/>
                <w:bCs/>
                <w:sz w:val="16"/>
                <w:szCs w:val="20"/>
                <w:lang w:eastAsia="en-AU"/>
              </w:rPr>
              <w:t>from predicted</w:t>
            </w:r>
          </w:p>
        </w:tc>
        <w:tc>
          <w:tcPr>
            <w:tcW w:w="1652" w:type="pct"/>
            <w:noWrap/>
            <w:vAlign w:val="center"/>
            <w:hideMark/>
          </w:tcPr>
          <w:p w14:paraId="653CA509" w14:textId="1CA4AB31" w:rsidR="00EA06EA" w:rsidRPr="00EA06EA" w:rsidRDefault="00EA06EA" w:rsidP="00EA06EA">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EB7DB4">
              <w:rPr>
                <w:rFonts w:ascii="Poppins" w:hAnsi="Poppins" w:cs="Poppins"/>
                <w:b/>
                <w:bCs/>
                <w:color w:val="000000"/>
                <w:sz w:val="16"/>
                <w:szCs w:val="16"/>
              </w:rPr>
              <w:t xml:space="preserve">$14,850 </w:t>
            </w:r>
          </w:p>
        </w:tc>
      </w:tr>
      <w:tr w:rsidR="00EA06EA" w:rsidRPr="00F86DE1" w14:paraId="122A8975" w14:textId="77777777" w:rsidTr="00D70686">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690" w:type="pct"/>
            <w:vMerge/>
            <w:hideMark/>
          </w:tcPr>
          <w:p w14:paraId="6CDA628F" w14:textId="77777777" w:rsidR="00EA06EA" w:rsidRPr="00F86DE1" w:rsidRDefault="00EA06EA" w:rsidP="00EA06EA">
            <w:pPr>
              <w:pStyle w:val="BodyText"/>
              <w:rPr>
                <w:bCs/>
                <w:sz w:val="16"/>
                <w:szCs w:val="20"/>
                <w:lang w:eastAsia="en-AU"/>
              </w:rPr>
            </w:pPr>
          </w:p>
        </w:tc>
        <w:tc>
          <w:tcPr>
            <w:tcW w:w="2658" w:type="pct"/>
            <w:hideMark/>
          </w:tcPr>
          <w:p w14:paraId="1103FDD1" w14:textId="477F5302" w:rsidR="00EA06EA" w:rsidRPr="00F86DE1" w:rsidRDefault="00EA06EA" w:rsidP="00EA06EA">
            <w:pPr>
              <w:pStyle w:val="BodyText"/>
              <w:cnfStyle w:val="000000010000" w:firstRow="0" w:lastRow="0" w:firstColumn="0" w:lastColumn="0" w:oddVBand="0" w:evenVBand="0" w:oddHBand="0" w:evenHBand="1" w:firstRowFirstColumn="0" w:firstRowLastColumn="0" w:lastRowFirstColumn="0" w:lastRowLastColumn="0"/>
              <w:rPr>
                <w:bCs/>
                <w:sz w:val="16"/>
                <w:szCs w:val="20"/>
                <w:lang w:eastAsia="en-AU"/>
              </w:rPr>
            </w:pPr>
            <w:r w:rsidRPr="00377AB5">
              <w:rPr>
                <w:sz w:val="16"/>
                <w:szCs w:val="20"/>
                <w:lang w:eastAsia="en-AU"/>
              </w:rPr>
              <w:t>Percentage change</w:t>
            </w:r>
          </w:p>
        </w:tc>
        <w:tc>
          <w:tcPr>
            <w:tcW w:w="1652" w:type="pct"/>
            <w:noWrap/>
            <w:vAlign w:val="center"/>
            <w:hideMark/>
          </w:tcPr>
          <w:p w14:paraId="612CE3C3" w14:textId="74483211" w:rsidR="00EA06EA" w:rsidRPr="00EA06EA" w:rsidRDefault="00EA06EA" w:rsidP="00EA06EA">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Pr>
                <w:rFonts w:ascii="Poppins" w:hAnsi="Poppins" w:cs="Poppins"/>
                <w:color w:val="000000"/>
                <w:sz w:val="16"/>
                <w:szCs w:val="16"/>
              </w:rPr>
              <w:t>+</w:t>
            </w:r>
            <w:r w:rsidRPr="00EB7DB4">
              <w:rPr>
                <w:rFonts w:ascii="Poppins" w:hAnsi="Poppins" w:cs="Poppins"/>
                <w:color w:val="000000"/>
                <w:sz w:val="16"/>
                <w:szCs w:val="16"/>
              </w:rPr>
              <w:t>0.01%</w:t>
            </w:r>
          </w:p>
        </w:tc>
      </w:tr>
      <w:tr w:rsidR="001C6123" w:rsidRPr="00F86DE1" w14:paraId="5B5131A5" w14:textId="77777777" w:rsidTr="00D70686">
        <w:trPr>
          <w:cnfStyle w:val="010000000000" w:firstRow="0" w:lastRow="1"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690" w:type="pct"/>
            <w:vMerge/>
            <w:hideMark/>
          </w:tcPr>
          <w:p w14:paraId="04E80A46" w14:textId="77777777" w:rsidR="001C6123" w:rsidRPr="00F86DE1" w:rsidRDefault="001C6123" w:rsidP="001C6123">
            <w:pPr>
              <w:pStyle w:val="BodyText"/>
              <w:rPr>
                <w:bCs/>
                <w:sz w:val="16"/>
                <w:szCs w:val="20"/>
                <w:lang w:eastAsia="en-AU"/>
              </w:rPr>
            </w:pPr>
          </w:p>
        </w:tc>
        <w:tc>
          <w:tcPr>
            <w:tcW w:w="2658" w:type="pct"/>
            <w:shd w:val="clear" w:color="auto" w:fill="FBC6D0" w:themeFill="accent2" w:themeFillTint="33"/>
            <w:hideMark/>
          </w:tcPr>
          <w:p w14:paraId="54DEDED1" w14:textId="77777777" w:rsidR="001C6123" w:rsidRPr="00F86DE1" w:rsidRDefault="001C6123" w:rsidP="001C6123">
            <w:pPr>
              <w:pStyle w:val="BodyText"/>
              <w:cnfStyle w:val="010000000000" w:firstRow="0" w:lastRow="1" w:firstColumn="0" w:lastColumn="0" w:oddVBand="0" w:evenVBand="0" w:oddHBand="0" w:evenHBand="0" w:firstRowFirstColumn="0" w:firstRowLastColumn="0" w:lastRowFirstColumn="0" w:lastRowLastColumn="0"/>
              <w:rPr>
                <w:i/>
                <w:sz w:val="16"/>
                <w:szCs w:val="20"/>
                <w:lang w:eastAsia="en-AU"/>
              </w:rPr>
            </w:pPr>
            <w:r w:rsidRPr="00F86DE1">
              <w:rPr>
                <w:i/>
                <w:sz w:val="16"/>
                <w:szCs w:val="20"/>
                <w:lang w:eastAsia="en-AU"/>
              </w:rPr>
              <w:t>Number of ostomates impacted (based on current ostomate #)</w:t>
            </w:r>
          </w:p>
        </w:tc>
        <w:tc>
          <w:tcPr>
            <w:tcW w:w="1652" w:type="pct"/>
            <w:shd w:val="clear" w:color="auto" w:fill="FBC6D0" w:themeFill="accent2" w:themeFillTint="33"/>
            <w:noWrap/>
            <w:hideMark/>
          </w:tcPr>
          <w:p w14:paraId="0516EB65" w14:textId="593581E5" w:rsidR="001C6123" w:rsidRPr="00C9486C" w:rsidRDefault="001C6123" w:rsidP="001C6123">
            <w:pPr>
              <w:pStyle w:val="BodyText"/>
              <w:cnfStyle w:val="010000000000" w:firstRow="0" w:lastRow="1" w:firstColumn="0" w:lastColumn="0" w:oddVBand="0" w:evenVBand="0" w:oddHBand="0" w:evenHBand="0" w:firstRowFirstColumn="0" w:firstRowLastColumn="0" w:lastRowFirstColumn="0" w:lastRowLastColumn="0"/>
              <w:rPr>
                <w:i/>
                <w:iCs/>
                <w:color w:val="000000"/>
                <w:sz w:val="16"/>
                <w:szCs w:val="16"/>
                <w:lang w:eastAsia="en-AU"/>
              </w:rPr>
            </w:pPr>
            <w:r w:rsidRPr="00EB7DB4">
              <w:rPr>
                <w:i/>
                <w:iCs/>
                <w:sz w:val="16"/>
                <w:szCs w:val="16"/>
              </w:rPr>
              <w:t>25</w:t>
            </w:r>
          </w:p>
        </w:tc>
      </w:tr>
    </w:tbl>
    <w:p w14:paraId="03677FB6" w14:textId="5BF83035" w:rsidR="00A51E3D" w:rsidRDefault="006C5EB0" w:rsidP="00B65767">
      <w:r>
        <w:rPr>
          <w:noProof/>
        </w:rPr>
        <w:drawing>
          <wp:inline distT="0" distB="0" distL="0" distR="0" wp14:anchorId="561170C6" wp14:editId="644956BC">
            <wp:extent cx="4468495" cy="2877820"/>
            <wp:effectExtent l="0" t="0" r="8255" b="0"/>
            <wp:docPr id="1590174378" name="Picture 5" descr="Figure 26: Expenditure related to increasing maximum quantity of caps on the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174378" name="Picture 5" descr="Figure 26: Expenditure related to increasing maximum quantity of caps on the Scheme "/>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68495" cy="2877820"/>
                    </a:xfrm>
                    <a:prstGeom prst="rect">
                      <a:avLst/>
                    </a:prstGeom>
                    <a:noFill/>
                  </pic:spPr>
                </pic:pic>
              </a:graphicData>
            </a:graphic>
          </wp:inline>
        </w:drawing>
      </w:r>
      <w:r w:rsidR="00A51E3D">
        <w:br w:type="page"/>
      </w:r>
    </w:p>
    <w:p w14:paraId="2758FE11" w14:textId="6F46F426" w:rsidR="00A51E3D" w:rsidRDefault="00A51E3D" w:rsidP="00A51E3D">
      <w:pPr>
        <w:pStyle w:val="AltHeading3"/>
      </w:pPr>
      <w:r>
        <w:lastRenderedPageBreak/>
        <w:t xml:space="preserve">Scenario Ten: Increase in maximum quantity of </w:t>
      </w:r>
      <w:proofErr w:type="gramStart"/>
      <w:r w:rsidR="006446B8">
        <w:t>seals</w:t>
      </w:r>
      <w:proofErr w:type="gramEnd"/>
    </w:p>
    <w:p w14:paraId="1C179E88" w14:textId="2B31A188" w:rsidR="00A51E3D" w:rsidRPr="0033520C" w:rsidRDefault="006446B8" w:rsidP="00A51E3D">
      <w:pPr>
        <w:pStyle w:val="BodyText"/>
      </w:pPr>
      <w:r>
        <w:t>After s</w:t>
      </w:r>
      <w:r w:rsidR="00A51E3D">
        <w:t>takeholder feedbac</w:t>
      </w:r>
      <w:r>
        <w:t>k regarding aligning usage of bags, caps and seals, t</w:t>
      </w:r>
      <w:r w:rsidR="00A51E3D">
        <w:t xml:space="preserve">his Scenario tests the impact of increasing the maximum quantity of </w:t>
      </w:r>
      <w:r>
        <w:t>seals</w:t>
      </w:r>
      <w:r w:rsidR="00A51E3D">
        <w:t xml:space="preserve"> (group 0</w:t>
      </w:r>
      <w:r>
        <w:t>9l</w:t>
      </w:r>
      <w:r w:rsidR="00A51E3D">
        <w:t xml:space="preserve">) from </w:t>
      </w:r>
      <w:r w:rsidR="00966634">
        <w:t>3</w:t>
      </w:r>
      <w:r w:rsidR="00A51E3D">
        <w:t>0 per month to 90.</w:t>
      </w:r>
    </w:p>
    <w:p w14:paraId="51297E67" w14:textId="789C98E7" w:rsidR="00A51E3D" w:rsidRDefault="00A51E3D" w:rsidP="00A51E3D">
      <w:pPr>
        <w:pStyle w:val="BodyText"/>
      </w:pPr>
      <w:r w:rsidRPr="008203B9">
        <w:t xml:space="preserve">It was found that </w:t>
      </w:r>
      <w:r>
        <w:t>the increase in maximum quantity of caps in</w:t>
      </w:r>
      <w:r w:rsidRPr="008203B9">
        <w:t xml:space="preserve"> FY2</w:t>
      </w:r>
      <w:r w:rsidR="00EA06EA">
        <w:t>5</w:t>
      </w:r>
      <w:r w:rsidRPr="008203B9">
        <w:t>-2</w:t>
      </w:r>
      <w:r w:rsidR="00EA06EA">
        <w:t>6</w:t>
      </w:r>
      <w:r w:rsidRPr="008203B9">
        <w:t xml:space="preserve"> (</w:t>
      </w:r>
      <w:r w:rsidR="00EA06EA" w:rsidRPr="00EA06EA">
        <w:t>total expenditure $126,792,538</w:t>
      </w:r>
      <w:r w:rsidRPr="008203B9">
        <w:t>)</w:t>
      </w:r>
      <w:r>
        <w:t xml:space="preserve">, could result in an additional </w:t>
      </w:r>
      <w:r w:rsidR="00EA06EA" w:rsidRPr="00EA06EA">
        <w:rPr>
          <w:b/>
          <w:bCs/>
        </w:rPr>
        <w:t xml:space="preserve">$5,343,629 </w:t>
      </w:r>
      <w:r>
        <w:t>(a</w:t>
      </w:r>
      <w:r w:rsidRPr="00957211">
        <w:rPr>
          <w:b/>
          <w:bCs/>
        </w:rPr>
        <w:t xml:space="preserve"> </w:t>
      </w:r>
      <w:r w:rsidR="00B1366A">
        <w:rPr>
          <w:b/>
          <w:bCs/>
        </w:rPr>
        <w:t>4.21</w:t>
      </w:r>
      <w:r w:rsidRPr="00957211">
        <w:rPr>
          <w:b/>
          <w:bCs/>
        </w:rPr>
        <w:t xml:space="preserve">% </w:t>
      </w:r>
      <w:r>
        <w:rPr>
          <w:b/>
          <w:bCs/>
        </w:rPr>
        <w:t>increase</w:t>
      </w:r>
      <w:r w:rsidRPr="00957211">
        <w:rPr>
          <w:b/>
          <w:bCs/>
        </w:rPr>
        <w:t xml:space="preserve"> </w:t>
      </w:r>
      <w:r>
        <w:rPr>
          <w:b/>
          <w:bCs/>
        </w:rPr>
        <w:t>in expenditure for the Scheme)</w:t>
      </w:r>
      <w:r>
        <w:t xml:space="preserve">. </w:t>
      </w:r>
      <w:r w:rsidR="003840C8">
        <w:fldChar w:fldCharType="begin"/>
      </w:r>
      <w:r w:rsidR="003840C8">
        <w:instrText xml:space="preserve"> REF _Ref161215007 \h </w:instrText>
      </w:r>
      <w:r w:rsidR="003840C8">
        <w:fldChar w:fldCharType="separate"/>
      </w:r>
      <w:r w:rsidR="00FE1418">
        <w:t xml:space="preserve">Figure </w:t>
      </w:r>
      <w:r w:rsidR="00FE1418">
        <w:rPr>
          <w:noProof/>
        </w:rPr>
        <w:t>27</w:t>
      </w:r>
      <w:r w:rsidR="003840C8">
        <w:fldChar w:fldCharType="end"/>
      </w:r>
      <w:r>
        <w:t xml:space="preserve"> provides three years of </w:t>
      </w:r>
      <w:r w:rsidR="00B1366A">
        <w:t xml:space="preserve">predicted </w:t>
      </w:r>
      <w:r>
        <w:t xml:space="preserve">expenditure related to this scenario and highlights the change would </w:t>
      </w:r>
      <w:r w:rsidRPr="00B4661D">
        <w:t xml:space="preserve">affect </w:t>
      </w:r>
      <w:r w:rsidR="00640965">
        <w:t xml:space="preserve">approximately </w:t>
      </w:r>
      <w:r w:rsidR="003840C8">
        <w:t>1,408</w:t>
      </w:r>
      <w:r w:rsidRPr="00B4661D">
        <w:t xml:space="preserve"> ostomates</w:t>
      </w:r>
      <w:r>
        <w:t xml:space="preserve"> who are currently ordering the maximum monthly amount. </w:t>
      </w:r>
    </w:p>
    <w:p w14:paraId="08742D87" w14:textId="41E18BBF" w:rsidR="00216F5E" w:rsidRDefault="00416203" w:rsidP="00EB7DB4">
      <w:pPr>
        <w:pStyle w:val="Caption"/>
      </w:pPr>
      <w:bookmarkStart w:id="146" w:name="_Ref161215007"/>
      <w:bookmarkStart w:id="147" w:name="_Toc161743151"/>
      <w:r>
        <w:t xml:space="preserve">Figure </w:t>
      </w:r>
      <w:r>
        <w:fldChar w:fldCharType="begin"/>
      </w:r>
      <w:r>
        <w:instrText xml:space="preserve"> SEQ Figure \* ARABIC </w:instrText>
      </w:r>
      <w:r>
        <w:fldChar w:fldCharType="separate"/>
      </w:r>
      <w:r w:rsidR="00FE1418">
        <w:rPr>
          <w:noProof/>
        </w:rPr>
        <w:t>27</w:t>
      </w:r>
      <w:r>
        <w:fldChar w:fldCharType="end"/>
      </w:r>
      <w:bookmarkEnd w:id="146"/>
      <w:r>
        <w:t xml:space="preserve">: Expenditure related to increasing the maximum quantity of seals on the </w:t>
      </w:r>
      <w:proofErr w:type="gramStart"/>
      <w:r>
        <w:t>Scheme</w:t>
      </w:r>
      <w:bookmarkEnd w:id="147"/>
      <w:proofErr w:type="gramEnd"/>
    </w:p>
    <w:tbl>
      <w:tblPr>
        <w:tblStyle w:val="TableHealthConsultPurple"/>
        <w:tblpPr w:leftFromText="180" w:rightFromText="180" w:vertAnchor="text" w:horzAnchor="page" w:tblpX="8392" w:tblpY="49"/>
        <w:tblW w:w="2470" w:type="pct"/>
        <w:tblLayout w:type="fixed"/>
        <w:tblLook w:val="04E0" w:firstRow="1" w:lastRow="1" w:firstColumn="1" w:lastColumn="0" w:noHBand="0" w:noVBand="1"/>
      </w:tblPr>
      <w:tblGrid>
        <w:gridCol w:w="851"/>
        <w:gridCol w:w="3654"/>
        <w:gridCol w:w="2693"/>
      </w:tblGrid>
      <w:tr w:rsidR="00416203" w:rsidRPr="00F86DE1" w14:paraId="19AC429E" w14:textId="77777777" w:rsidTr="00CA645D">
        <w:trPr>
          <w:cnfStyle w:val="100000000000" w:firstRow="1" w:lastRow="0" w:firstColumn="0" w:lastColumn="0" w:oddVBand="0" w:evenVBand="0" w:oddHBand="0" w:evenHBand="0" w:firstRowFirstColumn="0" w:firstRowLastColumn="0" w:lastRowFirstColumn="0" w:lastRowLastColumn="0"/>
          <w:trHeight w:val="419"/>
        </w:trPr>
        <w:tc>
          <w:tcPr>
            <w:cnfStyle w:val="001000000100" w:firstRow="0" w:lastRow="0" w:firstColumn="1" w:lastColumn="0" w:oddVBand="0" w:evenVBand="0" w:oddHBand="0" w:evenHBand="0" w:firstRowFirstColumn="1" w:firstRowLastColumn="0" w:lastRowFirstColumn="0" w:lastRowLastColumn="0"/>
            <w:tcW w:w="3129" w:type="pct"/>
            <w:gridSpan w:val="2"/>
            <w:noWrap/>
            <w:hideMark/>
          </w:tcPr>
          <w:p w14:paraId="4E2D7A8F" w14:textId="77777777" w:rsidR="00416203" w:rsidRPr="00F86DE1" w:rsidRDefault="00416203" w:rsidP="00416203">
            <w:pPr>
              <w:pStyle w:val="BodyText"/>
              <w:jc w:val="center"/>
              <w:rPr>
                <w:sz w:val="16"/>
                <w:szCs w:val="20"/>
                <w:lang w:eastAsia="en-AU"/>
              </w:rPr>
            </w:pPr>
            <w:r w:rsidRPr="00F86DE1">
              <w:rPr>
                <w:sz w:val="16"/>
                <w:szCs w:val="20"/>
                <w:lang w:eastAsia="en-AU"/>
              </w:rPr>
              <w:t>Scenario</w:t>
            </w:r>
            <w:r>
              <w:rPr>
                <w:sz w:val="16"/>
                <w:szCs w:val="20"/>
                <w:lang w:eastAsia="en-AU"/>
              </w:rPr>
              <w:t>:</w:t>
            </w:r>
          </w:p>
        </w:tc>
        <w:tc>
          <w:tcPr>
            <w:tcW w:w="1871" w:type="pct"/>
            <w:noWrap/>
            <w:hideMark/>
          </w:tcPr>
          <w:p w14:paraId="41C3B00B" w14:textId="3AC5E192" w:rsidR="00416203" w:rsidRPr="00F86DE1" w:rsidRDefault="005C3670" w:rsidP="00416203">
            <w:pPr>
              <w:pStyle w:val="BodyText"/>
              <w:cnfStyle w:val="100000000000" w:firstRow="1" w:lastRow="0" w:firstColumn="0" w:lastColumn="0" w:oddVBand="0" w:evenVBand="0" w:oddHBand="0" w:evenHBand="0" w:firstRowFirstColumn="0" w:firstRowLastColumn="0" w:lastRowFirstColumn="0" w:lastRowLastColumn="0"/>
              <w:rPr>
                <w:bCs/>
                <w:sz w:val="16"/>
                <w:szCs w:val="20"/>
                <w:lang w:eastAsia="en-AU"/>
              </w:rPr>
            </w:pPr>
            <w:r>
              <w:rPr>
                <w:bCs/>
                <w:sz w:val="16"/>
                <w:szCs w:val="20"/>
                <w:lang w:eastAsia="en-AU"/>
              </w:rPr>
              <w:t>I</w:t>
            </w:r>
            <w:r w:rsidR="00416203" w:rsidRPr="00F86DE1">
              <w:rPr>
                <w:bCs/>
                <w:sz w:val="16"/>
                <w:szCs w:val="20"/>
                <w:lang w:eastAsia="en-AU"/>
              </w:rPr>
              <w:t xml:space="preserve">ncrease in </w:t>
            </w:r>
            <w:r>
              <w:rPr>
                <w:bCs/>
                <w:sz w:val="16"/>
                <w:szCs w:val="20"/>
                <w:lang w:eastAsia="en-AU"/>
              </w:rPr>
              <w:t>maximum</w:t>
            </w:r>
            <w:r w:rsidR="00416203" w:rsidRPr="00F86DE1">
              <w:rPr>
                <w:bCs/>
                <w:sz w:val="16"/>
                <w:szCs w:val="20"/>
                <w:lang w:eastAsia="en-AU"/>
              </w:rPr>
              <w:t xml:space="preserve"> quantity of seals</w:t>
            </w:r>
            <w:r w:rsidR="00CE4DF7">
              <w:rPr>
                <w:bCs/>
                <w:sz w:val="16"/>
                <w:szCs w:val="20"/>
                <w:lang w:eastAsia="en-AU"/>
              </w:rPr>
              <w:t xml:space="preserve"> (09l)</w:t>
            </w:r>
          </w:p>
        </w:tc>
      </w:tr>
      <w:tr w:rsidR="007F1108" w:rsidRPr="00F86DE1" w14:paraId="34515A9D" w14:textId="77777777" w:rsidTr="00CA645D">
        <w:trPr>
          <w:trHeight w:val="336"/>
        </w:trPr>
        <w:tc>
          <w:tcPr>
            <w:cnfStyle w:val="001000000000" w:firstRow="0" w:lastRow="0" w:firstColumn="1" w:lastColumn="0" w:oddVBand="0" w:evenVBand="0" w:oddHBand="0" w:evenHBand="0" w:firstRowFirstColumn="0" w:firstRowLastColumn="0" w:lastRowFirstColumn="0" w:lastRowLastColumn="0"/>
            <w:tcW w:w="591" w:type="pct"/>
            <w:vMerge w:val="restart"/>
            <w:hideMark/>
          </w:tcPr>
          <w:p w14:paraId="00594802" w14:textId="456D6378" w:rsidR="007F1108" w:rsidRPr="00F86DE1" w:rsidRDefault="007F1108" w:rsidP="007F1108">
            <w:pPr>
              <w:pStyle w:val="BodyText"/>
              <w:rPr>
                <w:b w:val="0"/>
                <w:bCs/>
                <w:sz w:val="16"/>
                <w:szCs w:val="20"/>
                <w:lang w:eastAsia="en-AU"/>
              </w:rPr>
            </w:pPr>
            <w:r w:rsidRPr="00377AB5">
              <w:rPr>
                <w:bCs/>
                <w:sz w:val="16"/>
                <w:szCs w:val="20"/>
                <w:lang w:eastAsia="en-AU"/>
              </w:rPr>
              <w:t>2023-24</w:t>
            </w:r>
          </w:p>
        </w:tc>
        <w:tc>
          <w:tcPr>
            <w:tcW w:w="2538" w:type="pct"/>
            <w:hideMark/>
          </w:tcPr>
          <w:p w14:paraId="7C2C18C4" w14:textId="291F8490" w:rsidR="007F1108" w:rsidRPr="00B91542" w:rsidRDefault="007F1108" w:rsidP="007F1108">
            <w:pPr>
              <w:pStyle w:val="BodyText"/>
              <w:cnfStyle w:val="000000000000" w:firstRow="0" w:lastRow="0" w:firstColumn="0" w:lastColumn="0" w:oddVBand="0" w:evenVBand="0" w:oddHBand="0" w:evenHBand="0" w:firstRowFirstColumn="0" w:firstRowLastColumn="0" w:lastRowFirstColumn="0" w:lastRowLastColumn="0"/>
              <w:rPr>
                <w:b/>
                <w:bCs/>
                <w:sz w:val="16"/>
                <w:szCs w:val="20"/>
                <w:lang w:eastAsia="en-AU"/>
              </w:rPr>
            </w:pPr>
            <w:r w:rsidRPr="007857CA">
              <w:rPr>
                <w:b/>
                <w:bCs/>
                <w:sz w:val="16"/>
                <w:szCs w:val="20"/>
                <w:lang w:eastAsia="en-AU"/>
              </w:rPr>
              <w:t>Change in expenditure from predicted</w:t>
            </w:r>
          </w:p>
        </w:tc>
        <w:tc>
          <w:tcPr>
            <w:tcW w:w="1871" w:type="pct"/>
            <w:noWrap/>
            <w:vAlign w:val="center"/>
            <w:hideMark/>
          </w:tcPr>
          <w:p w14:paraId="42BEFF35" w14:textId="6314051A" w:rsidR="007F1108" w:rsidRPr="007F1108" w:rsidRDefault="007F1108" w:rsidP="007F1108">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EB7DB4">
              <w:rPr>
                <w:rFonts w:ascii="Poppins" w:hAnsi="Poppins" w:cs="Poppins"/>
                <w:b/>
                <w:bCs/>
                <w:color w:val="000000"/>
                <w:sz w:val="16"/>
                <w:szCs w:val="16"/>
              </w:rPr>
              <w:t xml:space="preserve">$3,514,826 </w:t>
            </w:r>
          </w:p>
        </w:tc>
      </w:tr>
      <w:tr w:rsidR="007F1108" w:rsidRPr="00F86DE1" w14:paraId="6DC01C5A" w14:textId="77777777" w:rsidTr="00CA645D">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91" w:type="pct"/>
            <w:vMerge/>
            <w:hideMark/>
          </w:tcPr>
          <w:p w14:paraId="300E0204" w14:textId="77777777" w:rsidR="007F1108" w:rsidRPr="00F86DE1" w:rsidRDefault="007F1108" w:rsidP="007F1108">
            <w:pPr>
              <w:pStyle w:val="BodyText"/>
              <w:rPr>
                <w:bCs/>
                <w:sz w:val="16"/>
                <w:szCs w:val="20"/>
                <w:lang w:eastAsia="en-AU"/>
              </w:rPr>
            </w:pPr>
          </w:p>
        </w:tc>
        <w:tc>
          <w:tcPr>
            <w:tcW w:w="2538" w:type="pct"/>
            <w:hideMark/>
          </w:tcPr>
          <w:p w14:paraId="24702A26" w14:textId="17C02188" w:rsidR="007F1108" w:rsidRPr="00F86DE1" w:rsidRDefault="007F1108" w:rsidP="007F1108">
            <w:pPr>
              <w:pStyle w:val="BodyText"/>
              <w:cnfStyle w:val="000000010000" w:firstRow="0" w:lastRow="0" w:firstColumn="0" w:lastColumn="0" w:oddVBand="0" w:evenVBand="0" w:oddHBand="0" w:evenHBand="1" w:firstRowFirstColumn="0" w:firstRowLastColumn="0" w:lastRowFirstColumn="0" w:lastRowLastColumn="0"/>
              <w:rPr>
                <w:bCs/>
                <w:sz w:val="16"/>
                <w:szCs w:val="20"/>
                <w:lang w:eastAsia="en-AU"/>
              </w:rPr>
            </w:pPr>
            <w:r w:rsidRPr="00377AB5">
              <w:rPr>
                <w:bCs/>
                <w:sz w:val="16"/>
                <w:szCs w:val="20"/>
                <w:lang w:eastAsia="en-AU"/>
              </w:rPr>
              <w:t xml:space="preserve">Percentage change </w:t>
            </w:r>
          </w:p>
        </w:tc>
        <w:tc>
          <w:tcPr>
            <w:tcW w:w="1871" w:type="pct"/>
            <w:noWrap/>
            <w:vAlign w:val="center"/>
            <w:hideMark/>
          </w:tcPr>
          <w:p w14:paraId="7E0DAD59" w14:textId="1CD2A06E" w:rsidR="007F1108" w:rsidRPr="007F1108" w:rsidRDefault="007F1108" w:rsidP="007F1108">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Pr>
                <w:rFonts w:ascii="Poppins" w:hAnsi="Poppins" w:cs="Poppins"/>
                <w:color w:val="000000"/>
                <w:sz w:val="16"/>
                <w:szCs w:val="16"/>
              </w:rPr>
              <w:t>+</w:t>
            </w:r>
            <w:r w:rsidRPr="00EB7DB4">
              <w:rPr>
                <w:rFonts w:ascii="Poppins" w:hAnsi="Poppins" w:cs="Poppins"/>
                <w:color w:val="000000"/>
                <w:sz w:val="16"/>
                <w:szCs w:val="16"/>
              </w:rPr>
              <w:t>3.04%</w:t>
            </w:r>
          </w:p>
        </w:tc>
      </w:tr>
      <w:tr w:rsidR="007F1108" w:rsidRPr="00F86DE1" w14:paraId="6BB9780B" w14:textId="77777777" w:rsidTr="00CA645D">
        <w:trPr>
          <w:trHeight w:val="471"/>
        </w:trPr>
        <w:tc>
          <w:tcPr>
            <w:cnfStyle w:val="001000000000" w:firstRow="0" w:lastRow="0" w:firstColumn="1" w:lastColumn="0" w:oddVBand="0" w:evenVBand="0" w:oddHBand="0" w:evenHBand="0" w:firstRowFirstColumn="0" w:firstRowLastColumn="0" w:lastRowFirstColumn="0" w:lastRowLastColumn="0"/>
            <w:tcW w:w="591" w:type="pct"/>
            <w:vMerge w:val="restart"/>
            <w:hideMark/>
          </w:tcPr>
          <w:p w14:paraId="7E0C8D9F" w14:textId="7DB22DA4" w:rsidR="007F1108" w:rsidRPr="00F86DE1" w:rsidRDefault="007F1108" w:rsidP="007F1108">
            <w:pPr>
              <w:pStyle w:val="BodyText"/>
              <w:rPr>
                <w:b w:val="0"/>
                <w:bCs/>
                <w:sz w:val="16"/>
                <w:szCs w:val="20"/>
                <w:lang w:eastAsia="en-AU"/>
              </w:rPr>
            </w:pPr>
            <w:r w:rsidRPr="00377AB5">
              <w:rPr>
                <w:bCs/>
                <w:sz w:val="16"/>
                <w:szCs w:val="20"/>
                <w:lang w:eastAsia="en-AU"/>
              </w:rPr>
              <w:t>2024-25</w:t>
            </w:r>
          </w:p>
        </w:tc>
        <w:tc>
          <w:tcPr>
            <w:tcW w:w="2538" w:type="pct"/>
            <w:hideMark/>
          </w:tcPr>
          <w:p w14:paraId="42A20060" w14:textId="5ECAE311" w:rsidR="007F1108" w:rsidRPr="00B91542" w:rsidRDefault="007F1108" w:rsidP="007F1108">
            <w:pPr>
              <w:pStyle w:val="BodyText"/>
              <w:cnfStyle w:val="000000000000" w:firstRow="0" w:lastRow="0" w:firstColumn="0" w:lastColumn="0" w:oddVBand="0" w:evenVBand="0" w:oddHBand="0" w:evenHBand="0" w:firstRowFirstColumn="0" w:firstRowLastColumn="0" w:lastRowFirstColumn="0" w:lastRowLastColumn="0"/>
              <w:rPr>
                <w:b/>
                <w:bCs/>
                <w:sz w:val="16"/>
                <w:szCs w:val="20"/>
                <w:lang w:eastAsia="en-AU"/>
              </w:rPr>
            </w:pPr>
            <w:r w:rsidRPr="007857CA">
              <w:rPr>
                <w:b/>
                <w:bCs/>
                <w:sz w:val="16"/>
                <w:szCs w:val="20"/>
                <w:lang w:eastAsia="en-AU"/>
              </w:rPr>
              <w:t>Change in expenditure</w:t>
            </w:r>
            <w:r w:rsidRPr="007857CA">
              <w:rPr>
                <w:b/>
                <w:bCs/>
                <w:sz w:val="16"/>
                <w:szCs w:val="20"/>
              </w:rPr>
              <w:t xml:space="preserve"> </w:t>
            </w:r>
            <w:r w:rsidRPr="007857CA">
              <w:rPr>
                <w:b/>
                <w:bCs/>
                <w:sz w:val="16"/>
                <w:szCs w:val="20"/>
                <w:lang w:eastAsia="en-AU"/>
              </w:rPr>
              <w:t>from predicted</w:t>
            </w:r>
          </w:p>
        </w:tc>
        <w:tc>
          <w:tcPr>
            <w:tcW w:w="1871" w:type="pct"/>
            <w:noWrap/>
            <w:vAlign w:val="center"/>
            <w:hideMark/>
          </w:tcPr>
          <w:p w14:paraId="5BF54734" w14:textId="0DAEB17C" w:rsidR="007F1108" w:rsidRPr="007F1108" w:rsidRDefault="007F1108" w:rsidP="007F1108">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EB7DB4">
              <w:rPr>
                <w:rFonts w:ascii="Poppins" w:hAnsi="Poppins" w:cs="Poppins"/>
                <w:b/>
                <w:bCs/>
                <w:color w:val="000000"/>
                <w:sz w:val="16"/>
                <w:szCs w:val="16"/>
              </w:rPr>
              <w:t xml:space="preserve">$4,429,227 </w:t>
            </w:r>
          </w:p>
        </w:tc>
      </w:tr>
      <w:tr w:rsidR="007F1108" w:rsidRPr="00F86DE1" w14:paraId="59908F37" w14:textId="77777777" w:rsidTr="00CA645D">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91" w:type="pct"/>
            <w:vMerge/>
            <w:hideMark/>
          </w:tcPr>
          <w:p w14:paraId="453F3C40" w14:textId="77777777" w:rsidR="007F1108" w:rsidRPr="00F86DE1" w:rsidRDefault="007F1108" w:rsidP="007F1108">
            <w:pPr>
              <w:pStyle w:val="BodyText"/>
              <w:rPr>
                <w:bCs/>
                <w:sz w:val="16"/>
                <w:szCs w:val="20"/>
                <w:lang w:eastAsia="en-AU"/>
              </w:rPr>
            </w:pPr>
          </w:p>
        </w:tc>
        <w:tc>
          <w:tcPr>
            <w:tcW w:w="2538" w:type="pct"/>
            <w:hideMark/>
          </w:tcPr>
          <w:p w14:paraId="25F73FA3" w14:textId="4C3119B0" w:rsidR="007F1108" w:rsidRPr="00F86DE1" w:rsidRDefault="007F1108" w:rsidP="007F1108">
            <w:pPr>
              <w:pStyle w:val="BodyText"/>
              <w:cnfStyle w:val="000000010000" w:firstRow="0" w:lastRow="0" w:firstColumn="0" w:lastColumn="0" w:oddVBand="0" w:evenVBand="0" w:oddHBand="0" w:evenHBand="1" w:firstRowFirstColumn="0" w:firstRowLastColumn="0" w:lastRowFirstColumn="0" w:lastRowLastColumn="0"/>
              <w:rPr>
                <w:bCs/>
                <w:sz w:val="16"/>
                <w:szCs w:val="20"/>
                <w:lang w:eastAsia="en-AU"/>
              </w:rPr>
            </w:pPr>
            <w:r w:rsidRPr="00377AB5">
              <w:rPr>
                <w:bCs/>
                <w:sz w:val="16"/>
                <w:szCs w:val="20"/>
                <w:lang w:eastAsia="en-AU"/>
              </w:rPr>
              <w:t xml:space="preserve">Percentage change </w:t>
            </w:r>
          </w:p>
        </w:tc>
        <w:tc>
          <w:tcPr>
            <w:tcW w:w="1871" w:type="pct"/>
            <w:noWrap/>
            <w:vAlign w:val="center"/>
            <w:hideMark/>
          </w:tcPr>
          <w:p w14:paraId="195128A2" w14:textId="71614AD4" w:rsidR="007F1108" w:rsidRPr="007F1108" w:rsidRDefault="007F1108" w:rsidP="007F1108">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Pr>
                <w:rFonts w:ascii="Poppins" w:hAnsi="Poppins" w:cs="Poppins"/>
                <w:color w:val="000000"/>
                <w:sz w:val="16"/>
                <w:szCs w:val="16"/>
              </w:rPr>
              <w:t>+</w:t>
            </w:r>
            <w:r w:rsidRPr="00EB7DB4">
              <w:rPr>
                <w:rFonts w:ascii="Poppins" w:hAnsi="Poppins" w:cs="Poppins"/>
                <w:color w:val="000000"/>
                <w:sz w:val="16"/>
                <w:szCs w:val="16"/>
              </w:rPr>
              <w:t>3.66%</w:t>
            </w:r>
          </w:p>
        </w:tc>
      </w:tr>
      <w:tr w:rsidR="007F1108" w:rsidRPr="00F86DE1" w14:paraId="2C4F34BF" w14:textId="77777777" w:rsidTr="00CA645D">
        <w:trPr>
          <w:trHeight w:val="336"/>
        </w:trPr>
        <w:tc>
          <w:tcPr>
            <w:cnfStyle w:val="001000000000" w:firstRow="0" w:lastRow="0" w:firstColumn="1" w:lastColumn="0" w:oddVBand="0" w:evenVBand="0" w:oddHBand="0" w:evenHBand="0" w:firstRowFirstColumn="0" w:firstRowLastColumn="0" w:lastRowFirstColumn="0" w:lastRowLastColumn="0"/>
            <w:tcW w:w="591" w:type="pct"/>
            <w:vMerge w:val="restart"/>
            <w:hideMark/>
          </w:tcPr>
          <w:p w14:paraId="19D30BF2" w14:textId="01A033F7" w:rsidR="007F1108" w:rsidRPr="00F86DE1" w:rsidRDefault="007F1108" w:rsidP="007F1108">
            <w:pPr>
              <w:pStyle w:val="BodyText"/>
              <w:rPr>
                <w:b w:val="0"/>
                <w:bCs/>
                <w:sz w:val="16"/>
                <w:szCs w:val="20"/>
                <w:lang w:eastAsia="en-AU"/>
              </w:rPr>
            </w:pPr>
            <w:r w:rsidRPr="00377AB5">
              <w:rPr>
                <w:bCs/>
                <w:sz w:val="16"/>
                <w:szCs w:val="20"/>
                <w:lang w:eastAsia="en-AU"/>
              </w:rPr>
              <w:t>2025-26</w:t>
            </w:r>
          </w:p>
        </w:tc>
        <w:tc>
          <w:tcPr>
            <w:tcW w:w="2538" w:type="pct"/>
            <w:hideMark/>
          </w:tcPr>
          <w:p w14:paraId="507E0A05" w14:textId="16EB0B13" w:rsidR="007F1108" w:rsidRPr="00B91542" w:rsidRDefault="007F1108" w:rsidP="007F1108">
            <w:pPr>
              <w:pStyle w:val="BodyText"/>
              <w:cnfStyle w:val="000000000000" w:firstRow="0" w:lastRow="0" w:firstColumn="0" w:lastColumn="0" w:oddVBand="0" w:evenVBand="0" w:oddHBand="0" w:evenHBand="0" w:firstRowFirstColumn="0" w:firstRowLastColumn="0" w:lastRowFirstColumn="0" w:lastRowLastColumn="0"/>
              <w:rPr>
                <w:b/>
                <w:bCs/>
                <w:sz w:val="16"/>
                <w:szCs w:val="20"/>
                <w:lang w:eastAsia="en-AU"/>
              </w:rPr>
            </w:pPr>
            <w:r w:rsidRPr="007857CA">
              <w:rPr>
                <w:b/>
                <w:bCs/>
                <w:sz w:val="16"/>
                <w:szCs w:val="20"/>
                <w:lang w:eastAsia="en-AU"/>
              </w:rPr>
              <w:t>Change in expenditure</w:t>
            </w:r>
            <w:r w:rsidRPr="007857CA">
              <w:rPr>
                <w:b/>
                <w:bCs/>
                <w:sz w:val="16"/>
                <w:szCs w:val="20"/>
              </w:rPr>
              <w:t xml:space="preserve"> </w:t>
            </w:r>
            <w:r w:rsidRPr="007857CA">
              <w:rPr>
                <w:b/>
                <w:bCs/>
                <w:sz w:val="16"/>
                <w:szCs w:val="20"/>
                <w:lang w:eastAsia="en-AU"/>
              </w:rPr>
              <w:t>from predicted</w:t>
            </w:r>
          </w:p>
        </w:tc>
        <w:tc>
          <w:tcPr>
            <w:tcW w:w="1871" w:type="pct"/>
            <w:noWrap/>
            <w:vAlign w:val="center"/>
            <w:hideMark/>
          </w:tcPr>
          <w:p w14:paraId="0E534A1F" w14:textId="1727917C" w:rsidR="007F1108" w:rsidRPr="007F1108" w:rsidRDefault="007F1108" w:rsidP="007F1108">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EB7DB4">
              <w:rPr>
                <w:rFonts w:ascii="Poppins" w:hAnsi="Poppins" w:cs="Poppins"/>
                <w:b/>
                <w:bCs/>
                <w:color w:val="000000"/>
                <w:sz w:val="16"/>
                <w:szCs w:val="16"/>
              </w:rPr>
              <w:t xml:space="preserve">$5,343,629 </w:t>
            </w:r>
          </w:p>
        </w:tc>
      </w:tr>
      <w:tr w:rsidR="007F1108" w:rsidRPr="00F86DE1" w14:paraId="0984E05A" w14:textId="77777777" w:rsidTr="00CA645D">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91" w:type="pct"/>
            <w:vMerge/>
            <w:hideMark/>
          </w:tcPr>
          <w:p w14:paraId="75A740AD" w14:textId="77777777" w:rsidR="007F1108" w:rsidRPr="00F86DE1" w:rsidRDefault="007F1108" w:rsidP="007F1108">
            <w:pPr>
              <w:pStyle w:val="BodyText"/>
              <w:rPr>
                <w:bCs/>
                <w:sz w:val="16"/>
                <w:szCs w:val="20"/>
                <w:lang w:eastAsia="en-AU"/>
              </w:rPr>
            </w:pPr>
          </w:p>
        </w:tc>
        <w:tc>
          <w:tcPr>
            <w:tcW w:w="2538" w:type="pct"/>
            <w:hideMark/>
          </w:tcPr>
          <w:p w14:paraId="2C691D04" w14:textId="78A14081" w:rsidR="007F1108" w:rsidRPr="00F86DE1" w:rsidRDefault="007F1108" w:rsidP="007F1108">
            <w:pPr>
              <w:pStyle w:val="BodyText"/>
              <w:cnfStyle w:val="000000010000" w:firstRow="0" w:lastRow="0" w:firstColumn="0" w:lastColumn="0" w:oddVBand="0" w:evenVBand="0" w:oddHBand="0" w:evenHBand="1" w:firstRowFirstColumn="0" w:firstRowLastColumn="0" w:lastRowFirstColumn="0" w:lastRowLastColumn="0"/>
              <w:rPr>
                <w:bCs/>
                <w:sz w:val="16"/>
                <w:szCs w:val="20"/>
                <w:lang w:eastAsia="en-AU"/>
              </w:rPr>
            </w:pPr>
            <w:r w:rsidRPr="00377AB5">
              <w:rPr>
                <w:sz w:val="16"/>
                <w:szCs w:val="20"/>
                <w:lang w:eastAsia="en-AU"/>
              </w:rPr>
              <w:t>Percentage change</w:t>
            </w:r>
          </w:p>
        </w:tc>
        <w:tc>
          <w:tcPr>
            <w:tcW w:w="1871" w:type="pct"/>
            <w:noWrap/>
            <w:vAlign w:val="center"/>
            <w:hideMark/>
          </w:tcPr>
          <w:p w14:paraId="578AF925" w14:textId="2FA9A30F" w:rsidR="007F1108" w:rsidRPr="007F1108" w:rsidRDefault="007F1108" w:rsidP="007F1108">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Pr>
                <w:rFonts w:ascii="Poppins" w:hAnsi="Poppins" w:cs="Poppins"/>
                <w:color w:val="000000"/>
                <w:sz w:val="16"/>
                <w:szCs w:val="16"/>
              </w:rPr>
              <w:t>+</w:t>
            </w:r>
            <w:r w:rsidRPr="00EB7DB4">
              <w:rPr>
                <w:rFonts w:ascii="Poppins" w:hAnsi="Poppins" w:cs="Poppins"/>
                <w:color w:val="000000"/>
                <w:sz w:val="16"/>
                <w:szCs w:val="16"/>
              </w:rPr>
              <w:t>4.21%</w:t>
            </w:r>
          </w:p>
        </w:tc>
      </w:tr>
      <w:tr w:rsidR="009E515E" w:rsidRPr="00F86DE1" w14:paraId="1F81A05F" w14:textId="77777777" w:rsidTr="00CA645D">
        <w:trPr>
          <w:cnfStyle w:val="010000000000" w:firstRow="0" w:lastRow="1"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91" w:type="pct"/>
            <w:vMerge/>
            <w:hideMark/>
          </w:tcPr>
          <w:p w14:paraId="499FA35A" w14:textId="77777777" w:rsidR="009E515E" w:rsidRPr="00F86DE1" w:rsidRDefault="009E515E" w:rsidP="009E515E">
            <w:pPr>
              <w:pStyle w:val="BodyText"/>
              <w:rPr>
                <w:bCs/>
                <w:sz w:val="16"/>
                <w:szCs w:val="20"/>
                <w:lang w:eastAsia="en-AU"/>
              </w:rPr>
            </w:pPr>
          </w:p>
        </w:tc>
        <w:tc>
          <w:tcPr>
            <w:tcW w:w="2538" w:type="pct"/>
            <w:shd w:val="clear" w:color="auto" w:fill="FBC6D0" w:themeFill="accent2" w:themeFillTint="33"/>
            <w:hideMark/>
          </w:tcPr>
          <w:p w14:paraId="0C4A988D" w14:textId="77777777" w:rsidR="009E515E" w:rsidRPr="00F86DE1" w:rsidRDefault="009E515E" w:rsidP="009E515E">
            <w:pPr>
              <w:pStyle w:val="BodyText"/>
              <w:cnfStyle w:val="010000000000" w:firstRow="0" w:lastRow="1" w:firstColumn="0" w:lastColumn="0" w:oddVBand="0" w:evenVBand="0" w:oddHBand="0" w:evenHBand="0" w:firstRowFirstColumn="0" w:firstRowLastColumn="0" w:lastRowFirstColumn="0" w:lastRowLastColumn="0"/>
              <w:rPr>
                <w:i/>
                <w:sz w:val="16"/>
                <w:szCs w:val="20"/>
                <w:lang w:eastAsia="en-AU"/>
              </w:rPr>
            </w:pPr>
            <w:r w:rsidRPr="00F86DE1">
              <w:rPr>
                <w:i/>
                <w:sz w:val="16"/>
                <w:szCs w:val="20"/>
                <w:lang w:eastAsia="en-AU"/>
              </w:rPr>
              <w:t>Number of ostomates impacted (based on current ostomate #)</w:t>
            </w:r>
          </w:p>
        </w:tc>
        <w:tc>
          <w:tcPr>
            <w:tcW w:w="1871" w:type="pct"/>
            <w:shd w:val="clear" w:color="auto" w:fill="FBC6D0" w:themeFill="accent2" w:themeFillTint="33"/>
            <w:noWrap/>
            <w:hideMark/>
          </w:tcPr>
          <w:p w14:paraId="24CB1F6F" w14:textId="38EBD9E4" w:rsidR="009E515E" w:rsidRPr="00C9486C" w:rsidRDefault="009E515E" w:rsidP="009E515E">
            <w:pPr>
              <w:pStyle w:val="BodyText"/>
              <w:cnfStyle w:val="010000000000" w:firstRow="0" w:lastRow="1" w:firstColumn="0" w:lastColumn="0" w:oddVBand="0" w:evenVBand="0" w:oddHBand="0" w:evenHBand="0" w:firstRowFirstColumn="0" w:firstRowLastColumn="0" w:lastRowFirstColumn="0" w:lastRowLastColumn="0"/>
              <w:rPr>
                <w:i/>
                <w:iCs/>
                <w:color w:val="000000"/>
                <w:sz w:val="16"/>
                <w:szCs w:val="16"/>
                <w:lang w:eastAsia="en-AU"/>
              </w:rPr>
            </w:pPr>
            <w:r w:rsidRPr="00EB7DB4">
              <w:rPr>
                <w:i/>
                <w:iCs/>
                <w:sz w:val="16"/>
                <w:szCs w:val="16"/>
              </w:rPr>
              <w:t>1,408</w:t>
            </w:r>
          </w:p>
        </w:tc>
      </w:tr>
    </w:tbl>
    <w:p w14:paraId="3F7EC007" w14:textId="1FABCE8A" w:rsidR="007F0CD6" w:rsidRDefault="007F0CD6" w:rsidP="00B65767">
      <w:r>
        <w:rPr>
          <w:noProof/>
        </w:rPr>
        <w:drawing>
          <wp:inline distT="0" distB="0" distL="0" distR="0" wp14:anchorId="778528BE" wp14:editId="36237413">
            <wp:extent cx="4474845" cy="2731135"/>
            <wp:effectExtent l="0" t="0" r="1905" b="0"/>
            <wp:docPr id="1709286469" name="Picture 4" descr="Figure 27: Expenditure related to increasing maximum quantity of seals on the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86469" name="Picture 4" descr="Figure 27: Expenditure related to increasing maximum quantity of seals on the Scheme "/>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474845" cy="2731135"/>
                    </a:xfrm>
                    <a:prstGeom prst="rect">
                      <a:avLst/>
                    </a:prstGeom>
                    <a:noFill/>
                  </pic:spPr>
                </pic:pic>
              </a:graphicData>
            </a:graphic>
          </wp:inline>
        </w:drawing>
      </w:r>
    </w:p>
    <w:p w14:paraId="45F8AC12" w14:textId="51EEE39D" w:rsidR="003E2177" w:rsidRDefault="003E2177" w:rsidP="00B65767">
      <w:r>
        <w:br w:type="page"/>
      </w:r>
    </w:p>
    <w:p w14:paraId="0F76E4BB" w14:textId="7EEFCBA7" w:rsidR="003E2177" w:rsidRPr="003E2177" w:rsidRDefault="003E2177" w:rsidP="003E2177">
      <w:pPr>
        <w:keepNext/>
        <w:keepLines/>
        <w:spacing w:before="300" w:after="200" w:line="240" w:lineRule="atLeast"/>
        <w:outlineLvl w:val="2"/>
        <w:rPr>
          <w:rFonts w:asciiTheme="majorHAnsi" w:eastAsiaTheme="majorEastAsia" w:hAnsiTheme="majorHAnsi" w:cstheme="majorBidi"/>
          <w:b/>
          <w:color w:val="C60C30" w:themeColor="accent2"/>
          <w:spacing w:val="4"/>
          <w:sz w:val="22"/>
          <w:szCs w:val="28"/>
        </w:rPr>
      </w:pPr>
      <w:r w:rsidRPr="003E2177">
        <w:rPr>
          <w:rFonts w:asciiTheme="majorHAnsi" w:eastAsiaTheme="majorEastAsia" w:hAnsiTheme="majorHAnsi" w:cstheme="majorBidi"/>
          <w:b/>
          <w:color w:val="C60C30" w:themeColor="accent2"/>
          <w:spacing w:val="4"/>
          <w:sz w:val="22"/>
          <w:szCs w:val="28"/>
        </w:rPr>
        <w:lastRenderedPageBreak/>
        <w:t xml:space="preserve">Scenario </w:t>
      </w:r>
      <w:r w:rsidR="004A7112">
        <w:rPr>
          <w:rFonts w:asciiTheme="majorHAnsi" w:eastAsiaTheme="majorEastAsia" w:hAnsiTheme="majorHAnsi" w:cstheme="majorBidi"/>
          <w:b/>
          <w:color w:val="C60C30" w:themeColor="accent2"/>
          <w:spacing w:val="4"/>
          <w:sz w:val="22"/>
          <w:szCs w:val="28"/>
        </w:rPr>
        <w:t>11</w:t>
      </w:r>
      <w:r w:rsidRPr="003E2177">
        <w:rPr>
          <w:rFonts w:asciiTheme="majorHAnsi" w:eastAsiaTheme="majorEastAsia" w:hAnsiTheme="majorHAnsi" w:cstheme="majorBidi"/>
          <w:b/>
          <w:color w:val="C60C30" w:themeColor="accent2"/>
          <w:spacing w:val="4"/>
          <w:sz w:val="22"/>
          <w:szCs w:val="28"/>
        </w:rPr>
        <w:t xml:space="preserve">: Increase in maximum quantity of </w:t>
      </w:r>
      <w:r>
        <w:rPr>
          <w:rFonts w:asciiTheme="majorHAnsi" w:eastAsiaTheme="majorEastAsia" w:hAnsiTheme="majorHAnsi" w:cstheme="majorBidi"/>
          <w:b/>
          <w:color w:val="C60C30" w:themeColor="accent2"/>
          <w:spacing w:val="4"/>
          <w:sz w:val="22"/>
          <w:szCs w:val="28"/>
        </w:rPr>
        <w:t xml:space="preserve">convex bag </w:t>
      </w:r>
      <w:proofErr w:type="gramStart"/>
      <w:r>
        <w:rPr>
          <w:rFonts w:asciiTheme="majorHAnsi" w:eastAsiaTheme="majorEastAsia" w:hAnsiTheme="majorHAnsi" w:cstheme="majorBidi"/>
          <w:b/>
          <w:color w:val="C60C30" w:themeColor="accent2"/>
          <w:spacing w:val="4"/>
          <w:sz w:val="22"/>
          <w:szCs w:val="28"/>
        </w:rPr>
        <w:t>systems</w:t>
      </w:r>
      <w:proofErr w:type="gramEnd"/>
    </w:p>
    <w:p w14:paraId="5F319E0B" w14:textId="638E39E2" w:rsidR="003E2177" w:rsidRPr="003E2177" w:rsidRDefault="003E2177" w:rsidP="003E2177">
      <w:pPr>
        <w:rPr>
          <w:szCs w:val="24"/>
        </w:rPr>
      </w:pPr>
      <w:r>
        <w:rPr>
          <w:szCs w:val="24"/>
        </w:rPr>
        <w:t xml:space="preserve">In line with Scenario nine and ten, this Scenario tests the impact of aligning the maximum quantity of </w:t>
      </w:r>
      <w:r w:rsidRPr="003E2177">
        <w:rPr>
          <w:szCs w:val="24"/>
        </w:rPr>
        <w:t xml:space="preserve">bags, </w:t>
      </w:r>
      <w:proofErr w:type="gramStart"/>
      <w:r w:rsidRPr="003E2177">
        <w:rPr>
          <w:szCs w:val="24"/>
        </w:rPr>
        <w:t>caps</w:t>
      </w:r>
      <w:proofErr w:type="gramEnd"/>
      <w:r w:rsidRPr="003E2177">
        <w:rPr>
          <w:szCs w:val="24"/>
        </w:rPr>
        <w:t xml:space="preserve"> and seals</w:t>
      </w:r>
      <w:r>
        <w:rPr>
          <w:szCs w:val="24"/>
        </w:rPr>
        <w:t>. Specifically,</w:t>
      </w:r>
      <w:r w:rsidRPr="003E2177">
        <w:rPr>
          <w:szCs w:val="24"/>
        </w:rPr>
        <w:t xml:space="preserve"> the maximum quantity of </w:t>
      </w:r>
      <w:r>
        <w:rPr>
          <w:szCs w:val="24"/>
        </w:rPr>
        <w:t>convex bag systems</w:t>
      </w:r>
      <w:r w:rsidRPr="003E2177">
        <w:rPr>
          <w:szCs w:val="24"/>
        </w:rPr>
        <w:t xml:space="preserve"> (group </w:t>
      </w:r>
      <w:r>
        <w:rPr>
          <w:szCs w:val="24"/>
        </w:rPr>
        <w:t>01c and 03b</w:t>
      </w:r>
      <w:r w:rsidRPr="003E2177">
        <w:rPr>
          <w:szCs w:val="24"/>
        </w:rPr>
        <w:t xml:space="preserve">) </w:t>
      </w:r>
      <w:r>
        <w:rPr>
          <w:szCs w:val="24"/>
        </w:rPr>
        <w:t>was increased from 60 or 30 per month to 90</w:t>
      </w:r>
      <w:proofErr w:type="gramStart"/>
      <w:r>
        <w:rPr>
          <w:szCs w:val="24"/>
        </w:rPr>
        <w:t xml:space="preserve">. </w:t>
      </w:r>
      <w:r w:rsidRPr="003E2177">
        <w:rPr>
          <w:szCs w:val="24"/>
        </w:rPr>
        <w:t>.</w:t>
      </w:r>
      <w:proofErr w:type="gramEnd"/>
    </w:p>
    <w:p w14:paraId="0D88EA1C" w14:textId="35FA31EE" w:rsidR="003E2177" w:rsidRPr="003E2177" w:rsidRDefault="003E2177" w:rsidP="003E2177">
      <w:pPr>
        <w:rPr>
          <w:szCs w:val="24"/>
        </w:rPr>
      </w:pPr>
      <w:r w:rsidRPr="003E2177">
        <w:rPr>
          <w:szCs w:val="24"/>
        </w:rPr>
        <w:t xml:space="preserve">It was found that the increase in maximum quantity of </w:t>
      </w:r>
      <w:r w:rsidR="005C3670">
        <w:rPr>
          <w:szCs w:val="24"/>
        </w:rPr>
        <w:t>convex bags</w:t>
      </w:r>
      <w:r w:rsidRPr="003E2177">
        <w:rPr>
          <w:szCs w:val="24"/>
        </w:rPr>
        <w:t xml:space="preserve"> in FY2</w:t>
      </w:r>
      <w:r w:rsidR="00F00BD6">
        <w:rPr>
          <w:szCs w:val="24"/>
        </w:rPr>
        <w:t>5</w:t>
      </w:r>
      <w:r w:rsidRPr="003E2177">
        <w:rPr>
          <w:szCs w:val="24"/>
        </w:rPr>
        <w:t>-2</w:t>
      </w:r>
      <w:r w:rsidR="00F00BD6">
        <w:rPr>
          <w:szCs w:val="24"/>
        </w:rPr>
        <w:t>6</w:t>
      </w:r>
      <w:r w:rsidRPr="003E2177">
        <w:rPr>
          <w:szCs w:val="24"/>
        </w:rPr>
        <w:t xml:space="preserve"> (total expenditure $</w:t>
      </w:r>
      <w:r w:rsidR="00F00BD6">
        <w:rPr>
          <w:szCs w:val="24"/>
        </w:rPr>
        <w:t>126,792</w:t>
      </w:r>
      <w:r w:rsidR="004D28B2">
        <w:rPr>
          <w:szCs w:val="24"/>
        </w:rPr>
        <w:t>,538</w:t>
      </w:r>
      <w:r w:rsidRPr="003E2177">
        <w:rPr>
          <w:szCs w:val="24"/>
        </w:rPr>
        <w:t xml:space="preserve">), could result in an additional </w:t>
      </w:r>
      <w:r w:rsidR="004D28B2" w:rsidRPr="004D28B2">
        <w:rPr>
          <w:b/>
          <w:bCs/>
          <w:szCs w:val="24"/>
        </w:rPr>
        <w:t xml:space="preserve">$4,651,906 </w:t>
      </w:r>
      <w:r w:rsidRPr="003E2177">
        <w:rPr>
          <w:szCs w:val="24"/>
        </w:rPr>
        <w:t>(a</w:t>
      </w:r>
      <w:r w:rsidRPr="003E2177">
        <w:rPr>
          <w:b/>
          <w:bCs/>
          <w:szCs w:val="24"/>
        </w:rPr>
        <w:t xml:space="preserve"> </w:t>
      </w:r>
      <w:r w:rsidR="004D28B2" w:rsidRPr="004D28B2">
        <w:rPr>
          <w:b/>
          <w:bCs/>
          <w:szCs w:val="24"/>
        </w:rPr>
        <w:t>3.67</w:t>
      </w:r>
      <w:r w:rsidRPr="003E2177">
        <w:rPr>
          <w:b/>
          <w:bCs/>
          <w:szCs w:val="24"/>
        </w:rPr>
        <w:t>% increase in expenditure for the Scheme)</w:t>
      </w:r>
      <w:r w:rsidRPr="003E2177">
        <w:rPr>
          <w:szCs w:val="24"/>
        </w:rPr>
        <w:t xml:space="preserve">. </w:t>
      </w:r>
      <w:r w:rsidR="005C3670">
        <w:rPr>
          <w:szCs w:val="24"/>
        </w:rPr>
        <w:fldChar w:fldCharType="begin"/>
      </w:r>
      <w:r w:rsidR="005C3670">
        <w:rPr>
          <w:szCs w:val="24"/>
        </w:rPr>
        <w:instrText xml:space="preserve"> REF _Ref161215229 \h </w:instrText>
      </w:r>
      <w:r w:rsidR="005C3670">
        <w:rPr>
          <w:szCs w:val="24"/>
        </w:rPr>
      </w:r>
      <w:r w:rsidR="005C3670">
        <w:rPr>
          <w:szCs w:val="24"/>
        </w:rPr>
        <w:fldChar w:fldCharType="separate"/>
      </w:r>
      <w:r w:rsidR="00FE1418">
        <w:t xml:space="preserve">Figure </w:t>
      </w:r>
      <w:r w:rsidR="00FE1418">
        <w:rPr>
          <w:noProof/>
        </w:rPr>
        <w:t>28</w:t>
      </w:r>
      <w:r w:rsidR="005C3670">
        <w:rPr>
          <w:szCs w:val="24"/>
        </w:rPr>
        <w:fldChar w:fldCharType="end"/>
      </w:r>
      <w:r w:rsidRPr="003E2177">
        <w:rPr>
          <w:szCs w:val="24"/>
        </w:rPr>
        <w:t xml:space="preserve"> provides three years of </w:t>
      </w:r>
      <w:r w:rsidR="007F1108">
        <w:rPr>
          <w:szCs w:val="24"/>
        </w:rPr>
        <w:t xml:space="preserve">predicted </w:t>
      </w:r>
      <w:r w:rsidRPr="003E2177">
        <w:rPr>
          <w:szCs w:val="24"/>
        </w:rPr>
        <w:t xml:space="preserve">expenditure related to this scenario and highlights the change would affect </w:t>
      </w:r>
      <w:r w:rsidR="007F1108">
        <w:rPr>
          <w:szCs w:val="24"/>
        </w:rPr>
        <w:t xml:space="preserve">approximately </w:t>
      </w:r>
      <w:r w:rsidR="005C3670">
        <w:rPr>
          <w:szCs w:val="24"/>
        </w:rPr>
        <w:t>220,996</w:t>
      </w:r>
      <w:r w:rsidRPr="003E2177">
        <w:rPr>
          <w:szCs w:val="24"/>
        </w:rPr>
        <w:t xml:space="preserve"> ostomates who are currently ordering the maximum monthly amount. </w:t>
      </w:r>
    </w:p>
    <w:p w14:paraId="5889ED0B" w14:textId="09FA8209" w:rsidR="003E2177" w:rsidRPr="003E2177" w:rsidRDefault="005C3670" w:rsidP="007D6C48">
      <w:pPr>
        <w:pStyle w:val="Caption"/>
      </w:pPr>
      <w:bookmarkStart w:id="148" w:name="_Ref161215229"/>
      <w:bookmarkStart w:id="149" w:name="_Toc161743152"/>
      <w:r>
        <w:t xml:space="preserve">Figure </w:t>
      </w:r>
      <w:r>
        <w:fldChar w:fldCharType="begin"/>
      </w:r>
      <w:r>
        <w:instrText xml:space="preserve"> SEQ Figure \* ARABIC </w:instrText>
      </w:r>
      <w:r>
        <w:fldChar w:fldCharType="separate"/>
      </w:r>
      <w:r w:rsidR="00FE1418">
        <w:rPr>
          <w:noProof/>
        </w:rPr>
        <w:t>28</w:t>
      </w:r>
      <w:r>
        <w:fldChar w:fldCharType="end"/>
      </w:r>
      <w:bookmarkEnd w:id="148"/>
      <w:r w:rsidR="003E2177" w:rsidRPr="003E2177">
        <w:t xml:space="preserve">: Expenditure related to increasing the maximum quantity of seals on the </w:t>
      </w:r>
      <w:proofErr w:type="gramStart"/>
      <w:r w:rsidR="003E2177" w:rsidRPr="003E2177">
        <w:t>Scheme</w:t>
      </w:r>
      <w:bookmarkEnd w:id="149"/>
      <w:proofErr w:type="gramEnd"/>
    </w:p>
    <w:tbl>
      <w:tblPr>
        <w:tblStyle w:val="TableHealthConsultPurple"/>
        <w:tblpPr w:leftFromText="180" w:rightFromText="180" w:vertAnchor="text" w:horzAnchor="page" w:tblpX="8392" w:tblpY="49"/>
        <w:tblW w:w="2470" w:type="pct"/>
        <w:tblLayout w:type="fixed"/>
        <w:tblLook w:val="04E0" w:firstRow="1" w:lastRow="1" w:firstColumn="1" w:lastColumn="0" w:noHBand="0" w:noVBand="1"/>
      </w:tblPr>
      <w:tblGrid>
        <w:gridCol w:w="851"/>
        <w:gridCol w:w="3828"/>
        <w:gridCol w:w="2519"/>
      </w:tblGrid>
      <w:tr w:rsidR="005C3670" w:rsidRPr="00F86DE1" w14:paraId="1F69EF10" w14:textId="77777777" w:rsidTr="00D70686">
        <w:trPr>
          <w:cnfStyle w:val="100000000000" w:firstRow="1" w:lastRow="0" w:firstColumn="0" w:lastColumn="0" w:oddVBand="0" w:evenVBand="0" w:oddHBand="0" w:evenHBand="0" w:firstRowFirstColumn="0" w:firstRowLastColumn="0" w:lastRowFirstColumn="0" w:lastRowLastColumn="0"/>
          <w:trHeight w:val="419"/>
        </w:trPr>
        <w:tc>
          <w:tcPr>
            <w:cnfStyle w:val="001000000100" w:firstRow="0" w:lastRow="0" w:firstColumn="1" w:lastColumn="0" w:oddVBand="0" w:evenVBand="0" w:oddHBand="0" w:evenHBand="0" w:firstRowFirstColumn="1" w:firstRowLastColumn="0" w:lastRowFirstColumn="0" w:lastRowLastColumn="0"/>
            <w:tcW w:w="3250" w:type="pct"/>
            <w:gridSpan w:val="2"/>
            <w:noWrap/>
            <w:hideMark/>
          </w:tcPr>
          <w:p w14:paraId="13120150" w14:textId="77777777" w:rsidR="005C3670" w:rsidRPr="00F86DE1" w:rsidRDefault="005C3670" w:rsidP="00BF40C6">
            <w:pPr>
              <w:pStyle w:val="BodyText"/>
              <w:jc w:val="center"/>
              <w:rPr>
                <w:sz w:val="16"/>
                <w:szCs w:val="20"/>
                <w:lang w:eastAsia="en-AU"/>
              </w:rPr>
            </w:pPr>
            <w:r w:rsidRPr="00F86DE1">
              <w:rPr>
                <w:sz w:val="16"/>
                <w:szCs w:val="20"/>
                <w:lang w:eastAsia="en-AU"/>
              </w:rPr>
              <w:t>Scenario</w:t>
            </w:r>
            <w:r>
              <w:rPr>
                <w:sz w:val="16"/>
                <w:szCs w:val="20"/>
                <w:lang w:eastAsia="en-AU"/>
              </w:rPr>
              <w:t>:</w:t>
            </w:r>
          </w:p>
        </w:tc>
        <w:tc>
          <w:tcPr>
            <w:tcW w:w="1750" w:type="pct"/>
            <w:noWrap/>
            <w:hideMark/>
          </w:tcPr>
          <w:p w14:paraId="34C908F8" w14:textId="48CF9417" w:rsidR="005C3670" w:rsidRPr="00F86DE1" w:rsidRDefault="005C3670" w:rsidP="00BF40C6">
            <w:pPr>
              <w:pStyle w:val="BodyText"/>
              <w:cnfStyle w:val="100000000000" w:firstRow="1" w:lastRow="0" w:firstColumn="0" w:lastColumn="0" w:oddVBand="0" w:evenVBand="0" w:oddHBand="0" w:evenHBand="0" w:firstRowFirstColumn="0" w:firstRowLastColumn="0" w:lastRowFirstColumn="0" w:lastRowLastColumn="0"/>
              <w:rPr>
                <w:bCs/>
                <w:sz w:val="16"/>
                <w:szCs w:val="20"/>
                <w:lang w:eastAsia="en-AU"/>
              </w:rPr>
            </w:pPr>
            <w:r>
              <w:rPr>
                <w:bCs/>
                <w:sz w:val="16"/>
                <w:szCs w:val="20"/>
                <w:lang w:eastAsia="en-AU"/>
              </w:rPr>
              <w:t>I</w:t>
            </w:r>
            <w:r w:rsidRPr="00F86DE1">
              <w:rPr>
                <w:bCs/>
                <w:sz w:val="16"/>
                <w:szCs w:val="20"/>
                <w:lang w:eastAsia="en-AU"/>
              </w:rPr>
              <w:t xml:space="preserve">ncrease in annual quantity of </w:t>
            </w:r>
            <w:r>
              <w:rPr>
                <w:bCs/>
                <w:sz w:val="16"/>
                <w:szCs w:val="20"/>
                <w:lang w:eastAsia="en-AU"/>
              </w:rPr>
              <w:t xml:space="preserve">convex </w:t>
            </w:r>
            <w:r w:rsidRPr="00F86DE1">
              <w:rPr>
                <w:bCs/>
                <w:sz w:val="16"/>
                <w:szCs w:val="20"/>
                <w:lang w:eastAsia="en-AU"/>
              </w:rPr>
              <w:t>bags s</w:t>
            </w:r>
            <w:r>
              <w:rPr>
                <w:bCs/>
                <w:sz w:val="16"/>
                <w:szCs w:val="20"/>
                <w:lang w:eastAsia="en-AU"/>
              </w:rPr>
              <w:t>ystem</w:t>
            </w:r>
            <w:r w:rsidRPr="00F86DE1">
              <w:rPr>
                <w:bCs/>
                <w:sz w:val="16"/>
                <w:szCs w:val="20"/>
                <w:lang w:eastAsia="en-AU"/>
              </w:rPr>
              <w:t>s</w:t>
            </w:r>
            <w:r w:rsidR="00CE4DF7">
              <w:rPr>
                <w:bCs/>
                <w:sz w:val="16"/>
                <w:szCs w:val="20"/>
                <w:lang w:eastAsia="en-AU"/>
              </w:rPr>
              <w:t xml:space="preserve"> (01c and 03b)</w:t>
            </w:r>
          </w:p>
        </w:tc>
      </w:tr>
      <w:tr w:rsidR="00A7389D" w:rsidRPr="00F86DE1" w14:paraId="36A94987" w14:textId="77777777" w:rsidTr="00D70686">
        <w:trPr>
          <w:trHeight w:val="336"/>
        </w:trPr>
        <w:tc>
          <w:tcPr>
            <w:cnfStyle w:val="001000000000" w:firstRow="0" w:lastRow="0" w:firstColumn="1" w:lastColumn="0" w:oddVBand="0" w:evenVBand="0" w:oddHBand="0" w:evenHBand="0" w:firstRowFirstColumn="0" w:firstRowLastColumn="0" w:lastRowFirstColumn="0" w:lastRowLastColumn="0"/>
            <w:tcW w:w="591" w:type="pct"/>
            <w:vMerge w:val="restart"/>
            <w:hideMark/>
          </w:tcPr>
          <w:p w14:paraId="3E05041E" w14:textId="46D45492" w:rsidR="00A7389D" w:rsidRPr="00F86DE1" w:rsidRDefault="00A7389D" w:rsidP="00A7389D">
            <w:pPr>
              <w:pStyle w:val="BodyText"/>
              <w:rPr>
                <w:b w:val="0"/>
                <w:bCs/>
                <w:sz w:val="16"/>
                <w:szCs w:val="20"/>
                <w:lang w:eastAsia="en-AU"/>
              </w:rPr>
            </w:pPr>
            <w:r w:rsidRPr="00377AB5">
              <w:rPr>
                <w:bCs/>
                <w:sz w:val="16"/>
                <w:szCs w:val="20"/>
                <w:lang w:eastAsia="en-AU"/>
              </w:rPr>
              <w:t>2023-24</w:t>
            </w:r>
          </w:p>
        </w:tc>
        <w:tc>
          <w:tcPr>
            <w:tcW w:w="2658" w:type="pct"/>
            <w:hideMark/>
          </w:tcPr>
          <w:p w14:paraId="617BBB6D" w14:textId="2AFC5A13" w:rsidR="00A7389D" w:rsidRPr="00B91542" w:rsidRDefault="00A7389D" w:rsidP="00A7389D">
            <w:pPr>
              <w:pStyle w:val="BodyText"/>
              <w:cnfStyle w:val="000000000000" w:firstRow="0" w:lastRow="0" w:firstColumn="0" w:lastColumn="0" w:oddVBand="0" w:evenVBand="0" w:oddHBand="0" w:evenHBand="0" w:firstRowFirstColumn="0" w:firstRowLastColumn="0" w:lastRowFirstColumn="0" w:lastRowLastColumn="0"/>
              <w:rPr>
                <w:b/>
                <w:bCs/>
                <w:sz w:val="16"/>
                <w:szCs w:val="20"/>
                <w:lang w:eastAsia="en-AU"/>
              </w:rPr>
            </w:pPr>
            <w:r w:rsidRPr="007857CA">
              <w:rPr>
                <w:b/>
                <w:bCs/>
                <w:sz w:val="16"/>
                <w:szCs w:val="20"/>
                <w:lang w:eastAsia="en-AU"/>
              </w:rPr>
              <w:t>Change in expenditure from predicted</w:t>
            </w:r>
          </w:p>
        </w:tc>
        <w:tc>
          <w:tcPr>
            <w:tcW w:w="1751" w:type="pct"/>
            <w:noWrap/>
            <w:vAlign w:val="center"/>
            <w:hideMark/>
          </w:tcPr>
          <w:p w14:paraId="62D23E34" w14:textId="5CA8026F" w:rsidR="00A7389D" w:rsidRPr="00A7389D" w:rsidRDefault="00A7389D" w:rsidP="00A7389D">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7D6C48">
              <w:rPr>
                <w:rFonts w:ascii="Poppins" w:hAnsi="Poppins" w:cs="Poppins"/>
                <w:b/>
                <w:bCs/>
                <w:color w:val="000000"/>
                <w:sz w:val="16"/>
                <w:szCs w:val="16"/>
              </w:rPr>
              <w:t xml:space="preserve">$2,953,684 </w:t>
            </w:r>
          </w:p>
        </w:tc>
      </w:tr>
      <w:tr w:rsidR="00A7389D" w:rsidRPr="00F86DE1" w14:paraId="31BB3306" w14:textId="77777777" w:rsidTr="00D70686">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91" w:type="pct"/>
            <w:vMerge/>
            <w:hideMark/>
          </w:tcPr>
          <w:p w14:paraId="17768475" w14:textId="77777777" w:rsidR="00A7389D" w:rsidRPr="00F86DE1" w:rsidRDefault="00A7389D" w:rsidP="00A7389D">
            <w:pPr>
              <w:pStyle w:val="BodyText"/>
              <w:rPr>
                <w:bCs/>
                <w:sz w:val="16"/>
                <w:szCs w:val="20"/>
                <w:lang w:eastAsia="en-AU"/>
              </w:rPr>
            </w:pPr>
          </w:p>
        </w:tc>
        <w:tc>
          <w:tcPr>
            <w:tcW w:w="2658" w:type="pct"/>
            <w:hideMark/>
          </w:tcPr>
          <w:p w14:paraId="38C429C3" w14:textId="2E18487F" w:rsidR="00A7389D" w:rsidRPr="00F86DE1" w:rsidRDefault="00A7389D" w:rsidP="00A7389D">
            <w:pPr>
              <w:pStyle w:val="BodyText"/>
              <w:cnfStyle w:val="000000010000" w:firstRow="0" w:lastRow="0" w:firstColumn="0" w:lastColumn="0" w:oddVBand="0" w:evenVBand="0" w:oddHBand="0" w:evenHBand="1" w:firstRowFirstColumn="0" w:firstRowLastColumn="0" w:lastRowFirstColumn="0" w:lastRowLastColumn="0"/>
              <w:rPr>
                <w:bCs/>
                <w:sz w:val="16"/>
                <w:szCs w:val="20"/>
                <w:lang w:eastAsia="en-AU"/>
              </w:rPr>
            </w:pPr>
            <w:r w:rsidRPr="00377AB5">
              <w:rPr>
                <w:bCs/>
                <w:sz w:val="16"/>
                <w:szCs w:val="20"/>
                <w:lang w:eastAsia="en-AU"/>
              </w:rPr>
              <w:t xml:space="preserve">Percentage change </w:t>
            </w:r>
          </w:p>
        </w:tc>
        <w:tc>
          <w:tcPr>
            <w:tcW w:w="1751" w:type="pct"/>
            <w:noWrap/>
            <w:vAlign w:val="center"/>
            <w:hideMark/>
          </w:tcPr>
          <w:p w14:paraId="5882EC97" w14:textId="34724CB8" w:rsidR="00A7389D" w:rsidRPr="00A7389D" w:rsidRDefault="00A7389D" w:rsidP="00A7389D">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Pr>
                <w:rFonts w:ascii="Poppins" w:hAnsi="Poppins" w:cs="Poppins"/>
                <w:color w:val="000000"/>
                <w:sz w:val="16"/>
                <w:szCs w:val="16"/>
              </w:rPr>
              <w:t>+</w:t>
            </w:r>
            <w:r w:rsidRPr="007D6C48">
              <w:rPr>
                <w:rFonts w:ascii="Poppins" w:hAnsi="Poppins" w:cs="Poppins"/>
                <w:color w:val="000000"/>
                <w:sz w:val="16"/>
                <w:szCs w:val="16"/>
              </w:rPr>
              <w:t>2.56%</w:t>
            </w:r>
          </w:p>
        </w:tc>
      </w:tr>
      <w:tr w:rsidR="00A7389D" w:rsidRPr="00F86DE1" w14:paraId="27A45AF0" w14:textId="77777777" w:rsidTr="00D70686">
        <w:trPr>
          <w:trHeight w:val="471"/>
        </w:trPr>
        <w:tc>
          <w:tcPr>
            <w:cnfStyle w:val="001000000000" w:firstRow="0" w:lastRow="0" w:firstColumn="1" w:lastColumn="0" w:oddVBand="0" w:evenVBand="0" w:oddHBand="0" w:evenHBand="0" w:firstRowFirstColumn="0" w:firstRowLastColumn="0" w:lastRowFirstColumn="0" w:lastRowLastColumn="0"/>
            <w:tcW w:w="591" w:type="pct"/>
            <w:vMerge w:val="restart"/>
            <w:hideMark/>
          </w:tcPr>
          <w:p w14:paraId="75A142AB" w14:textId="74A1EF73" w:rsidR="00A7389D" w:rsidRPr="00F86DE1" w:rsidRDefault="00A7389D" w:rsidP="00A7389D">
            <w:pPr>
              <w:pStyle w:val="BodyText"/>
              <w:rPr>
                <w:b w:val="0"/>
                <w:bCs/>
                <w:sz w:val="16"/>
                <w:szCs w:val="20"/>
                <w:lang w:eastAsia="en-AU"/>
              </w:rPr>
            </w:pPr>
            <w:r w:rsidRPr="00377AB5">
              <w:rPr>
                <w:bCs/>
                <w:sz w:val="16"/>
                <w:szCs w:val="20"/>
                <w:lang w:eastAsia="en-AU"/>
              </w:rPr>
              <w:t>2024-25</w:t>
            </w:r>
          </w:p>
        </w:tc>
        <w:tc>
          <w:tcPr>
            <w:tcW w:w="2658" w:type="pct"/>
            <w:hideMark/>
          </w:tcPr>
          <w:p w14:paraId="4687A3FD" w14:textId="3B49DD35" w:rsidR="00A7389D" w:rsidRPr="00B91542" w:rsidRDefault="00A7389D" w:rsidP="00A7389D">
            <w:pPr>
              <w:pStyle w:val="BodyText"/>
              <w:cnfStyle w:val="000000000000" w:firstRow="0" w:lastRow="0" w:firstColumn="0" w:lastColumn="0" w:oddVBand="0" w:evenVBand="0" w:oddHBand="0" w:evenHBand="0" w:firstRowFirstColumn="0" w:firstRowLastColumn="0" w:lastRowFirstColumn="0" w:lastRowLastColumn="0"/>
              <w:rPr>
                <w:b/>
                <w:bCs/>
                <w:sz w:val="16"/>
                <w:szCs w:val="20"/>
                <w:lang w:eastAsia="en-AU"/>
              </w:rPr>
            </w:pPr>
            <w:r w:rsidRPr="007857CA">
              <w:rPr>
                <w:b/>
                <w:bCs/>
                <w:sz w:val="16"/>
                <w:szCs w:val="20"/>
                <w:lang w:eastAsia="en-AU"/>
              </w:rPr>
              <w:t>Change in expenditure</w:t>
            </w:r>
            <w:r w:rsidRPr="007857CA">
              <w:rPr>
                <w:b/>
                <w:bCs/>
                <w:sz w:val="16"/>
                <w:szCs w:val="20"/>
              </w:rPr>
              <w:t xml:space="preserve"> </w:t>
            </w:r>
            <w:r w:rsidRPr="007857CA">
              <w:rPr>
                <w:b/>
                <w:bCs/>
                <w:sz w:val="16"/>
                <w:szCs w:val="20"/>
                <w:lang w:eastAsia="en-AU"/>
              </w:rPr>
              <w:t>from predicted</w:t>
            </w:r>
          </w:p>
        </w:tc>
        <w:tc>
          <w:tcPr>
            <w:tcW w:w="1751" w:type="pct"/>
            <w:noWrap/>
            <w:vAlign w:val="center"/>
            <w:hideMark/>
          </w:tcPr>
          <w:p w14:paraId="5CAB0324" w14:textId="1FF60B02" w:rsidR="00A7389D" w:rsidRPr="00A7389D" w:rsidRDefault="00A7389D" w:rsidP="00A7389D">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7D6C48">
              <w:rPr>
                <w:rFonts w:ascii="Poppins" w:hAnsi="Poppins" w:cs="Poppins"/>
                <w:b/>
                <w:bCs/>
                <w:color w:val="000000"/>
                <w:sz w:val="16"/>
                <w:szCs w:val="16"/>
              </w:rPr>
              <w:t xml:space="preserve">$3,802,376 </w:t>
            </w:r>
          </w:p>
        </w:tc>
      </w:tr>
      <w:tr w:rsidR="00A7389D" w:rsidRPr="00F86DE1" w14:paraId="13085E47" w14:textId="77777777" w:rsidTr="00D70686">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91" w:type="pct"/>
            <w:vMerge/>
            <w:hideMark/>
          </w:tcPr>
          <w:p w14:paraId="67418160" w14:textId="77777777" w:rsidR="00A7389D" w:rsidRPr="00F86DE1" w:rsidRDefault="00A7389D" w:rsidP="00A7389D">
            <w:pPr>
              <w:pStyle w:val="BodyText"/>
              <w:rPr>
                <w:bCs/>
                <w:sz w:val="16"/>
                <w:szCs w:val="20"/>
                <w:lang w:eastAsia="en-AU"/>
              </w:rPr>
            </w:pPr>
          </w:p>
        </w:tc>
        <w:tc>
          <w:tcPr>
            <w:tcW w:w="2658" w:type="pct"/>
            <w:hideMark/>
          </w:tcPr>
          <w:p w14:paraId="570D380F" w14:textId="1BB8094E" w:rsidR="00A7389D" w:rsidRPr="00F86DE1" w:rsidRDefault="00A7389D" w:rsidP="00A7389D">
            <w:pPr>
              <w:pStyle w:val="BodyText"/>
              <w:cnfStyle w:val="000000010000" w:firstRow="0" w:lastRow="0" w:firstColumn="0" w:lastColumn="0" w:oddVBand="0" w:evenVBand="0" w:oddHBand="0" w:evenHBand="1" w:firstRowFirstColumn="0" w:firstRowLastColumn="0" w:lastRowFirstColumn="0" w:lastRowLastColumn="0"/>
              <w:rPr>
                <w:bCs/>
                <w:sz w:val="16"/>
                <w:szCs w:val="20"/>
                <w:lang w:eastAsia="en-AU"/>
              </w:rPr>
            </w:pPr>
            <w:r w:rsidRPr="00377AB5">
              <w:rPr>
                <w:bCs/>
                <w:sz w:val="16"/>
                <w:szCs w:val="20"/>
                <w:lang w:eastAsia="en-AU"/>
              </w:rPr>
              <w:t xml:space="preserve">Percentage change </w:t>
            </w:r>
          </w:p>
        </w:tc>
        <w:tc>
          <w:tcPr>
            <w:tcW w:w="1751" w:type="pct"/>
            <w:noWrap/>
            <w:vAlign w:val="center"/>
            <w:hideMark/>
          </w:tcPr>
          <w:p w14:paraId="312C7EC7" w14:textId="3D110F3D" w:rsidR="00A7389D" w:rsidRPr="00A7389D" w:rsidRDefault="00A7389D" w:rsidP="00A7389D">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Pr>
                <w:rFonts w:ascii="Poppins" w:hAnsi="Poppins" w:cs="Poppins"/>
                <w:color w:val="000000"/>
                <w:sz w:val="16"/>
                <w:szCs w:val="16"/>
              </w:rPr>
              <w:t>+</w:t>
            </w:r>
            <w:r w:rsidRPr="007D6C48">
              <w:rPr>
                <w:rFonts w:ascii="Poppins" w:hAnsi="Poppins" w:cs="Poppins"/>
                <w:color w:val="000000"/>
                <w:sz w:val="16"/>
                <w:szCs w:val="16"/>
              </w:rPr>
              <w:t>3.14%</w:t>
            </w:r>
          </w:p>
        </w:tc>
      </w:tr>
      <w:tr w:rsidR="00A7389D" w:rsidRPr="00F86DE1" w14:paraId="38E639AC" w14:textId="77777777" w:rsidTr="00D70686">
        <w:trPr>
          <w:trHeight w:val="336"/>
        </w:trPr>
        <w:tc>
          <w:tcPr>
            <w:cnfStyle w:val="001000000000" w:firstRow="0" w:lastRow="0" w:firstColumn="1" w:lastColumn="0" w:oddVBand="0" w:evenVBand="0" w:oddHBand="0" w:evenHBand="0" w:firstRowFirstColumn="0" w:firstRowLastColumn="0" w:lastRowFirstColumn="0" w:lastRowLastColumn="0"/>
            <w:tcW w:w="591" w:type="pct"/>
            <w:vMerge w:val="restart"/>
            <w:hideMark/>
          </w:tcPr>
          <w:p w14:paraId="4315964B" w14:textId="23591E06" w:rsidR="00A7389D" w:rsidRPr="00F86DE1" w:rsidRDefault="00A7389D" w:rsidP="00A7389D">
            <w:pPr>
              <w:pStyle w:val="BodyText"/>
              <w:rPr>
                <w:b w:val="0"/>
                <w:bCs/>
                <w:sz w:val="16"/>
                <w:szCs w:val="20"/>
                <w:lang w:eastAsia="en-AU"/>
              </w:rPr>
            </w:pPr>
            <w:r w:rsidRPr="00377AB5">
              <w:rPr>
                <w:bCs/>
                <w:sz w:val="16"/>
                <w:szCs w:val="20"/>
                <w:lang w:eastAsia="en-AU"/>
              </w:rPr>
              <w:t>2025-26</w:t>
            </w:r>
          </w:p>
        </w:tc>
        <w:tc>
          <w:tcPr>
            <w:tcW w:w="2658" w:type="pct"/>
            <w:hideMark/>
          </w:tcPr>
          <w:p w14:paraId="2E33A68B" w14:textId="56394EA1" w:rsidR="00A7389D" w:rsidRPr="00B91542" w:rsidRDefault="00A7389D" w:rsidP="00A7389D">
            <w:pPr>
              <w:pStyle w:val="BodyText"/>
              <w:cnfStyle w:val="000000000000" w:firstRow="0" w:lastRow="0" w:firstColumn="0" w:lastColumn="0" w:oddVBand="0" w:evenVBand="0" w:oddHBand="0" w:evenHBand="0" w:firstRowFirstColumn="0" w:firstRowLastColumn="0" w:lastRowFirstColumn="0" w:lastRowLastColumn="0"/>
              <w:rPr>
                <w:b/>
                <w:bCs/>
                <w:sz w:val="16"/>
                <w:szCs w:val="20"/>
                <w:lang w:eastAsia="en-AU"/>
              </w:rPr>
            </w:pPr>
            <w:r w:rsidRPr="007857CA">
              <w:rPr>
                <w:b/>
                <w:bCs/>
                <w:sz w:val="16"/>
                <w:szCs w:val="20"/>
                <w:lang w:eastAsia="en-AU"/>
              </w:rPr>
              <w:t>Change in expenditure</w:t>
            </w:r>
            <w:r w:rsidRPr="007857CA">
              <w:rPr>
                <w:b/>
                <w:bCs/>
                <w:sz w:val="16"/>
                <w:szCs w:val="20"/>
              </w:rPr>
              <w:t xml:space="preserve"> </w:t>
            </w:r>
            <w:r w:rsidRPr="007857CA">
              <w:rPr>
                <w:b/>
                <w:bCs/>
                <w:sz w:val="16"/>
                <w:szCs w:val="20"/>
                <w:lang w:eastAsia="en-AU"/>
              </w:rPr>
              <w:t>from predicted</w:t>
            </w:r>
          </w:p>
        </w:tc>
        <w:tc>
          <w:tcPr>
            <w:tcW w:w="1751" w:type="pct"/>
            <w:noWrap/>
            <w:vAlign w:val="center"/>
            <w:hideMark/>
          </w:tcPr>
          <w:p w14:paraId="0E890089" w14:textId="528263E3" w:rsidR="00A7389D" w:rsidRPr="00A7389D" w:rsidRDefault="00A7389D" w:rsidP="00A7389D">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7D6C48">
              <w:rPr>
                <w:rFonts w:ascii="Poppins" w:hAnsi="Poppins" w:cs="Poppins"/>
                <w:b/>
                <w:bCs/>
                <w:color w:val="000000"/>
                <w:sz w:val="16"/>
                <w:szCs w:val="16"/>
              </w:rPr>
              <w:t>$4,651,906</w:t>
            </w:r>
            <w:r w:rsidRPr="007D6C48">
              <w:rPr>
                <w:rFonts w:ascii="Poppins" w:hAnsi="Poppins" w:cs="Poppins"/>
                <w:color w:val="000000"/>
                <w:sz w:val="16"/>
                <w:szCs w:val="16"/>
              </w:rPr>
              <w:t xml:space="preserve"> </w:t>
            </w:r>
          </w:p>
        </w:tc>
      </w:tr>
      <w:tr w:rsidR="00A7389D" w:rsidRPr="00F86DE1" w14:paraId="1A4F5B63" w14:textId="77777777" w:rsidTr="00D70686">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591" w:type="pct"/>
            <w:vMerge/>
            <w:hideMark/>
          </w:tcPr>
          <w:p w14:paraId="733F5446" w14:textId="77777777" w:rsidR="00A7389D" w:rsidRPr="00F86DE1" w:rsidRDefault="00A7389D" w:rsidP="00A7389D">
            <w:pPr>
              <w:pStyle w:val="BodyText"/>
              <w:rPr>
                <w:bCs/>
                <w:sz w:val="16"/>
                <w:szCs w:val="20"/>
                <w:lang w:eastAsia="en-AU"/>
              </w:rPr>
            </w:pPr>
          </w:p>
        </w:tc>
        <w:tc>
          <w:tcPr>
            <w:tcW w:w="2658" w:type="pct"/>
            <w:hideMark/>
          </w:tcPr>
          <w:p w14:paraId="5F90E4A2" w14:textId="4FE0AA4A" w:rsidR="00A7389D" w:rsidRPr="00F86DE1" w:rsidRDefault="00A7389D" w:rsidP="00A7389D">
            <w:pPr>
              <w:pStyle w:val="BodyText"/>
              <w:cnfStyle w:val="000000010000" w:firstRow="0" w:lastRow="0" w:firstColumn="0" w:lastColumn="0" w:oddVBand="0" w:evenVBand="0" w:oddHBand="0" w:evenHBand="1" w:firstRowFirstColumn="0" w:firstRowLastColumn="0" w:lastRowFirstColumn="0" w:lastRowLastColumn="0"/>
              <w:rPr>
                <w:bCs/>
                <w:sz w:val="16"/>
                <w:szCs w:val="20"/>
                <w:lang w:eastAsia="en-AU"/>
              </w:rPr>
            </w:pPr>
            <w:r w:rsidRPr="00377AB5">
              <w:rPr>
                <w:sz w:val="16"/>
                <w:szCs w:val="20"/>
                <w:lang w:eastAsia="en-AU"/>
              </w:rPr>
              <w:t>Percentage change</w:t>
            </w:r>
          </w:p>
        </w:tc>
        <w:tc>
          <w:tcPr>
            <w:tcW w:w="1751" w:type="pct"/>
            <w:noWrap/>
            <w:vAlign w:val="center"/>
            <w:hideMark/>
          </w:tcPr>
          <w:p w14:paraId="54A00792" w14:textId="6F3ED54D" w:rsidR="00A7389D" w:rsidRPr="00A7389D" w:rsidRDefault="00A7389D" w:rsidP="00A7389D">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Pr>
                <w:rFonts w:ascii="Poppins" w:hAnsi="Poppins" w:cs="Poppins"/>
                <w:color w:val="000000"/>
                <w:sz w:val="16"/>
                <w:szCs w:val="16"/>
              </w:rPr>
              <w:t>+</w:t>
            </w:r>
            <w:r w:rsidRPr="007D6C48">
              <w:rPr>
                <w:rFonts w:ascii="Poppins" w:hAnsi="Poppins" w:cs="Poppins"/>
                <w:color w:val="000000"/>
                <w:sz w:val="16"/>
                <w:szCs w:val="16"/>
              </w:rPr>
              <w:t>3.67%</w:t>
            </w:r>
          </w:p>
        </w:tc>
      </w:tr>
      <w:tr w:rsidR="00CE4DF7" w:rsidRPr="00F86DE1" w14:paraId="4B250BF9" w14:textId="77777777" w:rsidTr="00D70686">
        <w:trPr>
          <w:cnfStyle w:val="010000000000" w:firstRow="0" w:lastRow="1"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91" w:type="pct"/>
            <w:vMerge/>
            <w:hideMark/>
          </w:tcPr>
          <w:p w14:paraId="7171954A" w14:textId="77777777" w:rsidR="00CE4DF7" w:rsidRPr="00F86DE1" w:rsidRDefault="00CE4DF7" w:rsidP="00CE4DF7">
            <w:pPr>
              <w:pStyle w:val="BodyText"/>
              <w:rPr>
                <w:bCs/>
                <w:sz w:val="16"/>
                <w:szCs w:val="20"/>
                <w:lang w:eastAsia="en-AU"/>
              </w:rPr>
            </w:pPr>
          </w:p>
        </w:tc>
        <w:tc>
          <w:tcPr>
            <w:tcW w:w="2658" w:type="pct"/>
            <w:shd w:val="clear" w:color="auto" w:fill="FBC6D0" w:themeFill="accent2" w:themeFillTint="33"/>
            <w:hideMark/>
          </w:tcPr>
          <w:p w14:paraId="2D793E28" w14:textId="596CFDFA" w:rsidR="00CE4DF7" w:rsidRPr="00F86DE1" w:rsidRDefault="00CE4DF7" w:rsidP="00CE4DF7">
            <w:pPr>
              <w:pStyle w:val="BodyText"/>
              <w:cnfStyle w:val="010000000000" w:firstRow="0" w:lastRow="1" w:firstColumn="0" w:lastColumn="0" w:oddVBand="0" w:evenVBand="0" w:oddHBand="0" w:evenHBand="0" w:firstRowFirstColumn="0" w:firstRowLastColumn="0" w:lastRowFirstColumn="0" w:lastRowLastColumn="0"/>
              <w:rPr>
                <w:i/>
                <w:sz w:val="16"/>
                <w:szCs w:val="20"/>
                <w:lang w:eastAsia="en-AU"/>
              </w:rPr>
            </w:pPr>
            <w:r w:rsidRPr="00F86DE1">
              <w:rPr>
                <w:i/>
                <w:sz w:val="16"/>
                <w:szCs w:val="20"/>
                <w:lang w:eastAsia="en-AU"/>
              </w:rPr>
              <w:t>Number of ostomates impacted (based on current ostomate #)</w:t>
            </w:r>
          </w:p>
        </w:tc>
        <w:tc>
          <w:tcPr>
            <w:tcW w:w="1751" w:type="pct"/>
            <w:shd w:val="clear" w:color="auto" w:fill="FBC6D0" w:themeFill="accent2" w:themeFillTint="33"/>
            <w:noWrap/>
            <w:vAlign w:val="center"/>
            <w:hideMark/>
          </w:tcPr>
          <w:p w14:paraId="1F524B31" w14:textId="2A227C39" w:rsidR="00CE4DF7" w:rsidRPr="00CE4DF7" w:rsidRDefault="00CE4DF7" w:rsidP="00CE4DF7">
            <w:pPr>
              <w:pStyle w:val="BodyText"/>
              <w:cnfStyle w:val="010000000000" w:firstRow="0" w:lastRow="1" w:firstColumn="0" w:lastColumn="0" w:oddVBand="0" w:evenVBand="0" w:oddHBand="0" w:evenHBand="0" w:firstRowFirstColumn="0" w:firstRowLastColumn="0" w:lastRowFirstColumn="0" w:lastRowLastColumn="0"/>
              <w:rPr>
                <w:i/>
                <w:iCs/>
                <w:color w:val="000000"/>
                <w:sz w:val="16"/>
                <w:szCs w:val="16"/>
                <w:lang w:eastAsia="en-AU"/>
              </w:rPr>
            </w:pPr>
            <w:r w:rsidRPr="004A7112">
              <w:rPr>
                <w:rFonts w:ascii="Poppins" w:hAnsi="Poppins" w:cs="Poppins"/>
                <w:i/>
                <w:iCs/>
                <w:color w:val="000000"/>
                <w:sz w:val="16"/>
                <w:szCs w:val="16"/>
              </w:rPr>
              <w:t>220,996</w:t>
            </w:r>
          </w:p>
        </w:tc>
      </w:tr>
    </w:tbl>
    <w:p w14:paraId="549EE835" w14:textId="1C1FC473" w:rsidR="00A51E3D" w:rsidRDefault="00581A51" w:rsidP="00B65767">
      <w:r>
        <w:rPr>
          <w:noProof/>
        </w:rPr>
        <w:drawing>
          <wp:inline distT="0" distB="0" distL="0" distR="0" wp14:anchorId="5BCE6323" wp14:editId="04D01DC5">
            <wp:extent cx="4255541" cy="2943225"/>
            <wp:effectExtent l="0" t="0" r="0" b="0"/>
            <wp:docPr id="559249030" name="Picture 3" descr="Figure 28: Expenditure related to increasing the maximum quantity of seals on the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49030" name="Picture 3" descr="Figure 28: Expenditure related to increasing the maximum quantity of seals on the Schem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57797" cy="2944785"/>
                    </a:xfrm>
                    <a:prstGeom prst="rect">
                      <a:avLst/>
                    </a:prstGeom>
                    <a:noFill/>
                  </pic:spPr>
                </pic:pic>
              </a:graphicData>
            </a:graphic>
          </wp:inline>
        </w:drawing>
      </w:r>
    </w:p>
    <w:p w14:paraId="030C919D" w14:textId="77777777" w:rsidR="00A51E3D" w:rsidRDefault="00A51E3D" w:rsidP="00B65767"/>
    <w:p w14:paraId="08F69F2A" w14:textId="3A2F389F" w:rsidR="00A51E3D" w:rsidRDefault="00A51E3D" w:rsidP="00B65767">
      <w:pPr>
        <w:sectPr w:rsidR="00A51E3D" w:rsidSect="00361225">
          <w:pgSz w:w="16838" w:h="11906" w:orient="landscape" w:code="9"/>
          <w:pgMar w:top="1134" w:right="1134" w:bottom="1134" w:left="1134" w:header="709" w:footer="454" w:gutter="0"/>
          <w:cols w:space="708"/>
          <w:docGrid w:linePitch="360"/>
        </w:sectPr>
      </w:pPr>
    </w:p>
    <w:p w14:paraId="557DEC9E" w14:textId="554199EA" w:rsidR="00216F5E" w:rsidRPr="00A55522" w:rsidRDefault="00216F5E" w:rsidP="00E51893">
      <w:pPr>
        <w:pStyle w:val="Heading7"/>
        <w:rPr>
          <w:color w:val="C60C30" w:themeColor="accent2"/>
        </w:rPr>
      </w:pPr>
      <w:bookmarkStart w:id="150" w:name="_Toc161743102"/>
      <w:r w:rsidRPr="00A55522">
        <w:rPr>
          <w:color w:val="C60C30" w:themeColor="accent2"/>
        </w:rPr>
        <w:lastRenderedPageBreak/>
        <w:t xml:space="preserve">Budgetary </w:t>
      </w:r>
      <w:r w:rsidR="00F725F0">
        <w:rPr>
          <w:color w:val="C60C30" w:themeColor="accent2"/>
        </w:rPr>
        <w:t>I</w:t>
      </w:r>
      <w:r w:rsidRPr="00A55522">
        <w:rPr>
          <w:color w:val="C60C30" w:themeColor="accent2"/>
        </w:rPr>
        <w:t xml:space="preserve">mplications of </w:t>
      </w:r>
      <w:r w:rsidR="00F725F0">
        <w:rPr>
          <w:color w:val="C60C30" w:themeColor="accent2"/>
        </w:rPr>
        <w:t>P</w:t>
      </w:r>
      <w:r w:rsidRPr="00A55522">
        <w:rPr>
          <w:color w:val="C60C30" w:themeColor="accent2"/>
        </w:rPr>
        <w:t xml:space="preserve">ricing </w:t>
      </w:r>
      <w:r w:rsidR="00F725F0">
        <w:rPr>
          <w:color w:val="C60C30" w:themeColor="accent2"/>
        </w:rPr>
        <w:t>C</w:t>
      </w:r>
      <w:r w:rsidRPr="00A55522">
        <w:rPr>
          <w:color w:val="C60C30" w:themeColor="accent2"/>
        </w:rPr>
        <w:t>hanges</w:t>
      </w:r>
      <w:bookmarkEnd w:id="150"/>
    </w:p>
    <w:p w14:paraId="01109A6F" w14:textId="074041B9" w:rsidR="00216F5E" w:rsidRDefault="00216F5E" w:rsidP="006261FB">
      <w:pPr>
        <w:pStyle w:val="AltHeading3"/>
      </w:pPr>
      <w:r>
        <w:t xml:space="preserve">Scenario </w:t>
      </w:r>
      <w:r w:rsidR="004A7112">
        <w:t>12</w:t>
      </w:r>
      <w:r>
        <w:t xml:space="preserve">: </w:t>
      </w:r>
      <w:r w:rsidR="00812F22">
        <w:t xml:space="preserve">One-off increase through CPI </w:t>
      </w:r>
      <w:r w:rsidR="003C6C58">
        <w:t>i</w:t>
      </w:r>
      <w:r>
        <w:t>ndexation</w:t>
      </w:r>
    </w:p>
    <w:p w14:paraId="75014433" w14:textId="62B959A9" w:rsidR="00216F5E" w:rsidRDefault="005414A2" w:rsidP="00216F5E">
      <w:pPr>
        <w:pStyle w:val="BodyText"/>
        <w:rPr>
          <w:b/>
        </w:rPr>
      </w:pPr>
      <w:r>
        <w:t>S</w:t>
      </w:r>
      <w:r w:rsidR="00216F5E">
        <w:t>takeholders</w:t>
      </w:r>
      <w:r>
        <w:t xml:space="preserve"> from the </w:t>
      </w:r>
      <w:r w:rsidR="00B12E6A">
        <w:t>stoma product industry</w:t>
      </w:r>
      <w:r w:rsidR="00216F5E">
        <w:t xml:space="preserve"> expressed support for indexation given the extraordinary levels of inflation seen in Australia post-COVID-19.</w:t>
      </w:r>
      <w:r w:rsidR="00216F5E" w:rsidRPr="00A633C4">
        <w:rPr>
          <w:rStyle w:val="FootnoteReference"/>
          <w:b w:val="0"/>
          <w:bCs/>
          <w:color w:val="auto"/>
        </w:rPr>
        <w:footnoteReference w:id="46"/>
      </w:r>
      <w:r w:rsidR="00216F5E" w:rsidRPr="00DD57A0">
        <w:t xml:space="preserve"> </w:t>
      </w:r>
      <w:r w:rsidR="00216F5E">
        <w:t xml:space="preserve">A number of indices were considered, such as the Australian Institute of Health and Welfare Total Health Price Index or a Weighted Price Index, however due to the nature of stoma appliances and accessories, and the availability of more recent data, the </w:t>
      </w:r>
      <w:r w:rsidR="005B0A2B">
        <w:t>Consumer Price Index (</w:t>
      </w:r>
      <w:r w:rsidR="00216F5E">
        <w:t>C</w:t>
      </w:r>
      <w:r w:rsidR="00CF6B83">
        <w:t>PI</w:t>
      </w:r>
      <w:r w:rsidR="005B0A2B">
        <w:t>)</w:t>
      </w:r>
      <w:r w:rsidR="00216F5E">
        <w:t xml:space="preserve"> was used. CPI is a widely used indicator of inflation which encapsulates the changes in price of goods and services commonly purchased by households. CPI values from the </w:t>
      </w:r>
      <w:r w:rsidR="00216F5E" w:rsidRPr="007014CE">
        <w:t>Australian Bureau of Statistics (ABS)</w:t>
      </w:r>
      <w:r w:rsidR="00216F5E">
        <w:t xml:space="preserve"> was applied to each product’s unit price to estimate expenditure if indexation occurs</w:t>
      </w:r>
      <w:r w:rsidR="00216F5E" w:rsidRPr="00A633C4">
        <w:rPr>
          <w:b/>
          <w:bCs/>
        </w:rPr>
        <w:t>.</w:t>
      </w:r>
      <w:r w:rsidR="00216F5E" w:rsidRPr="00A633C4">
        <w:rPr>
          <w:rStyle w:val="FootnoteReference"/>
          <w:b w:val="0"/>
          <w:bCs/>
          <w:color w:val="auto"/>
        </w:rPr>
        <w:footnoteReference w:id="47"/>
      </w:r>
    </w:p>
    <w:p w14:paraId="10D6D4EE" w14:textId="63181890" w:rsidR="005B0A2B" w:rsidRPr="005B0A2B" w:rsidRDefault="005B0A2B" w:rsidP="00216F5E">
      <w:pPr>
        <w:pStyle w:val="BodyText"/>
      </w:pPr>
      <w:r>
        <w:t xml:space="preserve">The </w:t>
      </w:r>
      <w:r w:rsidR="00812F22">
        <w:t>This Scenario looks at the ex</w:t>
      </w:r>
      <w:r w:rsidR="005F7A51">
        <w:t>pected expenditure</w:t>
      </w:r>
      <w:r w:rsidR="008B342D">
        <w:t xml:space="preserve"> should indexation been applied at </w:t>
      </w:r>
      <w:r w:rsidR="008D27F4">
        <w:t xml:space="preserve">any point </w:t>
      </w:r>
      <w:r w:rsidR="005F7A51">
        <w:t xml:space="preserve">in </w:t>
      </w:r>
      <w:r w:rsidR="008D27F4">
        <w:t xml:space="preserve">the </w:t>
      </w:r>
      <w:r w:rsidR="005F7A51">
        <w:t xml:space="preserve">next </w:t>
      </w:r>
      <w:r w:rsidR="008D27F4">
        <w:t>three financial years</w:t>
      </w:r>
      <w:r w:rsidR="005F7A51">
        <w:t xml:space="preserve"> as a one-off</w:t>
      </w:r>
      <w:r w:rsidR="008D27F4">
        <w:t xml:space="preserve">. </w:t>
      </w:r>
      <w:r w:rsidR="00C26DED">
        <w:t xml:space="preserve">The Scenario </w:t>
      </w:r>
      <w:r w:rsidR="000B5491">
        <w:t xml:space="preserve">does not compound </w:t>
      </w:r>
      <w:r w:rsidR="00B8715B">
        <w:t xml:space="preserve">the indexed </w:t>
      </w:r>
      <w:r w:rsidR="000B5491">
        <w:t>prices</w:t>
      </w:r>
      <w:r w:rsidR="00B61B61">
        <w:t xml:space="preserve"> </w:t>
      </w:r>
      <w:r w:rsidR="0045535C">
        <w:t>and uses</w:t>
      </w:r>
      <w:r w:rsidR="005F7A51">
        <w:t xml:space="preserve"> the five-year average of CPI taken </w:t>
      </w:r>
      <w:proofErr w:type="gramStart"/>
      <w:r w:rsidR="005F7A51">
        <w:t>at</w:t>
      </w:r>
      <w:proofErr w:type="gramEnd"/>
      <w:r w:rsidR="005F7A51">
        <w:t xml:space="preserve"> June</w:t>
      </w:r>
      <w:r w:rsidR="00CB1311">
        <w:t>.</w:t>
      </w:r>
      <w:r w:rsidR="009A6413">
        <w:t xml:space="preserve"> </w:t>
      </w:r>
    </w:p>
    <w:p w14:paraId="3C0361B8" w14:textId="77777777" w:rsidR="00FE1418" w:rsidRDefault="00216F5E" w:rsidP="00C21266">
      <w:pPr>
        <w:pStyle w:val="BodyText"/>
      </w:pPr>
      <w:r w:rsidRPr="00D919D5">
        <w:t xml:space="preserve">It was found that </w:t>
      </w:r>
      <w:r w:rsidR="00CB1311">
        <w:t xml:space="preserve">one-off </w:t>
      </w:r>
      <w:r>
        <w:t>indexation</w:t>
      </w:r>
      <w:r w:rsidRPr="00D919D5">
        <w:t xml:space="preserve"> </w:t>
      </w:r>
      <w:r>
        <w:t xml:space="preserve">would </w:t>
      </w:r>
      <w:r w:rsidRPr="00D919D5">
        <w:t>result</w:t>
      </w:r>
      <w:r>
        <w:t xml:space="preserve"> </w:t>
      </w:r>
      <w:r w:rsidRPr="00D919D5">
        <w:t xml:space="preserve">in </w:t>
      </w:r>
      <w:r>
        <w:t xml:space="preserve">an additional cost of </w:t>
      </w:r>
      <w:r w:rsidR="003228FE" w:rsidRPr="003228FE">
        <w:t>$4,361,663</w:t>
      </w:r>
      <w:r w:rsidRPr="00BC74D1">
        <w:t>in FY2</w:t>
      </w:r>
      <w:r w:rsidR="003228FE">
        <w:t>5</w:t>
      </w:r>
      <w:r w:rsidRPr="00BC74D1">
        <w:t>-2</w:t>
      </w:r>
      <w:r w:rsidR="003228FE">
        <w:t>6</w:t>
      </w:r>
      <w:r w:rsidRPr="00BC74D1">
        <w:t xml:space="preserve"> (a </w:t>
      </w:r>
      <w:r w:rsidR="003228FE">
        <w:t>3</w:t>
      </w:r>
      <w:r w:rsidRPr="00BC74D1">
        <w:t>.</w:t>
      </w:r>
      <w:r w:rsidR="003228FE">
        <w:t>4</w:t>
      </w:r>
      <w:r w:rsidRPr="00BC74D1">
        <w:t>% increase in expenditure for the Scheme</w:t>
      </w:r>
      <w:r w:rsidRPr="00C316C3">
        <w:t>)</w:t>
      </w:r>
      <w:r w:rsidRPr="00D919D5">
        <w:t xml:space="preserve">. </w:t>
      </w:r>
      <w:r>
        <w:t xml:space="preserve">Notably, </w:t>
      </w:r>
      <w:r w:rsidR="003228FE">
        <w:t>when tying prices to an index such as CPI there may be fluctuat</w:t>
      </w:r>
      <w:r w:rsidR="0084250D">
        <w:t xml:space="preserve">ions above or below the average </w:t>
      </w:r>
      <w:r w:rsidR="00AA410A">
        <w:t>used here</w:t>
      </w:r>
      <w:r w:rsidR="003228FE">
        <w:t xml:space="preserve">. For </w:t>
      </w:r>
      <w:r w:rsidR="0045535C">
        <w:t>example,</w:t>
      </w:r>
      <w:r w:rsidR="003228FE">
        <w:t xml:space="preserve"> </w:t>
      </w:r>
      <w:r>
        <w:t xml:space="preserve">the 6.1% CPI </w:t>
      </w:r>
      <w:r w:rsidR="003228FE">
        <w:t>seen in June 2023</w:t>
      </w:r>
      <w:r>
        <w:t xml:space="preserve"> </w:t>
      </w:r>
      <w:r w:rsidR="003228FE">
        <w:t xml:space="preserve">was much </w:t>
      </w:r>
      <w:r>
        <w:t>higher than the 5-year index average (3.4%).</w:t>
      </w:r>
      <w:r>
        <w:rPr>
          <w:szCs w:val="20"/>
        </w:rPr>
        <w:fldChar w:fldCharType="begin"/>
      </w:r>
      <w:r>
        <w:instrText xml:space="preserve"> REF _Ref157432980 \h </w:instrText>
      </w:r>
      <w:r>
        <w:rPr>
          <w:szCs w:val="20"/>
        </w:rPr>
      </w:r>
      <w:r>
        <w:rPr>
          <w:szCs w:val="20"/>
        </w:rPr>
        <w:fldChar w:fldCharType="separate"/>
      </w:r>
    </w:p>
    <w:p w14:paraId="68C894B3" w14:textId="77777777" w:rsidR="00FE1418" w:rsidRDefault="00FE1418" w:rsidP="00C21266">
      <w:pPr>
        <w:pStyle w:val="BodyText"/>
      </w:pPr>
    </w:p>
    <w:p w14:paraId="71FD9474" w14:textId="77777777" w:rsidR="00FE1418" w:rsidRDefault="00FE1418" w:rsidP="00C21266">
      <w:pPr>
        <w:pStyle w:val="BodyText"/>
      </w:pPr>
    </w:p>
    <w:p w14:paraId="283528E4" w14:textId="77777777" w:rsidR="00FE1418" w:rsidRDefault="00FE1418" w:rsidP="00C21266">
      <w:pPr>
        <w:pStyle w:val="BodyText"/>
      </w:pPr>
    </w:p>
    <w:p w14:paraId="1A6E8B52" w14:textId="77777777" w:rsidR="00FE1418" w:rsidRDefault="00FE1418" w:rsidP="00C21266">
      <w:pPr>
        <w:pStyle w:val="BodyText"/>
        <w:rPr>
          <w:rFonts w:asciiTheme="majorHAnsi" w:hAnsiTheme="majorHAnsi"/>
          <w:iCs/>
          <w:color w:val="3B0083" w:themeColor="accent1"/>
          <w:sz w:val="18"/>
        </w:rPr>
      </w:pPr>
    </w:p>
    <w:p w14:paraId="21FF3F15" w14:textId="3E1CCC1B" w:rsidR="007D7F75" w:rsidRDefault="00FE1418" w:rsidP="00C21266">
      <w:pPr>
        <w:pStyle w:val="BodyText"/>
      </w:pPr>
      <w:r>
        <w:t xml:space="preserve">Figure </w:t>
      </w:r>
      <w:r>
        <w:rPr>
          <w:noProof/>
        </w:rPr>
        <w:t>29</w:t>
      </w:r>
      <w:r w:rsidR="00216F5E">
        <w:fldChar w:fldCharType="end"/>
      </w:r>
      <w:r w:rsidR="00216F5E">
        <w:t xml:space="preserve"> </w:t>
      </w:r>
      <w:r w:rsidR="00216F5E" w:rsidRPr="00D919D5">
        <w:t xml:space="preserve">provides the </w:t>
      </w:r>
      <w:r w:rsidR="005C74B5">
        <w:t>next</w:t>
      </w:r>
      <w:r w:rsidR="005C74B5" w:rsidRPr="00D919D5">
        <w:t xml:space="preserve"> </w:t>
      </w:r>
      <w:r w:rsidR="00216F5E" w:rsidRPr="00D919D5">
        <w:t>three years of</w:t>
      </w:r>
      <w:r w:rsidR="005C74B5">
        <w:t xml:space="preserve"> predicted</w:t>
      </w:r>
      <w:r w:rsidR="00216F5E" w:rsidRPr="00D919D5">
        <w:t xml:space="preserve"> expenditure related to this scenario</w:t>
      </w:r>
      <w:r w:rsidR="00216F5E">
        <w:t>.</w:t>
      </w:r>
      <w:bookmarkStart w:id="151" w:name="_Ref157432980"/>
    </w:p>
    <w:p w14:paraId="11ECFDBA" w14:textId="77777777" w:rsidR="009757FB" w:rsidRDefault="009757FB" w:rsidP="00C21266">
      <w:pPr>
        <w:pStyle w:val="BodyText"/>
      </w:pPr>
    </w:p>
    <w:p w14:paraId="07C329E5" w14:textId="77777777" w:rsidR="009757FB" w:rsidRDefault="009757FB" w:rsidP="00C21266">
      <w:pPr>
        <w:pStyle w:val="BodyText"/>
      </w:pPr>
    </w:p>
    <w:p w14:paraId="44188537" w14:textId="77777777" w:rsidR="009757FB" w:rsidRDefault="009757FB" w:rsidP="00C21266">
      <w:pPr>
        <w:pStyle w:val="BodyText"/>
      </w:pPr>
    </w:p>
    <w:p w14:paraId="69EB9854" w14:textId="77777777" w:rsidR="009757FB" w:rsidRDefault="009757FB" w:rsidP="00C21266">
      <w:pPr>
        <w:pStyle w:val="BodyText"/>
        <w:rPr>
          <w:rFonts w:asciiTheme="majorHAnsi" w:hAnsiTheme="majorHAnsi"/>
          <w:iCs/>
          <w:color w:val="3B0083" w:themeColor="accent1"/>
          <w:sz w:val="18"/>
        </w:rPr>
      </w:pPr>
    </w:p>
    <w:p w14:paraId="0B97769F" w14:textId="4FB05591" w:rsidR="00216F5E" w:rsidRPr="00E31009" w:rsidRDefault="00216F5E" w:rsidP="00216F5E">
      <w:pPr>
        <w:pStyle w:val="Caption"/>
      </w:pPr>
      <w:bookmarkStart w:id="152" w:name="_Toc161743153"/>
      <w:r>
        <w:t xml:space="preserve">Figure </w:t>
      </w:r>
      <w:r>
        <w:fldChar w:fldCharType="begin"/>
      </w:r>
      <w:r>
        <w:instrText xml:space="preserve"> SEQ Figure \* ARABIC </w:instrText>
      </w:r>
      <w:r>
        <w:fldChar w:fldCharType="separate"/>
      </w:r>
      <w:r w:rsidR="00FE1418">
        <w:rPr>
          <w:noProof/>
        </w:rPr>
        <w:t>29</w:t>
      </w:r>
      <w:r>
        <w:rPr>
          <w:noProof/>
        </w:rPr>
        <w:fldChar w:fldCharType="end"/>
      </w:r>
      <w:bookmarkEnd w:id="151"/>
      <w:r>
        <w:t xml:space="preserve">: Expenditure </w:t>
      </w:r>
      <w:r w:rsidRPr="00F76EB4">
        <w:t xml:space="preserve">related to </w:t>
      </w:r>
      <w:r>
        <w:t>backdating indexation</w:t>
      </w:r>
      <w:r w:rsidRPr="00F76EB4">
        <w:t xml:space="preserve"> on </w:t>
      </w:r>
      <w:r>
        <w:t>unit prices on the</w:t>
      </w:r>
      <w:r w:rsidRPr="00F76EB4">
        <w:t xml:space="preserve"> </w:t>
      </w:r>
      <w:proofErr w:type="gramStart"/>
      <w:r w:rsidRPr="00F76EB4">
        <w:t>Scheme</w:t>
      </w:r>
      <w:bookmarkEnd w:id="152"/>
      <w:proofErr w:type="gramEnd"/>
    </w:p>
    <w:tbl>
      <w:tblPr>
        <w:tblStyle w:val="TableHealthConsultPurple"/>
        <w:tblpPr w:leftFromText="180" w:rightFromText="180" w:vertAnchor="text" w:horzAnchor="margin" w:tblpXSpec="right" w:tblpY="79"/>
        <w:tblW w:w="2432" w:type="pct"/>
        <w:tblLayout w:type="fixed"/>
        <w:tblLook w:val="04A0" w:firstRow="1" w:lastRow="0" w:firstColumn="1" w:lastColumn="0" w:noHBand="0" w:noVBand="1"/>
      </w:tblPr>
      <w:tblGrid>
        <w:gridCol w:w="994"/>
        <w:gridCol w:w="3329"/>
        <w:gridCol w:w="2764"/>
      </w:tblGrid>
      <w:tr w:rsidR="001D7F77" w:rsidRPr="00A51D87" w14:paraId="6357AD81" w14:textId="77777777" w:rsidTr="00EB7DB4">
        <w:trPr>
          <w:cnfStyle w:val="100000000000" w:firstRow="1" w:lastRow="0" w:firstColumn="0" w:lastColumn="0" w:oddVBand="0" w:evenVBand="0" w:oddHBand="0" w:evenHBand="0" w:firstRowFirstColumn="0" w:firstRowLastColumn="0" w:lastRowFirstColumn="0" w:lastRowLastColumn="0"/>
          <w:trHeight w:val="597"/>
        </w:trPr>
        <w:tc>
          <w:tcPr>
            <w:cnfStyle w:val="001000000100" w:firstRow="0" w:lastRow="0" w:firstColumn="1" w:lastColumn="0" w:oddVBand="0" w:evenVBand="0" w:oddHBand="0" w:evenHBand="0" w:firstRowFirstColumn="1" w:firstRowLastColumn="0" w:lastRowFirstColumn="0" w:lastRowLastColumn="0"/>
            <w:tcW w:w="3050" w:type="pct"/>
            <w:gridSpan w:val="2"/>
            <w:noWrap/>
            <w:hideMark/>
          </w:tcPr>
          <w:p w14:paraId="4CAE6CF4" w14:textId="77777777" w:rsidR="00216F5E" w:rsidRPr="00A51D87" w:rsidRDefault="00216F5E" w:rsidP="005C7AC1">
            <w:pPr>
              <w:pStyle w:val="BodyText"/>
              <w:jc w:val="center"/>
              <w:rPr>
                <w:sz w:val="16"/>
                <w:szCs w:val="20"/>
                <w:lang w:eastAsia="en-AU"/>
              </w:rPr>
            </w:pPr>
            <w:r w:rsidRPr="00A51D87">
              <w:rPr>
                <w:sz w:val="16"/>
                <w:szCs w:val="20"/>
                <w:lang w:eastAsia="en-AU"/>
              </w:rPr>
              <w:t>Scenario</w:t>
            </w:r>
            <w:r>
              <w:rPr>
                <w:sz w:val="16"/>
                <w:szCs w:val="20"/>
                <w:lang w:eastAsia="en-AU"/>
              </w:rPr>
              <w:t>:</w:t>
            </w:r>
          </w:p>
        </w:tc>
        <w:tc>
          <w:tcPr>
            <w:tcW w:w="1950" w:type="pct"/>
            <w:noWrap/>
            <w:hideMark/>
          </w:tcPr>
          <w:p w14:paraId="5A96B983" w14:textId="77777777" w:rsidR="00216F5E" w:rsidRPr="00A51D87" w:rsidRDefault="00216F5E" w:rsidP="005C7AC1">
            <w:pPr>
              <w:pStyle w:val="BodyText"/>
              <w:cnfStyle w:val="100000000000" w:firstRow="1" w:lastRow="0" w:firstColumn="0" w:lastColumn="0" w:oddVBand="0" w:evenVBand="0" w:oddHBand="0" w:evenHBand="0" w:firstRowFirstColumn="0" w:firstRowLastColumn="0" w:lastRowFirstColumn="0" w:lastRowLastColumn="0"/>
              <w:rPr>
                <w:bCs/>
                <w:sz w:val="16"/>
                <w:szCs w:val="20"/>
                <w:lang w:eastAsia="en-AU"/>
              </w:rPr>
            </w:pPr>
            <w:r w:rsidRPr="00A51D87">
              <w:rPr>
                <w:bCs/>
                <w:sz w:val="16"/>
                <w:szCs w:val="20"/>
                <w:lang w:eastAsia="en-AU"/>
              </w:rPr>
              <w:t>CPI indexation: backdated</w:t>
            </w:r>
          </w:p>
        </w:tc>
      </w:tr>
      <w:tr w:rsidR="007120AF" w:rsidRPr="00A51D87" w14:paraId="1526CB1D" w14:textId="77777777" w:rsidTr="00EB7DB4">
        <w:trPr>
          <w:trHeight w:val="478"/>
        </w:trPr>
        <w:tc>
          <w:tcPr>
            <w:cnfStyle w:val="001000000000" w:firstRow="0" w:lastRow="0" w:firstColumn="1" w:lastColumn="0" w:oddVBand="0" w:evenVBand="0" w:oddHBand="0" w:evenHBand="0" w:firstRowFirstColumn="0" w:firstRowLastColumn="0" w:lastRowFirstColumn="0" w:lastRowLastColumn="0"/>
            <w:tcW w:w="701" w:type="pct"/>
            <w:vMerge w:val="restart"/>
            <w:hideMark/>
          </w:tcPr>
          <w:p w14:paraId="35A822AD" w14:textId="21FC08E8" w:rsidR="007120AF" w:rsidRPr="00A51D87" w:rsidRDefault="007120AF" w:rsidP="007120AF">
            <w:pPr>
              <w:pStyle w:val="BodyText"/>
              <w:rPr>
                <w:b w:val="0"/>
                <w:bCs/>
                <w:sz w:val="16"/>
                <w:szCs w:val="20"/>
                <w:lang w:eastAsia="en-AU"/>
              </w:rPr>
            </w:pPr>
            <w:r w:rsidRPr="00377AB5">
              <w:rPr>
                <w:bCs/>
                <w:sz w:val="16"/>
                <w:szCs w:val="20"/>
                <w:lang w:eastAsia="en-AU"/>
              </w:rPr>
              <w:t>2023-24</w:t>
            </w:r>
          </w:p>
        </w:tc>
        <w:tc>
          <w:tcPr>
            <w:tcW w:w="2349" w:type="pct"/>
            <w:hideMark/>
          </w:tcPr>
          <w:p w14:paraId="0E472782" w14:textId="663A200F" w:rsidR="007120AF" w:rsidRPr="00E31009" w:rsidRDefault="007120AF" w:rsidP="007120AF">
            <w:pPr>
              <w:pStyle w:val="BodyText"/>
              <w:cnfStyle w:val="000000000000" w:firstRow="0" w:lastRow="0" w:firstColumn="0" w:lastColumn="0" w:oddVBand="0" w:evenVBand="0" w:oddHBand="0" w:evenHBand="0" w:firstRowFirstColumn="0" w:firstRowLastColumn="0" w:lastRowFirstColumn="0" w:lastRowLastColumn="0"/>
              <w:rPr>
                <w:b/>
                <w:bCs/>
                <w:sz w:val="16"/>
                <w:szCs w:val="20"/>
                <w:lang w:eastAsia="en-AU"/>
              </w:rPr>
            </w:pPr>
            <w:r w:rsidRPr="007857CA">
              <w:rPr>
                <w:b/>
                <w:bCs/>
                <w:sz w:val="16"/>
                <w:szCs w:val="20"/>
                <w:lang w:eastAsia="en-AU"/>
              </w:rPr>
              <w:t>Change in expenditure from predicted</w:t>
            </w:r>
          </w:p>
        </w:tc>
        <w:tc>
          <w:tcPr>
            <w:tcW w:w="1950" w:type="pct"/>
            <w:noWrap/>
            <w:vAlign w:val="center"/>
            <w:hideMark/>
          </w:tcPr>
          <w:p w14:paraId="5AC365D7" w14:textId="32BB43FA" w:rsidR="007120AF" w:rsidRPr="007120AF" w:rsidRDefault="007120AF" w:rsidP="007120AF">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EB7DB4">
              <w:rPr>
                <w:rFonts w:ascii="Poppins" w:hAnsi="Poppins" w:cs="Poppins"/>
                <w:b/>
                <w:bCs/>
                <w:color w:val="000000"/>
                <w:sz w:val="16"/>
                <w:szCs w:val="16"/>
              </w:rPr>
              <w:t xml:space="preserve">$3,971,406 </w:t>
            </w:r>
          </w:p>
        </w:tc>
      </w:tr>
      <w:tr w:rsidR="007120AF" w:rsidRPr="00A51D87" w14:paraId="5724877D" w14:textId="77777777" w:rsidTr="00EB7DB4">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701" w:type="pct"/>
            <w:vMerge/>
            <w:hideMark/>
          </w:tcPr>
          <w:p w14:paraId="0C4AE17E" w14:textId="77777777" w:rsidR="007120AF" w:rsidRPr="00A51D87" w:rsidRDefault="007120AF" w:rsidP="007120AF">
            <w:pPr>
              <w:pStyle w:val="BodyText"/>
              <w:rPr>
                <w:bCs/>
                <w:sz w:val="16"/>
                <w:szCs w:val="20"/>
                <w:lang w:eastAsia="en-AU"/>
              </w:rPr>
            </w:pPr>
          </w:p>
        </w:tc>
        <w:tc>
          <w:tcPr>
            <w:tcW w:w="2349" w:type="pct"/>
            <w:hideMark/>
          </w:tcPr>
          <w:p w14:paraId="2FB95CF7" w14:textId="343BEDF6" w:rsidR="007120AF" w:rsidRPr="00A51D87" w:rsidRDefault="007120AF" w:rsidP="007120AF">
            <w:pPr>
              <w:pStyle w:val="BodyText"/>
              <w:cnfStyle w:val="000000010000" w:firstRow="0" w:lastRow="0" w:firstColumn="0" w:lastColumn="0" w:oddVBand="0" w:evenVBand="0" w:oddHBand="0" w:evenHBand="1" w:firstRowFirstColumn="0" w:firstRowLastColumn="0" w:lastRowFirstColumn="0" w:lastRowLastColumn="0"/>
              <w:rPr>
                <w:bCs/>
                <w:sz w:val="16"/>
                <w:szCs w:val="20"/>
                <w:lang w:eastAsia="en-AU"/>
              </w:rPr>
            </w:pPr>
            <w:r w:rsidRPr="00377AB5">
              <w:rPr>
                <w:bCs/>
                <w:sz w:val="16"/>
                <w:szCs w:val="20"/>
                <w:lang w:eastAsia="en-AU"/>
              </w:rPr>
              <w:t xml:space="preserve">Percentage change </w:t>
            </w:r>
          </w:p>
        </w:tc>
        <w:tc>
          <w:tcPr>
            <w:tcW w:w="1950" w:type="pct"/>
            <w:noWrap/>
            <w:vAlign w:val="center"/>
            <w:hideMark/>
          </w:tcPr>
          <w:p w14:paraId="7530406D" w14:textId="552B9A65" w:rsidR="007120AF" w:rsidRPr="007120AF" w:rsidRDefault="007120AF" w:rsidP="007120AF">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Pr>
                <w:rFonts w:ascii="Poppins" w:hAnsi="Poppins" w:cs="Poppins"/>
                <w:color w:val="000000"/>
                <w:sz w:val="16"/>
                <w:szCs w:val="16"/>
              </w:rPr>
              <w:t>+</w:t>
            </w:r>
            <w:r w:rsidRPr="00EB7DB4">
              <w:rPr>
                <w:rFonts w:ascii="Poppins" w:hAnsi="Poppins" w:cs="Poppins"/>
                <w:color w:val="000000"/>
                <w:sz w:val="16"/>
                <w:szCs w:val="16"/>
              </w:rPr>
              <w:t>3.44%</w:t>
            </w:r>
          </w:p>
        </w:tc>
      </w:tr>
      <w:tr w:rsidR="007120AF" w:rsidRPr="00A51D87" w14:paraId="63976695" w14:textId="77777777" w:rsidTr="00EB7DB4">
        <w:trPr>
          <w:trHeight w:val="672"/>
        </w:trPr>
        <w:tc>
          <w:tcPr>
            <w:cnfStyle w:val="001000000000" w:firstRow="0" w:lastRow="0" w:firstColumn="1" w:lastColumn="0" w:oddVBand="0" w:evenVBand="0" w:oddHBand="0" w:evenHBand="0" w:firstRowFirstColumn="0" w:firstRowLastColumn="0" w:lastRowFirstColumn="0" w:lastRowLastColumn="0"/>
            <w:tcW w:w="701" w:type="pct"/>
            <w:vMerge w:val="restart"/>
            <w:hideMark/>
          </w:tcPr>
          <w:p w14:paraId="2F6EA3D9" w14:textId="0867B314" w:rsidR="007120AF" w:rsidRPr="00A51D87" w:rsidRDefault="007120AF" w:rsidP="007120AF">
            <w:pPr>
              <w:pStyle w:val="BodyText"/>
              <w:rPr>
                <w:b w:val="0"/>
                <w:bCs/>
                <w:sz w:val="16"/>
                <w:szCs w:val="20"/>
                <w:lang w:eastAsia="en-AU"/>
              </w:rPr>
            </w:pPr>
            <w:r w:rsidRPr="00377AB5">
              <w:rPr>
                <w:bCs/>
                <w:sz w:val="16"/>
                <w:szCs w:val="20"/>
                <w:lang w:eastAsia="en-AU"/>
              </w:rPr>
              <w:t>2024-25</w:t>
            </w:r>
          </w:p>
        </w:tc>
        <w:tc>
          <w:tcPr>
            <w:tcW w:w="2349" w:type="pct"/>
            <w:hideMark/>
          </w:tcPr>
          <w:p w14:paraId="429082B7" w14:textId="0551B981" w:rsidR="007120AF" w:rsidRPr="00E31009" w:rsidRDefault="007120AF" w:rsidP="007120AF">
            <w:pPr>
              <w:pStyle w:val="BodyText"/>
              <w:cnfStyle w:val="000000000000" w:firstRow="0" w:lastRow="0" w:firstColumn="0" w:lastColumn="0" w:oddVBand="0" w:evenVBand="0" w:oddHBand="0" w:evenHBand="0" w:firstRowFirstColumn="0" w:firstRowLastColumn="0" w:lastRowFirstColumn="0" w:lastRowLastColumn="0"/>
              <w:rPr>
                <w:b/>
                <w:bCs/>
                <w:sz w:val="16"/>
                <w:szCs w:val="20"/>
                <w:lang w:eastAsia="en-AU"/>
              </w:rPr>
            </w:pPr>
            <w:r w:rsidRPr="007857CA">
              <w:rPr>
                <w:b/>
                <w:bCs/>
                <w:sz w:val="16"/>
                <w:szCs w:val="20"/>
                <w:lang w:eastAsia="en-AU"/>
              </w:rPr>
              <w:t>Change in expenditure</w:t>
            </w:r>
            <w:r w:rsidRPr="007857CA">
              <w:rPr>
                <w:b/>
                <w:bCs/>
                <w:sz w:val="16"/>
                <w:szCs w:val="20"/>
              </w:rPr>
              <w:t xml:space="preserve"> </w:t>
            </w:r>
            <w:r w:rsidRPr="007857CA">
              <w:rPr>
                <w:b/>
                <w:bCs/>
                <w:sz w:val="16"/>
                <w:szCs w:val="20"/>
                <w:lang w:eastAsia="en-AU"/>
              </w:rPr>
              <w:t>from predicted</w:t>
            </w:r>
          </w:p>
        </w:tc>
        <w:tc>
          <w:tcPr>
            <w:tcW w:w="1950" w:type="pct"/>
            <w:noWrap/>
            <w:vAlign w:val="center"/>
            <w:hideMark/>
          </w:tcPr>
          <w:p w14:paraId="3CF379E0" w14:textId="04CF06F6" w:rsidR="007120AF" w:rsidRPr="007120AF" w:rsidRDefault="007120AF" w:rsidP="007120AF">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EB7DB4">
              <w:rPr>
                <w:rFonts w:ascii="Poppins" w:hAnsi="Poppins" w:cs="Poppins"/>
                <w:b/>
                <w:bCs/>
                <w:color w:val="000000"/>
                <w:sz w:val="16"/>
                <w:szCs w:val="16"/>
              </w:rPr>
              <w:t xml:space="preserve">$4,161,878 </w:t>
            </w:r>
          </w:p>
        </w:tc>
      </w:tr>
      <w:tr w:rsidR="007120AF" w:rsidRPr="00A51D87" w14:paraId="54677EF7" w14:textId="77777777" w:rsidTr="00EB7DB4">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701" w:type="pct"/>
            <w:vMerge/>
            <w:hideMark/>
          </w:tcPr>
          <w:p w14:paraId="424744A9" w14:textId="77777777" w:rsidR="007120AF" w:rsidRPr="00A51D87" w:rsidRDefault="007120AF" w:rsidP="007120AF">
            <w:pPr>
              <w:pStyle w:val="BodyText"/>
              <w:rPr>
                <w:bCs/>
                <w:sz w:val="16"/>
                <w:szCs w:val="20"/>
                <w:lang w:eastAsia="en-AU"/>
              </w:rPr>
            </w:pPr>
          </w:p>
        </w:tc>
        <w:tc>
          <w:tcPr>
            <w:tcW w:w="2349" w:type="pct"/>
            <w:hideMark/>
          </w:tcPr>
          <w:p w14:paraId="4321DBC4" w14:textId="2B464030" w:rsidR="007120AF" w:rsidRPr="00A51D87" w:rsidRDefault="007120AF" w:rsidP="007120AF">
            <w:pPr>
              <w:pStyle w:val="BodyText"/>
              <w:cnfStyle w:val="000000010000" w:firstRow="0" w:lastRow="0" w:firstColumn="0" w:lastColumn="0" w:oddVBand="0" w:evenVBand="0" w:oddHBand="0" w:evenHBand="1" w:firstRowFirstColumn="0" w:firstRowLastColumn="0" w:lastRowFirstColumn="0" w:lastRowLastColumn="0"/>
              <w:rPr>
                <w:bCs/>
                <w:sz w:val="16"/>
                <w:szCs w:val="20"/>
                <w:lang w:eastAsia="en-AU"/>
              </w:rPr>
            </w:pPr>
            <w:r w:rsidRPr="00377AB5">
              <w:rPr>
                <w:bCs/>
                <w:sz w:val="16"/>
                <w:szCs w:val="20"/>
                <w:lang w:eastAsia="en-AU"/>
              </w:rPr>
              <w:t xml:space="preserve">Percentage change </w:t>
            </w:r>
          </w:p>
        </w:tc>
        <w:tc>
          <w:tcPr>
            <w:tcW w:w="1950" w:type="pct"/>
            <w:noWrap/>
            <w:vAlign w:val="center"/>
            <w:hideMark/>
          </w:tcPr>
          <w:p w14:paraId="04F8B5EA" w14:textId="154ABEEC" w:rsidR="007120AF" w:rsidRPr="007120AF" w:rsidRDefault="007120AF" w:rsidP="007120AF">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Pr>
                <w:rFonts w:ascii="Poppins" w:hAnsi="Poppins" w:cs="Poppins"/>
                <w:color w:val="000000"/>
                <w:sz w:val="16"/>
                <w:szCs w:val="16"/>
              </w:rPr>
              <w:t>+</w:t>
            </w:r>
            <w:r w:rsidRPr="00EB7DB4">
              <w:rPr>
                <w:rFonts w:ascii="Poppins" w:hAnsi="Poppins" w:cs="Poppins"/>
                <w:color w:val="000000"/>
                <w:sz w:val="16"/>
                <w:szCs w:val="16"/>
              </w:rPr>
              <w:t>3.44%</w:t>
            </w:r>
          </w:p>
        </w:tc>
      </w:tr>
      <w:tr w:rsidR="007120AF" w:rsidRPr="00A51D87" w14:paraId="7C63FBD4" w14:textId="77777777" w:rsidTr="00EB7DB4">
        <w:trPr>
          <w:trHeight w:val="478"/>
        </w:trPr>
        <w:tc>
          <w:tcPr>
            <w:cnfStyle w:val="001000000000" w:firstRow="0" w:lastRow="0" w:firstColumn="1" w:lastColumn="0" w:oddVBand="0" w:evenVBand="0" w:oddHBand="0" w:evenHBand="0" w:firstRowFirstColumn="0" w:firstRowLastColumn="0" w:lastRowFirstColumn="0" w:lastRowLastColumn="0"/>
            <w:tcW w:w="701" w:type="pct"/>
            <w:vMerge w:val="restart"/>
            <w:hideMark/>
          </w:tcPr>
          <w:p w14:paraId="217EA2F9" w14:textId="6C40A671" w:rsidR="007120AF" w:rsidRPr="00A51D87" w:rsidRDefault="007120AF" w:rsidP="007120AF">
            <w:pPr>
              <w:pStyle w:val="BodyText"/>
              <w:rPr>
                <w:b w:val="0"/>
                <w:bCs/>
                <w:sz w:val="16"/>
                <w:szCs w:val="20"/>
                <w:lang w:eastAsia="en-AU"/>
              </w:rPr>
            </w:pPr>
            <w:r w:rsidRPr="00377AB5">
              <w:rPr>
                <w:bCs/>
                <w:sz w:val="16"/>
                <w:szCs w:val="20"/>
                <w:lang w:eastAsia="en-AU"/>
              </w:rPr>
              <w:t>2025-26</w:t>
            </w:r>
          </w:p>
        </w:tc>
        <w:tc>
          <w:tcPr>
            <w:tcW w:w="2349" w:type="pct"/>
            <w:hideMark/>
          </w:tcPr>
          <w:p w14:paraId="123EEAC0" w14:textId="02B34843" w:rsidR="007120AF" w:rsidRPr="00E31009" w:rsidRDefault="007120AF" w:rsidP="007120AF">
            <w:pPr>
              <w:pStyle w:val="BodyText"/>
              <w:cnfStyle w:val="000000000000" w:firstRow="0" w:lastRow="0" w:firstColumn="0" w:lastColumn="0" w:oddVBand="0" w:evenVBand="0" w:oddHBand="0" w:evenHBand="0" w:firstRowFirstColumn="0" w:firstRowLastColumn="0" w:lastRowFirstColumn="0" w:lastRowLastColumn="0"/>
              <w:rPr>
                <w:b/>
                <w:bCs/>
                <w:sz w:val="16"/>
                <w:szCs w:val="20"/>
                <w:lang w:eastAsia="en-AU"/>
              </w:rPr>
            </w:pPr>
            <w:r w:rsidRPr="007857CA">
              <w:rPr>
                <w:b/>
                <w:bCs/>
                <w:sz w:val="16"/>
                <w:szCs w:val="20"/>
                <w:lang w:eastAsia="en-AU"/>
              </w:rPr>
              <w:t>Change in expenditure</w:t>
            </w:r>
            <w:r w:rsidRPr="007857CA">
              <w:rPr>
                <w:b/>
                <w:bCs/>
                <w:sz w:val="16"/>
                <w:szCs w:val="20"/>
              </w:rPr>
              <w:t xml:space="preserve"> </w:t>
            </w:r>
            <w:r w:rsidRPr="007857CA">
              <w:rPr>
                <w:b/>
                <w:bCs/>
                <w:sz w:val="16"/>
                <w:szCs w:val="20"/>
                <w:lang w:eastAsia="en-AU"/>
              </w:rPr>
              <w:t>from predicted</w:t>
            </w:r>
          </w:p>
        </w:tc>
        <w:tc>
          <w:tcPr>
            <w:tcW w:w="1950" w:type="pct"/>
            <w:noWrap/>
            <w:vAlign w:val="center"/>
            <w:hideMark/>
          </w:tcPr>
          <w:p w14:paraId="12C07562" w14:textId="6F8B1602" w:rsidR="007120AF" w:rsidRPr="007120AF" w:rsidRDefault="007120AF" w:rsidP="007120AF">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EB7DB4">
              <w:rPr>
                <w:rFonts w:ascii="Poppins" w:hAnsi="Poppins" w:cs="Poppins"/>
                <w:b/>
                <w:bCs/>
                <w:color w:val="000000"/>
                <w:sz w:val="16"/>
                <w:szCs w:val="16"/>
              </w:rPr>
              <w:t xml:space="preserve">$4,361,663 </w:t>
            </w:r>
          </w:p>
        </w:tc>
      </w:tr>
      <w:tr w:rsidR="007120AF" w:rsidRPr="00A51D87" w14:paraId="6E96A8E3" w14:textId="77777777" w:rsidTr="00EB7DB4">
        <w:trPr>
          <w:cnfStyle w:val="000000010000" w:firstRow="0" w:lastRow="0" w:firstColumn="0" w:lastColumn="0" w:oddVBand="0" w:evenVBand="0" w:oddHBand="0" w:evenHBand="1"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701" w:type="pct"/>
            <w:vMerge/>
            <w:hideMark/>
          </w:tcPr>
          <w:p w14:paraId="22C0DBF1" w14:textId="77777777" w:rsidR="007120AF" w:rsidRPr="00A51D87" w:rsidRDefault="007120AF" w:rsidP="007120AF">
            <w:pPr>
              <w:pStyle w:val="BodyText"/>
              <w:rPr>
                <w:sz w:val="16"/>
                <w:szCs w:val="20"/>
                <w:lang w:eastAsia="en-AU"/>
              </w:rPr>
            </w:pPr>
          </w:p>
        </w:tc>
        <w:tc>
          <w:tcPr>
            <w:tcW w:w="2349" w:type="pct"/>
            <w:hideMark/>
          </w:tcPr>
          <w:p w14:paraId="5BC283FE" w14:textId="1230AF33" w:rsidR="007120AF" w:rsidRPr="00A51D87" w:rsidRDefault="007120AF" w:rsidP="007120AF">
            <w:pPr>
              <w:pStyle w:val="BodyText"/>
              <w:cnfStyle w:val="000000010000" w:firstRow="0" w:lastRow="0" w:firstColumn="0" w:lastColumn="0" w:oddVBand="0" w:evenVBand="0" w:oddHBand="0" w:evenHBand="1" w:firstRowFirstColumn="0" w:firstRowLastColumn="0" w:lastRowFirstColumn="0" w:lastRowLastColumn="0"/>
              <w:rPr>
                <w:sz w:val="16"/>
                <w:szCs w:val="20"/>
                <w:lang w:eastAsia="en-AU"/>
              </w:rPr>
            </w:pPr>
            <w:r w:rsidRPr="00377AB5">
              <w:rPr>
                <w:sz w:val="16"/>
                <w:szCs w:val="20"/>
                <w:lang w:eastAsia="en-AU"/>
              </w:rPr>
              <w:t>Percentage change</w:t>
            </w:r>
          </w:p>
        </w:tc>
        <w:tc>
          <w:tcPr>
            <w:tcW w:w="1950" w:type="pct"/>
            <w:noWrap/>
            <w:vAlign w:val="center"/>
            <w:hideMark/>
          </w:tcPr>
          <w:p w14:paraId="504E8023" w14:textId="45D8465C" w:rsidR="007120AF" w:rsidRPr="007120AF" w:rsidRDefault="007120AF" w:rsidP="007120AF">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Pr>
                <w:rFonts w:ascii="Poppins" w:hAnsi="Poppins" w:cs="Poppins"/>
                <w:color w:val="000000"/>
                <w:sz w:val="16"/>
                <w:szCs w:val="16"/>
              </w:rPr>
              <w:t>+</w:t>
            </w:r>
            <w:r w:rsidRPr="00EB7DB4">
              <w:rPr>
                <w:rFonts w:ascii="Poppins" w:hAnsi="Poppins" w:cs="Poppins"/>
                <w:color w:val="000000"/>
                <w:sz w:val="16"/>
                <w:szCs w:val="16"/>
              </w:rPr>
              <w:t>3.44%</w:t>
            </w:r>
          </w:p>
        </w:tc>
      </w:tr>
    </w:tbl>
    <w:p w14:paraId="24D9F511" w14:textId="53930D33" w:rsidR="00216F5E" w:rsidRPr="00E31009" w:rsidRDefault="00C750A9" w:rsidP="00216F5E">
      <w:pPr>
        <w:pStyle w:val="BodyText"/>
      </w:pPr>
      <w:r>
        <w:rPr>
          <w:noProof/>
        </w:rPr>
        <w:drawing>
          <wp:inline distT="0" distB="0" distL="0" distR="0" wp14:anchorId="22D62EAB" wp14:editId="48C6791E">
            <wp:extent cx="4383405" cy="2603500"/>
            <wp:effectExtent l="0" t="0" r="0" b="6350"/>
            <wp:docPr id="1186485453" name="Picture 2" descr="Figure 29: Expenditure related to backdating indexation on unit prices on the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85453" name="Picture 2" descr="Figure 29: Expenditure related to backdating indexation on unit prices on the Scheme "/>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383405" cy="2603500"/>
                    </a:xfrm>
                    <a:prstGeom prst="rect">
                      <a:avLst/>
                    </a:prstGeom>
                    <a:noFill/>
                  </pic:spPr>
                </pic:pic>
              </a:graphicData>
            </a:graphic>
          </wp:inline>
        </w:drawing>
      </w:r>
    </w:p>
    <w:p w14:paraId="71CB3D40" w14:textId="77777777" w:rsidR="007D7F75" w:rsidRDefault="007D7F75">
      <w:pPr>
        <w:spacing w:line="276" w:lineRule="auto"/>
        <w:rPr>
          <w:rFonts w:asciiTheme="majorHAnsi" w:eastAsiaTheme="majorEastAsia" w:hAnsiTheme="majorHAnsi" w:cstheme="majorBidi"/>
          <w:b/>
          <w:color w:val="C60C30" w:themeColor="accent2"/>
          <w:spacing w:val="4"/>
          <w:sz w:val="22"/>
          <w:szCs w:val="28"/>
        </w:rPr>
      </w:pPr>
      <w:r>
        <w:rPr>
          <w:rFonts w:asciiTheme="majorHAnsi" w:eastAsiaTheme="majorEastAsia" w:hAnsiTheme="majorHAnsi" w:cstheme="majorBidi"/>
          <w:b/>
          <w:color w:val="C60C30" w:themeColor="accent2"/>
          <w:spacing w:val="4"/>
          <w:sz w:val="22"/>
          <w:szCs w:val="28"/>
        </w:rPr>
        <w:br w:type="page"/>
      </w:r>
    </w:p>
    <w:p w14:paraId="589B5688" w14:textId="15267D0B" w:rsidR="00216F5E" w:rsidRDefault="00216F5E" w:rsidP="00216F5E">
      <w:pPr>
        <w:keepNext/>
        <w:keepLines/>
        <w:spacing w:before="300" w:after="200" w:line="240" w:lineRule="atLeast"/>
        <w:outlineLvl w:val="2"/>
        <w:rPr>
          <w:rFonts w:asciiTheme="majorHAnsi" w:eastAsiaTheme="majorEastAsia" w:hAnsiTheme="majorHAnsi" w:cstheme="majorBidi"/>
          <w:b/>
          <w:color w:val="C60C30" w:themeColor="accent2"/>
          <w:spacing w:val="4"/>
          <w:sz w:val="22"/>
          <w:szCs w:val="28"/>
        </w:rPr>
      </w:pPr>
      <w:r w:rsidRPr="00AF3BAD">
        <w:rPr>
          <w:rFonts w:asciiTheme="majorHAnsi" w:eastAsiaTheme="majorEastAsia" w:hAnsiTheme="majorHAnsi" w:cstheme="majorBidi"/>
          <w:b/>
          <w:color w:val="C60C30" w:themeColor="accent2"/>
          <w:spacing w:val="4"/>
          <w:sz w:val="22"/>
          <w:szCs w:val="28"/>
        </w:rPr>
        <w:lastRenderedPageBreak/>
        <w:t xml:space="preserve">Scenario </w:t>
      </w:r>
      <w:r>
        <w:rPr>
          <w:rFonts w:asciiTheme="majorHAnsi" w:eastAsiaTheme="majorEastAsia" w:hAnsiTheme="majorHAnsi" w:cstheme="majorBidi"/>
          <w:b/>
          <w:color w:val="C60C30" w:themeColor="accent2"/>
          <w:spacing w:val="4"/>
          <w:sz w:val="22"/>
          <w:szCs w:val="28"/>
        </w:rPr>
        <w:t>1</w:t>
      </w:r>
      <w:r w:rsidR="004A7112">
        <w:rPr>
          <w:rFonts w:asciiTheme="majorHAnsi" w:eastAsiaTheme="majorEastAsia" w:hAnsiTheme="majorHAnsi" w:cstheme="majorBidi"/>
          <w:b/>
          <w:color w:val="C60C30" w:themeColor="accent2"/>
          <w:spacing w:val="4"/>
          <w:sz w:val="22"/>
          <w:szCs w:val="28"/>
        </w:rPr>
        <w:t>3</w:t>
      </w:r>
      <w:r w:rsidRPr="00AF3BAD">
        <w:rPr>
          <w:rFonts w:asciiTheme="majorHAnsi" w:eastAsiaTheme="majorEastAsia" w:hAnsiTheme="majorHAnsi" w:cstheme="majorBidi"/>
          <w:b/>
          <w:color w:val="C60C30" w:themeColor="accent2"/>
          <w:spacing w:val="4"/>
          <w:sz w:val="22"/>
          <w:szCs w:val="28"/>
        </w:rPr>
        <w:t xml:space="preserve">: Introduction of </w:t>
      </w:r>
      <w:r>
        <w:rPr>
          <w:rFonts w:asciiTheme="majorHAnsi" w:eastAsiaTheme="majorEastAsia" w:hAnsiTheme="majorHAnsi" w:cstheme="majorBidi"/>
          <w:b/>
          <w:color w:val="C60C30" w:themeColor="accent2"/>
          <w:spacing w:val="4"/>
          <w:sz w:val="22"/>
          <w:szCs w:val="28"/>
        </w:rPr>
        <w:t xml:space="preserve">ongoing </w:t>
      </w:r>
      <w:r w:rsidRPr="00AF3BAD">
        <w:rPr>
          <w:rFonts w:asciiTheme="majorHAnsi" w:eastAsiaTheme="majorEastAsia" w:hAnsiTheme="majorHAnsi" w:cstheme="majorBidi"/>
          <w:b/>
          <w:color w:val="C60C30" w:themeColor="accent2"/>
          <w:spacing w:val="4"/>
          <w:sz w:val="22"/>
          <w:szCs w:val="28"/>
        </w:rPr>
        <w:t>annual indexation</w:t>
      </w:r>
    </w:p>
    <w:p w14:paraId="5A537293" w14:textId="48706D86" w:rsidR="00216F5E" w:rsidRDefault="00216F5E" w:rsidP="00216F5E">
      <w:pPr>
        <w:pStyle w:val="BodyText"/>
      </w:pPr>
      <w:r>
        <w:t xml:space="preserve">There was stakeholder support for ongoing annual indexation of prices on the Scheme, </w:t>
      </w:r>
      <w:proofErr w:type="gramStart"/>
      <w:r>
        <w:t>similar to</w:t>
      </w:r>
      <w:proofErr w:type="gramEnd"/>
      <w:r>
        <w:t xml:space="preserve"> international comparators. The average of the ABS CPI index from June over the past 5-years was applied to each product’s unit price and then multiplied by a forecast quantity for each product to estimate expenditure </w:t>
      </w:r>
      <w:r w:rsidR="000D7870">
        <w:t xml:space="preserve">with </w:t>
      </w:r>
      <w:r>
        <w:t>indexation in future.</w:t>
      </w:r>
      <w:r w:rsidRPr="00A633C4">
        <w:rPr>
          <w:rStyle w:val="FootnoteReference"/>
          <w:b w:val="0"/>
          <w:bCs/>
          <w:color w:val="auto"/>
        </w:rPr>
        <w:footnoteReference w:id="48"/>
      </w:r>
      <w:r w:rsidR="00954077">
        <w:t xml:space="preserve"> Please note that prices are compounding in this Scenario.</w:t>
      </w:r>
    </w:p>
    <w:p w14:paraId="4E5F6311" w14:textId="5AC410C0" w:rsidR="00216F5E" w:rsidRDefault="00216F5E" w:rsidP="00216F5E">
      <w:pPr>
        <w:pStyle w:val="BodyText"/>
      </w:pPr>
      <w:r w:rsidRPr="00D919D5">
        <w:t xml:space="preserve">It was found that </w:t>
      </w:r>
      <w:r>
        <w:t>ongoing indexation</w:t>
      </w:r>
      <w:r w:rsidRPr="00D919D5">
        <w:t xml:space="preserve"> </w:t>
      </w:r>
      <w:r>
        <w:t xml:space="preserve">is predicted to result in an additional cost of </w:t>
      </w:r>
      <w:r w:rsidRPr="0016467D">
        <w:rPr>
          <w:b/>
          <w:bCs/>
        </w:rPr>
        <w:t>$13,540,275 by FY25-26 (a 10.68% increase in predicted expenditure without ongoing indexation</w:t>
      </w:r>
      <w:r>
        <w:t xml:space="preserve">). </w:t>
      </w:r>
      <w:r>
        <w:fldChar w:fldCharType="begin"/>
      </w:r>
      <w:r>
        <w:instrText xml:space="preserve"> REF _Ref157414817 \h </w:instrText>
      </w:r>
      <w:r>
        <w:fldChar w:fldCharType="separate"/>
      </w:r>
      <w:r w:rsidR="00FE1418">
        <w:t xml:space="preserve">Figure </w:t>
      </w:r>
      <w:r w:rsidR="00FE1418">
        <w:rPr>
          <w:noProof/>
        </w:rPr>
        <w:t>30</w:t>
      </w:r>
      <w:r>
        <w:fldChar w:fldCharType="end"/>
      </w:r>
      <w:r>
        <w:t xml:space="preserve"> </w:t>
      </w:r>
      <w:r w:rsidRPr="00D919D5">
        <w:t xml:space="preserve">provides three years of </w:t>
      </w:r>
      <w:r>
        <w:t xml:space="preserve">predicted </w:t>
      </w:r>
      <w:r w:rsidRPr="00D919D5">
        <w:t>expenditure related to this scenario</w:t>
      </w:r>
      <w:r>
        <w:t>.</w:t>
      </w:r>
    </w:p>
    <w:p w14:paraId="3C687212" w14:textId="1117D2CD" w:rsidR="00216F5E" w:rsidRDefault="00216F5E" w:rsidP="00216F5E">
      <w:pPr>
        <w:pStyle w:val="Caption"/>
      </w:pPr>
      <w:bookmarkStart w:id="153" w:name="_Ref157414817"/>
      <w:bookmarkStart w:id="154" w:name="_Toc161743154"/>
      <w:r>
        <w:t xml:space="preserve">Figure </w:t>
      </w:r>
      <w:r>
        <w:fldChar w:fldCharType="begin"/>
      </w:r>
      <w:r>
        <w:instrText xml:space="preserve"> SEQ Figure \* ARABIC </w:instrText>
      </w:r>
      <w:r>
        <w:fldChar w:fldCharType="separate"/>
      </w:r>
      <w:r w:rsidR="00FE1418">
        <w:rPr>
          <w:noProof/>
        </w:rPr>
        <w:t>30</w:t>
      </w:r>
      <w:r>
        <w:rPr>
          <w:noProof/>
        </w:rPr>
        <w:fldChar w:fldCharType="end"/>
      </w:r>
      <w:bookmarkEnd w:id="153"/>
      <w:r>
        <w:t xml:space="preserve">: Expenditure </w:t>
      </w:r>
      <w:r w:rsidRPr="0026555E">
        <w:t xml:space="preserve">related to </w:t>
      </w:r>
      <w:r>
        <w:t>ongoing</w:t>
      </w:r>
      <w:r w:rsidRPr="0026555E">
        <w:t xml:space="preserve"> indexation on</w:t>
      </w:r>
      <w:r>
        <w:t xml:space="preserve"> unit prices on the </w:t>
      </w:r>
      <w:proofErr w:type="gramStart"/>
      <w:r>
        <w:t>Scheme</w:t>
      </w:r>
      <w:bookmarkEnd w:id="154"/>
      <w:proofErr w:type="gramEnd"/>
    </w:p>
    <w:tbl>
      <w:tblPr>
        <w:tblStyle w:val="TableHealthConsultPurple"/>
        <w:tblpPr w:leftFromText="180" w:rightFromText="180" w:vertAnchor="text" w:horzAnchor="page" w:tblpX="8232" w:tblpY="110"/>
        <w:tblW w:w="2500" w:type="pct"/>
        <w:tblLayout w:type="fixed"/>
        <w:tblLook w:val="04A0" w:firstRow="1" w:lastRow="0" w:firstColumn="1" w:lastColumn="0" w:noHBand="0" w:noVBand="1"/>
      </w:tblPr>
      <w:tblGrid>
        <w:gridCol w:w="1168"/>
        <w:gridCol w:w="3510"/>
        <w:gridCol w:w="2518"/>
        <w:gridCol w:w="89"/>
      </w:tblGrid>
      <w:tr w:rsidR="00216F5E" w:rsidRPr="00377AB5" w14:paraId="05F235A9" w14:textId="77777777" w:rsidTr="005C7AC1">
        <w:trPr>
          <w:cnfStyle w:val="100000000000" w:firstRow="1" w:lastRow="0" w:firstColumn="0" w:lastColumn="0" w:oddVBand="0" w:evenVBand="0" w:oddHBand="0" w:evenHBand="0" w:firstRowFirstColumn="0" w:firstRowLastColumn="0" w:lastRowFirstColumn="0" w:lastRowLastColumn="0"/>
          <w:trHeight w:val="509"/>
        </w:trPr>
        <w:tc>
          <w:tcPr>
            <w:cnfStyle w:val="001000000100" w:firstRow="0" w:lastRow="0" w:firstColumn="1" w:lastColumn="0" w:oddVBand="0" w:evenVBand="0" w:oddHBand="0" w:evenHBand="0" w:firstRowFirstColumn="1" w:firstRowLastColumn="0" w:lastRowFirstColumn="0" w:lastRowLastColumn="0"/>
            <w:tcW w:w="3211" w:type="pct"/>
            <w:gridSpan w:val="2"/>
            <w:noWrap/>
            <w:hideMark/>
          </w:tcPr>
          <w:p w14:paraId="0DECEFCA" w14:textId="77777777" w:rsidR="00216F5E" w:rsidRPr="00377AB5" w:rsidRDefault="00216F5E" w:rsidP="005C7AC1">
            <w:pPr>
              <w:pStyle w:val="BodyText"/>
              <w:jc w:val="center"/>
              <w:rPr>
                <w:sz w:val="16"/>
                <w:szCs w:val="20"/>
                <w:lang w:eastAsia="en-AU"/>
              </w:rPr>
            </w:pPr>
            <w:r w:rsidRPr="00377AB5">
              <w:rPr>
                <w:sz w:val="16"/>
                <w:szCs w:val="20"/>
                <w:lang w:eastAsia="en-AU"/>
              </w:rPr>
              <w:t>Scenario</w:t>
            </w:r>
            <w:r>
              <w:rPr>
                <w:sz w:val="16"/>
                <w:szCs w:val="20"/>
                <w:lang w:eastAsia="en-AU"/>
              </w:rPr>
              <w:t>:</w:t>
            </w:r>
          </w:p>
        </w:tc>
        <w:tc>
          <w:tcPr>
            <w:tcW w:w="1789" w:type="pct"/>
            <w:gridSpan w:val="2"/>
            <w:noWrap/>
            <w:hideMark/>
          </w:tcPr>
          <w:p w14:paraId="55B7C44A" w14:textId="77777777" w:rsidR="00216F5E" w:rsidRPr="00377AB5" w:rsidRDefault="00216F5E" w:rsidP="005C7AC1">
            <w:pPr>
              <w:pStyle w:val="BodyText"/>
              <w:cnfStyle w:val="100000000000" w:firstRow="1" w:lastRow="0" w:firstColumn="0" w:lastColumn="0" w:oddVBand="0" w:evenVBand="0" w:oddHBand="0" w:evenHBand="0" w:firstRowFirstColumn="0" w:firstRowLastColumn="0" w:lastRowFirstColumn="0" w:lastRowLastColumn="0"/>
              <w:rPr>
                <w:bCs/>
                <w:sz w:val="16"/>
                <w:szCs w:val="20"/>
                <w:lang w:eastAsia="en-AU"/>
              </w:rPr>
            </w:pPr>
            <w:r w:rsidRPr="00377AB5">
              <w:rPr>
                <w:bCs/>
                <w:sz w:val="16"/>
                <w:szCs w:val="20"/>
                <w:lang w:eastAsia="en-AU"/>
              </w:rPr>
              <w:t>CPI indexation: ongoing annual adjustment</w:t>
            </w:r>
          </w:p>
        </w:tc>
      </w:tr>
      <w:tr w:rsidR="00216F5E" w:rsidRPr="00377AB5" w14:paraId="0D68DA21" w14:textId="77777777" w:rsidTr="005C7AC1">
        <w:trPr>
          <w:gridAfter w:val="1"/>
          <w:wAfter w:w="61" w:type="pct"/>
          <w:trHeight w:val="408"/>
        </w:trPr>
        <w:tc>
          <w:tcPr>
            <w:cnfStyle w:val="001000000000" w:firstRow="0" w:lastRow="0" w:firstColumn="1" w:lastColumn="0" w:oddVBand="0" w:evenVBand="0" w:oddHBand="0" w:evenHBand="0" w:firstRowFirstColumn="0" w:firstRowLastColumn="0" w:lastRowFirstColumn="0" w:lastRowLastColumn="0"/>
            <w:tcW w:w="802" w:type="pct"/>
            <w:vMerge w:val="restart"/>
            <w:hideMark/>
          </w:tcPr>
          <w:p w14:paraId="380141A7" w14:textId="77777777" w:rsidR="00216F5E" w:rsidRPr="00377AB5" w:rsidRDefault="00216F5E" w:rsidP="005C7AC1">
            <w:pPr>
              <w:pStyle w:val="BodyText"/>
              <w:rPr>
                <w:b w:val="0"/>
                <w:bCs/>
                <w:sz w:val="16"/>
                <w:szCs w:val="20"/>
                <w:lang w:eastAsia="en-AU"/>
              </w:rPr>
            </w:pPr>
            <w:r w:rsidRPr="00377AB5">
              <w:rPr>
                <w:bCs/>
                <w:sz w:val="16"/>
                <w:szCs w:val="20"/>
                <w:lang w:eastAsia="en-AU"/>
              </w:rPr>
              <w:t>2023-24</w:t>
            </w:r>
          </w:p>
        </w:tc>
        <w:tc>
          <w:tcPr>
            <w:tcW w:w="2409" w:type="pct"/>
            <w:hideMark/>
          </w:tcPr>
          <w:p w14:paraId="2340726B" w14:textId="77777777" w:rsidR="00216F5E" w:rsidRPr="007857CA" w:rsidRDefault="00216F5E" w:rsidP="005C7AC1">
            <w:pPr>
              <w:pStyle w:val="BodyText"/>
              <w:cnfStyle w:val="000000000000" w:firstRow="0" w:lastRow="0" w:firstColumn="0" w:lastColumn="0" w:oddVBand="0" w:evenVBand="0" w:oddHBand="0" w:evenHBand="0" w:firstRowFirstColumn="0" w:firstRowLastColumn="0" w:lastRowFirstColumn="0" w:lastRowLastColumn="0"/>
              <w:rPr>
                <w:b/>
                <w:bCs/>
                <w:sz w:val="16"/>
                <w:szCs w:val="20"/>
                <w:lang w:eastAsia="en-AU"/>
              </w:rPr>
            </w:pPr>
            <w:r w:rsidRPr="007857CA">
              <w:rPr>
                <w:b/>
                <w:bCs/>
                <w:sz w:val="16"/>
                <w:szCs w:val="20"/>
                <w:lang w:eastAsia="en-AU"/>
              </w:rPr>
              <w:t>Change in expenditure from predicted</w:t>
            </w:r>
          </w:p>
        </w:tc>
        <w:tc>
          <w:tcPr>
            <w:tcW w:w="1728" w:type="pct"/>
            <w:noWrap/>
            <w:hideMark/>
          </w:tcPr>
          <w:p w14:paraId="7A724909" w14:textId="77777777" w:rsidR="00216F5E" w:rsidRPr="007857CA" w:rsidRDefault="00216F5E" w:rsidP="005C7AC1">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20"/>
                <w:lang w:eastAsia="en-AU"/>
              </w:rPr>
            </w:pPr>
            <w:r w:rsidRPr="007857CA">
              <w:rPr>
                <w:b/>
                <w:bCs/>
                <w:color w:val="000000"/>
                <w:sz w:val="16"/>
                <w:szCs w:val="20"/>
              </w:rPr>
              <w:t xml:space="preserve">$3,971,406 </w:t>
            </w:r>
          </w:p>
        </w:tc>
      </w:tr>
      <w:tr w:rsidR="00216F5E" w:rsidRPr="00377AB5" w14:paraId="2AF02349" w14:textId="77777777" w:rsidTr="005C7AC1">
        <w:trPr>
          <w:gridAfter w:val="1"/>
          <w:cnfStyle w:val="000000010000" w:firstRow="0" w:lastRow="0" w:firstColumn="0" w:lastColumn="0" w:oddVBand="0" w:evenVBand="0" w:oddHBand="0" w:evenHBand="1" w:firstRowFirstColumn="0" w:firstRowLastColumn="0" w:lastRowFirstColumn="0" w:lastRowLastColumn="0"/>
          <w:wAfter w:w="61" w:type="pct"/>
          <w:trHeight w:val="408"/>
        </w:trPr>
        <w:tc>
          <w:tcPr>
            <w:cnfStyle w:val="001000000000" w:firstRow="0" w:lastRow="0" w:firstColumn="1" w:lastColumn="0" w:oddVBand="0" w:evenVBand="0" w:oddHBand="0" w:evenHBand="0" w:firstRowFirstColumn="0" w:firstRowLastColumn="0" w:lastRowFirstColumn="0" w:lastRowLastColumn="0"/>
            <w:tcW w:w="802" w:type="pct"/>
            <w:vMerge/>
            <w:hideMark/>
          </w:tcPr>
          <w:p w14:paraId="0A84E135" w14:textId="77777777" w:rsidR="00216F5E" w:rsidRPr="00377AB5" w:rsidRDefault="00216F5E" w:rsidP="005C7AC1">
            <w:pPr>
              <w:pStyle w:val="BodyText"/>
              <w:rPr>
                <w:bCs/>
                <w:sz w:val="16"/>
                <w:szCs w:val="20"/>
                <w:lang w:eastAsia="en-AU"/>
              </w:rPr>
            </w:pPr>
          </w:p>
        </w:tc>
        <w:tc>
          <w:tcPr>
            <w:tcW w:w="2409" w:type="pct"/>
            <w:hideMark/>
          </w:tcPr>
          <w:p w14:paraId="26C07118" w14:textId="77777777" w:rsidR="00216F5E" w:rsidRPr="00377AB5" w:rsidRDefault="00216F5E" w:rsidP="005C7AC1">
            <w:pPr>
              <w:pStyle w:val="BodyText"/>
              <w:cnfStyle w:val="000000010000" w:firstRow="0" w:lastRow="0" w:firstColumn="0" w:lastColumn="0" w:oddVBand="0" w:evenVBand="0" w:oddHBand="0" w:evenHBand="1" w:firstRowFirstColumn="0" w:firstRowLastColumn="0" w:lastRowFirstColumn="0" w:lastRowLastColumn="0"/>
              <w:rPr>
                <w:bCs/>
                <w:sz w:val="16"/>
                <w:szCs w:val="20"/>
                <w:lang w:eastAsia="en-AU"/>
              </w:rPr>
            </w:pPr>
            <w:r w:rsidRPr="00377AB5">
              <w:rPr>
                <w:bCs/>
                <w:sz w:val="16"/>
                <w:szCs w:val="20"/>
                <w:lang w:eastAsia="en-AU"/>
              </w:rPr>
              <w:t xml:space="preserve">Percentage change </w:t>
            </w:r>
          </w:p>
        </w:tc>
        <w:tc>
          <w:tcPr>
            <w:tcW w:w="1728" w:type="pct"/>
            <w:noWrap/>
            <w:hideMark/>
          </w:tcPr>
          <w:p w14:paraId="3FBF5A18" w14:textId="77777777" w:rsidR="00216F5E" w:rsidRPr="00377AB5" w:rsidRDefault="00216F5E" w:rsidP="005C7AC1">
            <w:pPr>
              <w:pStyle w:val="BodyText"/>
              <w:cnfStyle w:val="000000010000" w:firstRow="0" w:lastRow="0" w:firstColumn="0" w:lastColumn="0" w:oddVBand="0" w:evenVBand="0" w:oddHBand="0" w:evenHBand="1" w:firstRowFirstColumn="0" w:firstRowLastColumn="0" w:lastRowFirstColumn="0" w:lastRowLastColumn="0"/>
              <w:rPr>
                <w:color w:val="000000"/>
                <w:sz w:val="16"/>
                <w:szCs w:val="20"/>
                <w:lang w:eastAsia="en-AU"/>
              </w:rPr>
            </w:pPr>
            <w:r w:rsidRPr="00377AB5">
              <w:rPr>
                <w:color w:val="000000"/>
                <w:sz w:val="16"/>
                <w:szCs w:val="20"/>
              </w:rPr>
              <w:t>+3.44%</w:t>
            </w:r>
          </w:p>
        </w:tc>
      </w:tr>
      <w:tr w:rsidR="00216F5E" w:rsidRPr="00377AB5" w14:paraId="1DC9632C" w14:textId="77777777" w:rsidTr="000E7601">
        <w:trPr>
          <w:gridAfter w:val="1"/>
          <w:wAfter w:w="61" w:type="pct"/>
          <w:trHeight w:val="432"/>
        </w:trPr>
        <w:tc>
          <w:tcPr>
            <w:cnfStyle w:val="001000000000" w:firstRow="0" w:lastRow="0" w:firstColumn="1" w:lastColumn="0" w:oddVBand="0" w:evenVBand="0" w:oddHBand="0" w:evenHBand="0" w:firstRowFirstColumn="0" w:firstRowLastColumn="0" w:lastRowFirstColumn="0" w:lastRowLastColumn="0"/>
            <w:tcW w:w="0" w:type="pct"/>
            <w:vMerge w:val="restart"/>
            <w:hideMark/>
          </w:tcPr>
          <w:p w14:paraId="598675D2" w14:textId="77777777" w:rsidR="00216F5E" w:rsidRPr="00377AB5" w:rsidRDefault="00216F5E" w:rsidP="005C7AC1">
            <w:pPr>
              <w:pStyle w:val="BodyText"/>
              <w:rPr>
                <w:b w:val="0"/>
                <w:bCs/>
                <w:sz w:val="16"/>
                <w:szCs w:val="20"/>
                <w:lang w:eastAsia="en-AU"/>
              </w:rPr>
            </w:pPr>
            <w:r w:rsidRPr="00377AB5">
              <w:rPr>
                <w:bCs/>
                <w:sz w:val="16"/>
                <w:szCs w:val="20"/>
                <w:lang w:eastAsia="en-AU"/>
              </w:rPr>
              <w:t>2024-25</w:t>
            </w:r>
          </w:p>
        </w:tc>
        <w:tc>
          <w:tcPr>
            <w:tcW w:w="0" w:type="pct"/>
            <w:hideMark/>
          </w:tcPr>
          <w:p w14:paraId="1662CC03" w14:textId="77777777" w:rsidR="00216F5E" w:rsidRPr="007857CA" w:rsidRDefault="00216F5E" w:rsidP="005C7AC1">
            <w:pPr>
              <w:pStyle w:val="BodyText"/>
              <w:cnfStyle w:val="000000000000" w:firstRow="0" w:lastRow="0" w:firstColumn="0" w:lastColumn="0" w:oddVBand="0" w:evenVBand="0" w:oddHBand="0" w:evenHBand="0" w:firstRowFirstColumn="0" w:firstRowLastColumn="0" w:lastRowFirstColumn="0" w:lastRowLastColumn="0"/>
              <w:rPr>
                <w:b/>
                <w:bCs/>
                <w:sz w:val="16"/>
                <w:szCs w:val="20"/>
                <w:lang w:eastAsia="en-AU"/>
              </w:rPr>
            </w:pPr>
            <w:r w:rsidRPr="007857CA">
              <w:rPr>
                <w:b/>
                <w:bCs/>
                <w:sz w:val="16"/>
                <w:szCs w:val="20"/>
                <w:lang w:eastAsia="en-AU"/>
              </w:rPr>
              <w:t>Change in expenditure</w:t>
            </w:r>
            <w:r w:rsidRPr="007857CA">
              <w:rPr>
                <w:b/>
                <w:bCs/>
                <w:sz w:val="16"/>
                <w:szCs w:val="20"/>
              </w:rPr>
              <w:t xml:space="preserve"> </w:t>
            </w:r>
            <w:r w:rsidRPr="007857CA">
              <w:rPr>
                <w:b/>
                <w:bCs/>
                <w:sz w:val="16"/>
                <w:szCs w:val="20"/>
                <w:lang w:eastAsia="en-AU"/>
              </w:rPr>
              <w:t>from predicted</w:t>
            </w:r>
          </w:p>
        </w:tc>
        <w:tc>
          <w:tcPr>
            <w:tcW w:w="0" w:type="pct"/>
            <w:noWrap/>
            <w:hideMark/>
          </w:tcPr>
          <w:p w14:paraId="673956F2" w14:textId="77777777" w:rsidR="00216F5E" w:rsidRPr="007857CA" w:rsidRDefault="00216F5E" w:rsidP="005C7AC1">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20"/>
                <w:lang w:eastAsia="en-AU"/>
              </w:rPr>
            </w:pPr>
            <w:r w:rsidRPr="007857CA">
              <w:rPr>
                <w:b/>
                <w:bCs/>
                <w:color w:val="000000"/>
                <w:sz w:val="16"/>
                <w:szCs w:val="20"/>
              </w:rPr>
              <w:t xml:space="preserve">$8,466,924 </w:t>
            </w:r>
          </w:p>
        </w:tc>
      </w:tr>
      <w:tr w:rsidR="00216F5E" w:rsidRPr="00377AB5" w14:paraId="767627CB" w14:textId="77777777" w:rsidTr="005C7AC1">
        <w:trPr>
          <w:gridAfter w:val="1"/>
          <w:cnfStyle w:val="000000010000" w:firstRow="0" w:lastRow="0" w:firstColumn="0" w:lastColumn="0" w:oddVBand="0" w:evenVBand="0" w:oddHBand="0" w:evenHBand="1" w:firstRowFirstColumn="0" w:firstRowLastColumn="0" w:lastRowFirstColumn="0" w:lastRowLastColumn="0"/>
          <w:wAfter w:w="61" w:type="pct"/>
          <w:trHeight w:val="408"/>
        </w:trPr>
        <w:tc>
          <w:tcPr>
            <w:cnfStyle w:val="001000000000" w:firstRow="0" w:lastRow="0" w:firstColumn="1" w:lastColumn="0" w:oddVBand="0" w:evenVBand="0" w:oddHBand="0" w:evenHBand="0" w:firstRowFirstColumn="0" w:firstRowLastColumn="0" w:lastRowFirstColumn="0" w:lastRowLastColumn="0"/>
            <w:tcW w:w="802" w:type="pct"/>
            <w:vMerge/>
            <w:hideMark/>
          </w:tcPr>
          <w:p w14:paraId="51EE5FFB" w14:textId="77777777" w:rsidR="00216F5E" w:rsidRPr="00377AB5" w:rsidRDefault="00216F5E" w:rsidP="005C7AC1">
            <w:pPr>
              <w:pStyle w:val="BodyText"/>
              <w:rPr>
                <w:bCs/>
                <w:sz w:val="16"/>
                <w:szCs w:val="20"/>
                <w:lang w:eastAsia="en-AU"/>
              </w:rPr>
            </w:pPr>
          </w:p>
        </w:tc>
        <w:tc>
          <w:tcPr>
            <w:tcW w:w="2409" w:type="pct"/>
            <w:hideMark/>
          </w:tcPr>
          <w:p w14:paraId="40E50796" w14:textId="77777777" w:rsidR="00216F5E" w:rsidRPr="00377AB5" w:rsidRDefault="00216F5E" w:rsidP="005C7AC1">
            <w:pPr>
              <w:pStyle w:val="BodyText"/>
              <w:cnfStyle w:val="000000010000" w:firstRow="0" w:lastRow="0" w:firstColumn="0" w:lastColumn="0" w:oddVBand="0" w:evenVBand="0" w:oddHBand="0" w:evenHBand="1" w:firstRowFirstColumn="0" w:firstRowLastColumn="0" w:lastRowFirstColumn="0" w:lastRowLastColumn="0"/>
              <w:rPr>
                <w:bCs/>
                <w:sz w:val="16"/>
                <w:szCs w:val="20"/>
                <w:lang w:eastAsia="en-AU"/>
              </w:rPr>
            </w:pPr>
            <w:r w:rsidRPr="00377AB5">
              <w:rPr>
                <w:bCs/>
                <w:sz w:val="16"/>
                <w:szCs w:val="20"/>
                <w:lang w:eastAsia="en-AU"/>
              </w:rPr>
              <w:t xml:space="preserve">Percentage change </w:t>
            </w:r>
          </w:p>
        </w:tc>
        <w:tc>
          <w:tcPr>
            <w:tcW w:w="1728" w:type="pct"/>
            <w:noWrap/>
            <w:hideMark/>
          </w:tcPr>
          <w:p w14:paraId="2D60D272" w14:textId="77777777" w:rsidR="00216F5E" w:rsidRPr="00377AB5" w:rsidRDefault="00216F5E" w:rsidP="005C7AC1">
            <w:pPr>
              <w:pStyle w:val="BodyText"/>
              <w:cnfStyle w:val="000000010000" w:firstRow="0" w:lastRow="0" w:firstColumn="0" w:lastColumn="0" w:oddVBand="0" w:evenVBand="0" w:oddHBand="0" w:evenHBand="1" w:firstRowFirstColumn="0" w:firstRowLastColumn="0" w:lastRowFirstColumn="0" w:lastRowLastColumn="0"/>
              <w:rPr>
                <w:color w:val="000000"/>
                <w:sz w:val="16"/>
                <w:szCs w:val="20"/>
                <w:lang w:eastAsia="en-AU"/>
              </w:rPr>
            </w:pPr>
            <w:r w:rsidRPr="00377AB5">
              <w:rPr>
                <w:color w:val="000000"/>
                <w:sz w:val="16"/>
                <w:szCs w:val="20"/>
              </w:rPr>
              <w:t>+7.00%</w:t>
            </w:r>
          </w:p>
        </w:tc>
      </w:tr>
      <w:tr w:rsidR="00216F5E" w:rsidRPr="00377AB5" w14:paraId="2E6498AE" w14:textId="77777777" w:rsidTr="005C7AC1">
        <w:trPr>
          <w:gridAfter w:val="1"/>
          <w:wAfter w:w="61" w:type="pct"/>
          <w:trHeight w:val="408"/>
        </w:trPr>
        <w:tc>
          <w:tcPr>
            <w:cnfStyle w:val="001000000000" w:firstRow="0" w:lastRow="0" w:firstColumn="1" w:lastColumn="0" w:oddVBand="0" w:evenVBand="0" w:oddHBand="0" w:evenHBand="0" w:firstRowFirstColumn="0" w:firstRowLastColumn="0" w:lastRowFirstColumn="0" w:lastRowLastColumn="0"/>
            <w:tcW w:w="802" w:type="pct"/>
            <w:vMerge w:val="restart"/>
            <w:hideMark/>
          </w:tcPr>
          <w:p w14:paraId="2DE1826B" w14:textId="77777777" w:rsidR="00216F5E" w:rsidRPr="00377AB5" w:rsidRDefault="00216F5E" w:rsidP="005C7AC1">
            <w:pPr>
              <w:pStyle w:val="BodyText"/>
              <w:rPr>
                <w:b w:val="0"/>
                <w:bCs/>
                <w:sz w:val="16"/>
                <w:szCs w:val="20"/>
                <w:lang w:eastAsia="en-AU"/>
              </w:rPr>
            </w:pPr>
            <w:r w:rsidRPr="00377AB5">
              <w:rPr>
                <w:bCs/>
                <w:sz w:val="16"/>
                <w:szCs w:val="20"/>
                <w:lang w:eastAsia="en-AU"/>
              </w:rPr>
              <w:t>2025-26</w:t>
            </w:r>
          </w:p>
        </w:tc>
        <w:tc>
          <w:tcPr>
            <w:tcW w:w="2409" w:type="pct"/>
            <w:hideMark/>
          </w:tcPr>
          <w:p w14:paraId="3F551D76" w14:textId="77777777" w:rsidR="00216F5E" w:rsidRPr="007857CA" w:rsidRDefault="00216F5E" w:rsidP="005C7AC1">
            <w:pPr>
              <w:pStyle w:val="BodyText"/>
              <w:cnfStyle w:val="000000000000" w:firstRow="0" w:lastRow="0" w:firstColumn="0" w:lastColumn="0" w:oddVBand="0" w:evenVBand="0" w:oddHBand="0" w:evenHBand="0" w:firstRowFirstColumn="0" w:firstRowLastColumn="0" w:lastRowFirstColumn="0" w:lastRowLastColumn="0"/>
              <w:rPr>
                <w:b/>
                <w:bCs/>
                <w:sz w:val="16"/>
                <w:szCs w:val="20"/>
                <w:lang w:eastAsia="en-AU"/>
              </w:rPr>
            </w:pPr>
            <w:r w:rsidRPr="007857CA">
              <w:rPr>
                <w:b/>
                <w:bCs/>
                <w:sz w:val="16"/>
                <w:szCs w:val="20"/>
                <w:lang w:eastAsia="en-AU"/>
              </w:rPr>
              <w:t>Change in expenditure</w:t>
            </w:r>
            <w:r w:rsidRPr="007857CA">
              <w:rPr>
                <w:b/>
                <w:bCs/>
                <w:sz w:val="16"/>
                <w:szCs w:val="20"/>
              </w:rPr>
              <w:t xml:space="preserve"> </w:t>
            </w:r>
            <w:r w:rsidRPr="007857CA">
              <w:rPr>
                <w:b/>
                <w:bCs/>
                <w:sz w:val="16"/>
                <w:szCs w:val="20"/>
                <w:lang w:eastAsia="en-AU"/>
              </w:rPr>
              <w:t>from predicted</w:t>
            </w:r>
          </w:p>
        </w:tc>
        <w:tc>
          <w:tcPr>
            <w:tcW w:w="1728" w:type="pct"/>
            <w:noWrap/>
            <w:hideMark/>
          </w:tcPr>
          <w:p w14:paraId="3F58027F" w14:textId="77777777" w:rsidR="00216F5E" w:rsidRPr="007857CA" w:rsidRDefault="00216F5E" w:rsidP="005C7AC1">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20"/>
                <w:lang w:eastAsia="en-AU"/>
              </w:rPr>
            </w:pPr>
            <w:r w:rsidRPr="007857CA">
              <w:rPr>
                <w:b/>
                <w:bCs/>
                <w:color w:val="000000"/>
                <w:sz w:val="16"/>
                <w:szCs w:val="20"/>
              </w:rPr>
              <w:t xml:space="preserve">$13,540,275 </w:t>
            </w:r>
          </w:p>
        </w:tc>
      </w:tr>
      <w:tr w:rsidR="00216F5E" w:rsidRPr="00377AB5" w14:paraId="43D43790" w14:textId="77777777" w:rsidTr="005C7AC1">
        <w:trPr>
          <w:gridAfter w:val="1"/>
          <w:cnfStyle w:val="000000010000" w:firstRow="0" w:lastRow="0" w:firstColumn="0" w:lastColumn="0" w:oddVBand="0" w:evenVBand="0" w:oddHBand="0" w:evenHBand="1" w:firstRowFirstColumn="0" w:firstRowLastColumn="0" w:lastRowFirstColumn="0" w:lastRowLastColumn="0"/>
          <w:wAfter w:w="61" w:type="pct"/>
          <w:trHeight w:val="408"/>
        </w:trPr>
        <w:tc>
          <w:tcPr>
            <w:cnfStyle w:val="001000000000" w:firstRow="0" w:lastRow="0" w:firstColumn="1" w:lastColumn="0" w:oddVBand="0" w:evenVBand="0" w:oddHBand="0" w:evenHBand="0" w:firstRowFirstColumn="0" w:firstRowLastColumn="0" w:lastRowFirstColumn="0" w:lastRowLastColumn="0"/>
            <w:tcW w:w="802" w:type="pct"/>
            <w:vMerge/>
            <w:hideMark/>
          </w:tcPr>
          <w:p w14:paraId="64421D2E" w14:textId="77777777" w:rsidR="00216F5E" w:rsidRPr="00377AB5" w:rsidRDefault="00216F5E" w:rsidP="005C7AC1">
            <w:pPr>
              <w:pStyle w:val="BodyText"/>
              <w:rPr>
                <w:sz w:val="16"/>
                <w:szCs w:val="20"/>
                <w:lang w:eastAsia="en-AU"/>
              </w:rPr>
            </w:pPr>
          </w:p>
        </w:tc>
        <w:tc>
          <w:tcPr>
            <w:tcW w:w="2409" w:type="pct"/>
            <w:hideMark/>
          </w:tcPr>
          <w:p w14:paraId="576662F9" w14:textId="77777777" w:rsidR="00216F5E" w:rsidRPr="00377AB5" w:rsidRDefault="00216F5E" w:rsidP="005C7AC1">
            <w:pPr>
              <w:pStyle w:val="BodyText"/>
              <w:cnfStyle w:val="000000010000" w:firstRow="0" w:lastRow="0" w:firstColumn="0" w:lastColumn="0" w:oddVBand="0" w:evenVBand="0" w:oddHBand="0" w:evenHBand="1" w:firstRowFirstColumn="0" w:firstRowLastColumn="0" w:lastRowFirstColumn="0" w:lastRowLastColumn="0"/>
              <w:rPr>
                <w:sz w:val="16"/>
                <w:szCs w:val="20"/>
                <w:lang w:eastAsia="en-AU"/>
              </w:rPr>
            </w:pPr>
            <w:r w:rsidRPr="00377AB5">
              <w:rPr>
                <w:sz w:val="16"/>
                <w:szCs w:val="20"/>
                <w:lang w:eastAsia="en-AU"/>
              </w:rPr>
              <w:t>Percentage change</w:t>
            </w:r>
          </w:p>
        </w:tc>
        <w:tc>
          <w:tcPr>
            <w:tcW w:w="1728" w:type="pct"/>
            <w:noWrap/>
            <w:hideMark/>
          </w:tcPr>
          <w:p w14:paraId="0DEFCE91" w14:textId="77777777" w:rsidR="00216F5E" w:rsidRPr="00377AB5" w:rsidRDefault="00216F5E" w:rsidP="005C7AC1">
            <w:pPr>
              <w:pStyle w:val="BodyText"/>
              <w:cnfStyle w:val="000000010000" w:firstRow="0" w:lastRow="0" w:firstColumn="0" w:lastColumn="0" w:oddVBand="0" w:evenVBand="0" w:oddHBand="0" w:evenHBand="1" w:firstRowFirstColumn="0" w:firstRowLastColumn="0" w:lastRowFirstColumn="0" w:lastRowLastColumn="0"/>
              <w:rPr>
                <w:color w:val="000000"/>
                <w:sz w:val="16"/>
                <w:szCs w:val="20"/>
                <w:lang w:eastAsia="en-AU"/>
              </w:rPr>
            </w:pPr>
            <w:r w:rsidRPr="00377AB5">
              <w:rPr>
                <w:color w:val="000000"/>
                <w:sz w:val="16"/>
                <w:szCs w:val="20"/>
              </w:rPr>
              <w:t>+10.68%</w:t>
            </w:r>
          </w:p>
        </w:tc>
      </w:tr>
    </w:tbl>
    <w:p w14:paraId="3F647391" w14:textId="77777777" w:rsidR="00216F5E" w:rsidRDefault="00216F5E" w:rsidP="00216F5E">
      <w:pPr>
        <w:pStyle w:val="BodyText"/>
      </w:pPr>
      <w:r>
        <w:rPr>
          <w:noProof/>
        </w:rPr>
        <w:drawing>
          <wp:inline distT="0" distB="0" distL="0" distR="0" wp14:anchorId="188C843E" wp14:editId="5A25BB23">
            <wp:extent cx="4310380" cy="2603500"/>
            <wp:effectExtent l="0" t="0" r="0" b="6350"/>
            <wp:docPr id="852552759" name="Picture 42" descr="Figure 30: Expenditure related to ongoing indexation on unit prices on the Sche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552759" name="Picture 42" descr="Figure 30: Expenditure related to ongoing indexation on unit prices on the Scheme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310380" cy="2603500"/>
                    </a:xfrm>
                    <a:prstGeom prst="rect">
                      <a:avLst/>
                    </a:prstGeom>
                    <a:noFill/>
                  </pic:spPr>
                </pic:pic>
              </a:graphicData>
            </a:graphic>
          </wp:inline>
        </w:drawing>
      </w:r>
    </w:p>
    <w:p w14:paraId="3009258D" w14:textId="77777777" w:rsidR="007D7F75" w:rsidRDefault="007D7F75">
      <w:pPr>
        <w:spacing w:line="276" w:lineRule="auto"/>
        <w:rPr>
          <w:rFonts w:asciiTheme="majorHAnsi" w:eastAsiaTheme="majorEastAsia" w:hAnsiTheme="majorHAnsi" w:cstheme="majorBidi"/>
          <w:b/>
          <w:color w:val="C60C30" w:themeColor="accent2"/>
          <w:spacing w:val="4"/>
          <w:sz w:val="22"/>
          <w:szCs w:val="28"/>
        </w:rPr>
      </w:pPr>
      <w:r>
        <w:rPr>
          <w:rFonts w:asciiTheme="majorHAnsi" w:eastAsiaTheme="majorEastAsia" w:hAnsiTheme="majorHAnsi" w:cstheme="majorBidi"/>
          <w:b/>
          <w:color w:val="C60C30" w:themeColor="accent2"/>
          <w:spacing w:val="4"/>
          <w:sz w:val="22"/>
          <w:szCs w:val="28"/>
        </w:rPr>
        <w:br w:type="page"/>
      </w:r>
    </w:p>
    <w:p w14:paraId="0BB25CDE" w14:textId="6AE7185B" w:rsidR="00216F5E" w:rsidRPr="00AF3BAD" w:rsidRDefault="00216F5E" w:rsidP="00216F5E">
      <w:pPr>
        <w:keepNext/>
        <w:keepLines/>
        <w:spacing w:before="300" w:after="200" w:line="240" w:lineRule="atLeast"/>
        <w:outlineLvl w:val="2"/>
        <w:rPr>
          <w:rFonts w:asciiTheme="majorHAnsi" w:eastAsiaTheme="majorEastAsia" w:hAnsiTheme="majorHAnsi" w:cstheme="majorBidi"/>
          <w:b/>
          <w:color w:val="C60C30" w:themeColor="accent2"/>
          <w:spacing w:val="4"/>
          <w:sz w:val="22"/>
          <w:szCs w:val="28"/>
        </w:rPr>
      </w:pPr>
      <w:r w:rsidRPr="00AF3BAD">
        <w:rPr>
          <w:rFonts w:asciiTheme="majorHAnsi" w:eastAsiaTheme="majorEastAsia" w:hAnsiTheme="majorHAnsi" w:cstheme="majorBidi"/>
          <w:b/>
          <w:color w:val="C60C30" w:themeColor="accent2"/>
          <w:spacing w:val="4"/>
          <w:sz w:val="22"/>
          <w:szCs w:val="28"/>
        </w:rPr>
        <w:lastRenderedPageBreak/>
        <w:t xml:space="preserve">Scenario </w:t>
      </w:r>
      <w:r>
        <w:rPr>
          <w:rFonts w:asciiTheme="majorHAnsi" w:eastAsiaTheme="majorEastAsia" w:hAnsiTheme="majorHAnsi" w:cstheme="majorBidi"/>
          <w:b/>
          <w:color w:val="C60C30" w:themeColor="accent2"/>
          <w:spacing w:val="4"/>
          <w:sz w:val="22"/>
          <w:szCs w:val="28"/>
        </w:rPr>
        <w:t>1</w:t>
      </w:r>
      <w:r w:rsidR="004A7112">
        <w:rPr>
          <w:rFonts w:asciiTheme="majorHAnsi" w:eastAsiaTheme="majorEastAsia" w:hAnsiTheme="majorHAnsi" w:cstheme="majorBidi"/>
          <w:b/>
          <w:color w:val="C60C30" w:themeColor="accent2"/>
          <w:spacing w:val="4"/>
          <w:sz w:val="22"/>
          <w:szCs w:val="28"/>
        </w:rPr>
        <w:t>4</w:t>
      </w:r>
      <w:r w:rsidRPr="00AF3BAD">
        <w:rPr>
          <w:rFonts w:asciiTheme="majorHAnsi" w:eastAsiaTheme="majorEastAsia" w:hAnsiTheme="majorHAnsi" w:cstheme="majorBidi"/>
          <w:b/>
          <w:color w:val="C60C30" w:themeColor="accent2"/>
          <w:spacing w:val="4"/>
          <w:sz w:val="22"/>
          <w:szCs w:val="28"/>
        </w:rPr>
        <w:t xml:space="preserve">: </w:t>
      </w:r>
      <w:r>
        <w:rPr>
          <w:rFonts w:asciiTheme="majorHAnsi" w:eastAsiaTheme="majorEastAsia" w:hAnsiTheme="majorHAnsi" w:cstheme="majorBidi"/>
          <w:b/>
          <w:color w:val="C60C30" w:themeColor="accent2"/>
          <w:spacing w:val="4"/>
          <w:sz w:val="22"/>
          <w:szCs w:val="28"/>
        </w:rPr>
        <w:t xml:space="preserve">Backdated </w:t>
      </w:r>
      <w:r w:rsidR="0063602A">
        <w:rPr>
          <w:rFonts w:asciiTheme="majorHAnsi" w:eastAsiaTheme="majorEastAsia" w:hAnsiTheme="majorHAnsi" w:cstheme="majorBidi"/>
          <w:b/>
          <w:color w:val="C60C30" w:themeColor="accent2"/>
          <w:spacing w:val="4"/>
          <w:sz w:val="22"/>
          <w:szCs w:val="28"/>
        </w:rPr>
        <w:t xml:space="preserve">prices </w:t>
      </w:r>
      <w:r>
        <w:rPr>
          <w:rFonts w:asciiTheme="majorHAnsi" w:eastAsiaTheme="majorEastAsia" w:hAnsiTheme="majorHAnsi" w:cstheme="majorBidi"/>
          <w:b/>
          <w:color w:val="C60C30" w:themeColor="accent2"/>
          <w:spacing w:val="4"/>
          <w:sz w:val="22"/>
          <w:szCs w:val="28"/>
        </w:rPr>
        <w:t>and</w:t>
      </w:r>
      <w:r w:rsidRPr="00AF3BAD">
        <w:rPr>
          <w:rFonts w:asciiTheme="majorHAnsi" w:eastAsiaTheme="majorEastAsia" w:hAnsiTheme="majorHAnsi" w:cstheme="majorBidi"/>
          <w:b/>
          <w:color w:val="C60C30" w:themeColor="accent2"/>
          <w:spacing w:val="4"/>
          <w:sz w:val="22"/>
          <w:szCs w:val="28"/>
        </w:rPr>
        <w:t xml:space="preserve"> </w:t>
      </w:r>
      <w:r>
        <w:rPr>
          <w:rFonts w:asciiTheme="majorHAnsi" w:eastAsiaTheme="majorEastAsia" w:hAnsiTheme="majorHAnsi" w:cstheme="majorBidi"/>
          <w:b/>
          <w:color w:val="C60C30" w:themeColor="accent2"/>
          <w:spacing w:val="4"/>
          <w:sz w:val="22"/>
          <w:szCs w:val="28"/>
        </w:rPr>
        <w:t xml:space="preserve">ongoing </w:t>
      </w:r>
      <w:r w:rsidRPr="00AF3BAD">
        <w:rPr>
          <w:rFonts w:asciiTheme="majorHAnsi" w:eastAsiaTheme="majorEastAsia" w:hAnsiTheme="majorHAnsi" w:cstheme="majorBidi"/>
          <w:b/>
          <w:color w:val="C60C30" w:themeColor="accent2"/>
          <w:spacing w:val="4"/>
          <w:sz w:val="22"/>
          <w:szCs w:val="28"/>
        </w:rPr>
        <w:t>annual indexation</w:t>
      </w:r>
    </w:p>
    <w:p w14:paraId="54A1664C" w14:textId="59EC846F" w:rsidR="00216F5E" w:rsidRPr="0016467D" w:rsidRDefault="00216F5E" w:rsidP="00216F5E">
      <w:pPr>
        <w:pStyle w:val="BodyText"/>
      </w:pPr>
      <w:r>
        <w:t xml:space="preserve">Another scenario was tested in which </w:t>
      </w:r>
      <w:r w:rsidR="0063602A">
        <w:t xml:space="preserve">prices were </w:t>
      </w:r>
      <w:r>
        <w:t xml:space="preserve">backdated </w:t>
      </w:r>
      <w:r w:rsidR="0063602A">
        <w:t xml:space="preserve">according to CPI in June of the previous FY, </w:t>
      </w:r>
      <w:r>
        <w:t xml:space="preserve">and </w:t>
      </w:r>
      <w:r w:rsidR="0063602A">
        <w:t xml:space="preserve">then </w:t>
      </w:r>
      <w:r>
        <w:t>ongoing annual indexation occur for unit prices on the Scheme</w:t>
      </w:r>
      <w:r w:rsidR="0063602A">
        <w:t xml:space="preserve"> from 2023-24</w:t>
      </w:r>
      <w:r w:rsidRPr="0016467D">
        <w:t>.</w:t>
      </w:r>
      <w:r w:rsidR="00206AE6">
        <w:t xml:space="preserve"> </w:t>
      </w:r>
      <w:r w:rsidR="006911D2">
        <w:t>Under</w:t>
      </w:r>
      <w:r w:rsidR="00206AE6">
        <w:t xml:space="preserve"> this Scenario,</w:t>
      </w:r>
      <w:r w:rsidR="00206AE6" w:rsidRPr="00206AE6">
        <w:t xml:space="preserve"> prices </w:t>
      </w:r>
      <w:r w:rsidR="00206AE6">
        <w:t>begin</w:t>
      </w:r>
      <w:r w:rsidR="00206AE6" w:rsidRPr="00206AE6">
        <w:t xml:space="preserve"> compounding </w:t>
      </w:r>
      <w:r w:rsidR="00206AE6">
        <w:t>in 2023-24</w:t>
      </w:r>
      <w:r w:rsidR="006067F5">
        <w:t xml:space="preserve"> using the </w:t>
      </w:r>
      <w:r w:rsidR="0063602A">
        <w:t>five</w:t>
      </w:r>
      <w:r w:rsidR="006067F5">
        <w:t>-year June CPI average</w:t>
      </w:r>
      <w:r w:rsidR="00206AE6">
        <w:t xml:space="preserve">. </w:t>
      </w:r>
    </w:p>
    <w:p w14:paraId="4EDE4D8C" w14:textId="714288FE" w:rsidR="00216F5E" w:rsidRDefault="00216F5E" w:rsidP="00216F5E">
      <w:pPr>
        <w:pStyle w:val="BodyText"/>
      </w:pPr>
      <w:r w:rsidRPr="0016467D">
        <w:t xml:space="preserve">It was found that </w:t>
      </w:r>
      <w:r>
        <w:t>this scenario</w:t>
      </w:r>
      <w:r w:rsidRPr="0016467D">
        <w:t xml:space="preserve"> is predicted to result in an additional cost of </w:t>
      </w:r>
      <w:r w:rsidRPr="00AD6F8E">
        <w:rPr>
          <w:b/>
          <w:bCs/>
        </w:rPr>
        <w:t xml:space="preserve">$27,294,862 </w:t>
      </w:r>
      <w:r w:rsidRPr="0016467D">
        <w:rPr>
          <w:b/>
          <w:bCs/>
        </w:rPr>
        <w:t xml:space="preserve">by FY25-26 (a </w:t>
      </w:r>
      <w:r>
        <w:rPr>
          <w:b/>
          <w:bCs/>
        </w:rPr>
        <w:t>21</w:t>
      </w:r>
      <w:r w:rsidRPr="0016467D">
        <w:rPr>
          <w:b/>
          <w:bCs/>
        </w:rPr>
        <w:t>.</w:t>
      </w:r>
      <w:r>
        <w:rPr>
          <w:b/>
          <w:bCs/>
        </w:rPr>
        <w:t>53</w:t>
      </w:r>
      <w:r w:rsidRPr="0016467D">
        <w:rPr>
          <w:b/>
          <w:bCs/>
        </w:rPr>
        <w:t>% increase in predicted expenditure without indexation</w:t>
      </w:r>
      <w:r w:rsidRPr="0016467D">
        <w:t>).</w:t>
      </w:r>
      <w:r>
        <w:t xml:space="preserve"> </w:t>
      </w:r>
      <w:r>
        <w:fldChar w:fldCharType="begin"/>
      </w:r>
      <w:r>
        <w:instrText xml:space="preserve"> REF _Ref157418388 \h  \* MERGEFORMAT </w:instrText>
      </w:r>
      <w:r>
        <w:fldChar w:fldCharType="separate"/>
      </w:r>
      <w:r w:rsidR="00FE1418">
        <w:t xml:space="preserve">Figure </w:t>
      </w:r>
      <w:r w:rsidR="00FE1418">
        <w:rPr>
          <w:noProof/>
        </w:rPr>
        <w:t>31</w:t>
      </w:r>
      <w:r>
        <w:fldChar w:fldCharType="end"/>
      </w:r>
      <w:r>
        <w:t xml:space="preserve"> </w:t>
      </w:r>
      <w:r w:rsidRPr="0016467D">
        <w:t xml:space="preserve">provides the </w:t>
      </w:r>
      <w:r>
        <w:t xml:space="preserve">next three years </w:t>
      </w:r>
      <w:r w:rsidRPr="0016467D">
        <w:t xml:space="preserve">of </w:t>
      </w:r>
      <w:r>
        <w:t xml:space="preserve">predicted </w:t>
      </w:r>
      <w:r w:rsidRPr="0016467D">
        <w:t xml:space="preserve">expenditure </w:t>
      </w:r>
      <w:r w:rsidR="005105E2">
        <w:t>should</w:t>
      </w:r>
      <w:r w:rsidR="004666C6">
        <w:t xml:space="preserve"> prices </w:t>
      </w:r>
      <w:r w:rsidR="00AE3CBB">
        <w:t>be backdated according to CPI and then</w:t>
      </w:r>
      <w:r w:rsidR="005105E2">
        <w:t xml:space="preserve"> indexation </w:t>
      </w:r>
      <w:r w:rsidR="009B2750">
        <w:t>be applied</w:t>
      </w:r>
      <w:r w:rsidR="005105E2">
        <w:t xml:space="preserve"> </w:t>
      </w:r>
      <w:r w:rsidR="00AE3CBB">
        <w:t>from 2023-24</w:t>
      </w:r>
      <w:r w:rsidR="0019149F">
        <w:t xml:space="preserve"> at the </w:t>
      </w:r>
      <w:r w:rsidR="0063602A">
        <w:t>five</w:t>
      </w:r>
      <w:r w:rsidR="0019149F">
        <w:t>-year June CPI average</w:t>
      </w:r>
      <w:r w:rsidRPr="0016467D">
        <w:t>.</w:t>
      </w:r>
    </w:p>
    <w:p w14:paraId="4151C8D4" w14:textId="00F4D0B5" w:rsidR="00216F5E" w:rsidRDefault="00216F5E" w:rsidP="00216F5E">
      <w:pPr>
        <w:pStyle w:val="Caption"/>
      </w:pPr>
      <w:bookmarkStart w:id="155" w:name="_Ref157418388"/>
      <w:bookmarkStart w:id="156" w:name="_Toc161743155"/>
      <w:r>
        <w:t xml:space="preserve">Figure </w:t>
      </w:r>
      <w:r>
        <w:fldChar w:fldCharType="begin"/>
      </w:r>
      <w:r>
        <w:instrText xml:space="preserve"> SEQ Figure \* ARABIC </w:instrText>
      </w:r>
      <w:r>
        <w:fldChar w:fldCharType="separate"/>
      </w:r>
      <w:r w:rsidR="00FE1418">
        <w:rPr>
          <w:noProof/>
        </w:rPr>
        <w:t>31</w:t>
      </w:r>
      <w:r>
        <w:rPr>
          <w:noProof/>
        </w:rPr>
        <w:fldChar w:fldCharType="end"/>
      </w:r>
      <w:bookmarkEnd w:id="155"/>
      <w:r>
        <w:t xml:space="preserve">: Expenditure </w:t>
      </w:r>
      <w:r w:rsidRPr="0026555E">
        <w:t xml:space="preserve">related to </w:t>
      </w:r>
      <w:r>
        <w:t xml:space="preserve">backdated and </w:t>
      </w:r>
      <w:r w:rsidRPr="0026555E">
        <w:t>ongoing indexation on unit</w:t>
      </w:r>
      <w:r>
        <w:t xml:space="preserve"> prices on the </w:t>
      </w:r>
      <w:proofErr w:type="gramStart"/>
      <w:r>
        <w:t>Scheme</w:t>
      </w:r>
      <w:bookmarkEnd w:id="156"/>
      <w:proofErr w:type="gramEnd"/>
    </w:p>
    <w:tbl>
      <w:tblPr>
        <w:tblStyle w:val="TableHealthConsultPurple"/>
        <w:tblpPr w:leftFromText="180" w:rightFromText="180" w:vertAnchor="text" w:horzAnchor="page" w:tblpX="8304" w:tblpY="146"/>
        <w:tblW w:w="2481" w:type="pct"/>
        <w:tblLayout w:type="fixed"/>
        <w:tblLook w:val="04A0" w:firstRow="1" w:lastRow="0" w:firstColumn="1" w:lastColumn="0" w:noHBand="0" w:noVBand="1"/>
      </w:tblPr>
      <w:tblGrid>
        <w:gridCol w:w="1133"/>
        <w:gridCol w:w="3261"/>
        <w:gridCol w:w="2836"/>
      </w:tblGrid>
      <w:tr w:rsidR="00216F5E" w:rsidRPr="00473E7E" w14:paraId="1DA2BAEB" w14:textId="77777777" w:rsidTr="007D6C48">
        <w:trPr>
          <w:cnfStyle w:val="100000000000" w:firstRow="1" w:lastRow="0" w:firstColumn="0" w:lastColumn="0" w:oddVBand="0" w:evenVBand="0" w:oddHBand="0" w:evenHBand="0" w:firstRowFirstColumn="0" w:firstRowLastColumn="0" w:lastRowFirstColumn="0" w:lastRowLastColumn="0"/>
          <w:trHeight w:val="418"/>
        </w:trPr>
        <w:tc>
          <w:tcPr>
            <w:cnfStyle w:val="001000000100" w:firstRow="0" w:lastRow="0" w:firstColumn="1" w:lastColumn="0" w:oddVBand="0" w:evenVBand="0" w:oddHBand="0" w:evenHBand="0" w:firstRowFirstColumn="1" w:firstRowLastColumn="0" w:lastRowFirstColumn="0" w:lastRowLastColumn="0"/>
            <w:tcW w:w="3039" w:type="pct"/>
            <w:gridSpan w:val="2"/>
            <w:noWrap/>
            <w:hideMark/>
          </w:tcPr>
          <w:p w14:paraId="7992461A" w14:textId="77777777" w:rsidR="00216F5E" w:rsidRPr="00473E7E" w:rsidRDefault="00216F5E" w:rsidP="005C7AC1">
            <w:pPr>
              <w:pStyle w:val="BodyText"/>
              <w:jc w:val="center"/>
              <w:rPr>
                <w:sz w:val="16"/>
                <w:szCs w:val="16"/>
                <w:lang w:eastAsia="en-AU"/>
              </w:rPr>
            </w:pPr>
            <w:r w:rsidRPr="00473E7E">
              <w:rPr>
                <w:sz w:val="16"/>
                <w:szCs w:val="16"/>
                <w:lang w:eastAsia="en-AU"/>
              </w:rPr>
              <w:t>Scenario</w:t>
            </w:r>
            <w:r>
              <w:rPr>
                <w:sz w:val="16"/>
                <w:szCs w:val="16"/>
                <w:lang w:eastAsia="en-AU"/>
              </w:rPr>
              <w:t>:</w:t>
            </w:r>
          </w:p>
        </w:tc>
        <w:tc>
          <w:tcPr>
            <w:tcW w:w="1961" w:type="pct"/>
            <w:noWrap/>
            <w:hideMark/>
          </w:tcPr>
          <w:p w14:paraId="7B985285" w14:textId="77777777" w:rsidR="00216F5E" w:rsidRPr="00473E7E" w:rsidRDefault="00216F5E" w:rsidP="005C7AC1">
            <w:pPr>
              <w:pStyle w:val="BodyText"/>
              <w:cnfStyle w:val="100000000000" w:firstRow="1" w:lastRow="0" w:firstColumn="0" w:lastColumn="0" w:oddVBand="0" w:evenVBand="0" w:oddHBand="0" w:evenHBand="0" w:firstRowFirstColumn="0" w:firstRowLastColumn="0" w:lastRowFirstColumn="0" w:lastRowLastColumn="0"/>
              <w:rPr>
                <w:bCs/>
                <w:sz w:val="16"/>
                <w:szCs w:val="16"/>
                <w:lang w:eastAsia="en-AU"/>
              </w:rPr>
            </w:pPr>
            <w:r w:rsidRPr="00473E7E">
              <w:rPr>
                <w:bCs/>
                <w:sz w:val="16"/>
                <w:szCs w:val="16"/>
                <w:lang w:eastAsia="en-AU"/>
              </w:rPr>
              <w:t>CPI indexation: backdated and ongoing annual adjustment</w:t>
            </w:r>
          </w:p>
        </w:tc>
      </w:tr>
      <w:tr w:rsidR="00E06877" w:rsidRPr="00473E7E" w14:paraId="72A713D7" w14:textId="77777777" w:rsidTr="007D6C48">
        <w:trPr>
          <w:trHeight w:val="335"/>
        </w:trPr>
        <w:tc>
          <w:tcPr>
            <w:cnfStyle w:val="001000000000" w:firstRow="0" w:lastRow="0" w:firstColumn="1" w:lastColumn="0" w:oddVBand="0" w:evenVBand="0" w:oddHBand="0" w:evenHBand="0" w:firstRowFirstColumn="0" w:firstRowLastColumn="0" w:lastRowFirstColumn="0" w:lastRowLastColumn="0"/>
            <w:tcW w:w="784" w:type="pct"/>
            <w:vMerge w:val="restart"/>
            <w:hideMark/>
          </w:tcPr>
          <w:p w14:paraId="0A17A0DB" w14:textId="77777777" w:rsidR="00E06877" w:rsidRPr="00473E7E" w:rsidRDefault="00E06877" w:rsidP="00E06877">
            <w:pPr>
              <w:pStyle w:val="BodyText"/>
              <w:rPr>
                <w:b w:val="0"/>
                <w:bCs/>
                <w:sz w:val="16"/>
                <w:szCs w:val="16"/>
                <w:lang w:eastAsia="en-AU"/>
              </w:rPr>
            </w:pPr>
            <w:r w:rsidRPr="00473E7E">
              <w:rPr>
                <w:bCs/>
                <w:sz w:val="16"/>
                <w:szCs w:val="16"/>
                <w:lang w:eastAsia="en-AU"/>
              </w:rPr>
              <w:t>2023-24</w:t>
            </w:r>
          </w:p>
        </w:tc>
        <w:tc>
          <w:tcPr>
            <w:tcW w:w="2255" w:type="pct"/>
            <w:hideMark/>
          </w:tcPr>
          <w:p w14:paraId="4782B84A" w14:textId="77777777" w:rsidR="00E06877" w:rsidRPr="00492A34" w:rsidRDefault="00E06877" w:rsidP="00E06877">
            <w:pPr>
              <w:pStyle w:val="BodyText"/>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492A34">
              <w:rPr>
                <w:b/>
                <w:bCs/>
                <w:sz w:val="16"/>
                <w:szCs w:val="16"/>
                <w:lang w:eastAsia="en-AU"/>
              </w:rPr>
              <w:t>Change in expenditure from predicted</w:t>
            </w:r>
          </w:p>
        </w:tc>
        <w:tc>
          <w:tcPr>
            <w:tcW w:w="1961" w:type="pct"/>
            <w:noWrap/>
            <w:vAlign w:val="center"/>
            <w:hideMark/>
          </w:tcPr>
          <w:p w14:paraId="7CE4DAB4" w14:textId="20B18F72" w:rsidR="00E06877" w:rsidRPr="00CC0C20" w:rsidRDefault="00E06877" w:rsidP="00E06877">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7D6C48">
              <w:rPr>
                <w:rFonts w:ascii="Poppins" w:hAnsi="Poppins" w:cs="Poppins"/>
                <w:b/>
                <w:bCs/>
                <w:color w:val="000000"/>
                <w:sz w:val="16"/>
                <w:szCs w:val="16"/>
              </w:rPr>
              <w:t xml:space="preserve">$11,255,981 </w:t>
            </w:r>
          </w:p>
        </w:tc>
      </w:tr>
      <w:tr w:rsidR="00E06877" w:rsidRPr="00473E7E" w14:paraId="3C0D681E" w14:textId="77777777" w:rsidTr="007D6C48">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784" w:type="pct"/>
            <w:vMerge/>
            <w:hideMark/>
          </w:tcPr>
          <w:p w14:paraId="0EB1010A" w14:textId="77777777" w:rsidR="00E06877" w:rsidRPr="00473E7E" w:rsidRDefault="00E06877" w:rsidP="00E06877">
            <w:pPr>
              <w:pStyle w:val="BodyText"/>
              <w:rPr>
                <w:bCs/>
                <w:sz w:val="16"/>
                <w:szCs w:val="16"/>
                <w:lang w:eastAsia="en-AU"/>
              </w:rPr>
            </w:pPr>
          </w:p>
        </w:tc>
        <w:tc>
          <w:tcPr>
            <w:tcW w:w="2255" w:type="pct"/>
            <w:hideMark/>
          </w:tcPr>
          <w:p w14:paraId="37819FB2" w14:textId="77777777" w:rsidR="00E06877" w:rsidRPr="00473E7E" w:rsidRDefault="00E06877" w:rsidP="00E06877">
            <w:pPr>
              <w:pStyle w:val="BodyText"/>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473E7E">
              <w:rPr>
                <w:bCs/>
                <w:sz w:val="16"/>
                <w:szCs w:val="16"/>
                <w:lang w:eastAsia="en-AU"/>
              </w:rPr>
              <w:t xml:space="preserve">Percentage change </w:t>
            </w:r>
          </w:p>
        </w:tc>
        <w:tc>
          <w:tcPr>
            <w:tcW w:w="1961" w:type="pct"/>
            <w:noWrap/>
            <w:vAlign w:val="center"/>
            <w:hideMark/>
          </w:tcPr>
          <w:p w14:paraId="02D838F3" w14:textId="067C4E9E" w:rsidR="00E06877" w:rsidRPr="00CC0C20" w:rsidRDefault="00CC0C20" w:rsidP="00E06877">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Pr>
                <w:rFonts w:ascii="Poppins" w:hAnsi="Poppins" w:cs="Poppins"/>
                <w:color w:val="000000"/>
                <w:sz w:val="16"/>
                <w:szCs w:val="16"/>
              </w:rPr>
              <w:t>+</w:t>
            </w:r>
            <w:r w:rsidR="00E06877" w:rsidRPr="00CC0C20">
              <w:rPr>
                <w:rFonts w:ascii="Poppins" w:hAnsi="Poppins" w:cs="Poppins"/>
                <w:color w:val="000000"/>
                <w:sz w:val="16"/>
                <w:szCs w:val="16"/>
              </w:rPr>
              <w:t>9.75%</w:t>
            </w:r>
          </w:p>
        </w:tc>
      </w:tr>
      <w:tr w:rsidR="00E06877" w:rsidRPr="00473E7E" w14:paraId="4A69F78A" w14:textId="77777777" w:rsidTr="007D6C48">
        <w:trPr>
          <w:trHeight w:val="470"/>
        </w:trPr>
        <w:tc>
          <w:tcPr>
            <w:cnfStyle w:val="001000000000" w:firstRow="0" w:lastRow="0" w:firstColumn="1" w:lastColumn="0" w:oddVBand="0" w:evenVBand="0" w:oddHBand="0" w:evenHBand="0" w:firstRowFirstColumn="0" w:firstRowLastColumn="0" w:lastRowFirstColumn="0" w:lastRowLastColumn="0"/>
            <w:tcW w:w="784" w:type="pct"/>
            <w:vMerge w:val="restart"/>
            <w:hideMark/>
          </w:tcPr>
          <w:p w14:paraId="69601653" w14:textId="77777777" w:rsidR="00E06877" w:rsidRPr="00473E7E" w:rsidRDefault="00E06877" w:rsidP="00E06877">
            <w:pPr>
              <w:pStyle w:val="BodyText"/>
              <w:rPr>
                <w:b w:val="0"/>
                <w:bCs/>
                <w:sz w:val="16"/>
                <w:szCs w:val="16"/>
                <w:lang w:eastAsia="en-AU"/>
              </w:rPr>
            </w:pPr>
            <w:r w:rsidRPr="00473E7E">
              <w:rPr>
                <w:bCs/>
                <w:sz w:val="16"/>
                <w:szCs w:val="16"/>
                <w:lang w:eastAsia="en-AU"/>
              </w:rPr>
              <w:t>2024-25</w:t>
            </w:r>
          </w:p>
        </w:tc>
        <w:tc>
          <w:tcPr>
            <w:tcW w:w="2255" w:type="pct"/>
            <w:hideMark/>
          </w:tcPr>
          <w:p w14:paraId="26454D50" w14:textId="77777777" w:rsidR="00E06877" w:rsidRPr="00492A34" w:rsidRDefault="00E06877" w:rsidP="00E06877">
            <w:pPr>
              <w:pStyle w:val="BodyText"/>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492A34">
              <w:rPr>
                <w:b/>
                <w:bCs/>
                <w:sz w:val="16"/>
                <w:szCs w:val="16"/>
                <w:lang w:eastAsia="en-AU"/>
              </w:rPr>
              <w:t>Change in expenditure</w:t>
            </w:r>
            <w:r w:rsidRPr="00492A34">
              <w:rPr>
                <w:b/>
                <w:bCs/>
                <w:sz w:val="16"/>
                <w:szCs w:val="16"/>
              </w:rPr>
              <w:t xml:space="preserve"> </w:t>
            </w:r>
            <w:r w:rsidRPr="00492A34">
              <w:rPr>
                <w:b/>
                <w:bCs/>
                <w:sz w:val="16"/>
                <w:szCs w:val="16"/>
                <w:lang w:eastAsia="en-AU"/>
              </w:rPr>
              <w:t>from predicted</w:t>
            </w:r>
          </w:p>
        </w:tc>
        <w:tc>
          <w:tcPr>
            <w:tcW w:w="1961" w:type="pct"/>
            <w:noWrap/>
            <w:vAlign w:val="center"/>
            <w:hideMark/>
          </w:tcPr>
          <w:p w14:paraId="4BB3C3C3" w14:textId="71FF255C" w:rsidR="00E06877" w:rsidRPr="00CC0C20" w:rsidRDefault="00E06877" w:rsidP="00E06877">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CC0C20">
              <w:rPr>
                <w:rFonts w:ascii="Poppins" w:hAnsi="Poppins" w:cs="Poppins"/>
                <w:b/>
                <w:bCs/>
                <w:color w:val="000000"/>
                <w:sz w:val="16"/>
                <w:szCs w:val="16"/>
              </w:rPr>
              <w:t>$16,363,480</w:t>
            </w:r>
            <w:r w:rsidRPr="00CC0C20">
              <w:rPr>
                <w:rFonts w:ascii="Poppins" w:hAnsi="Poppins" w:cs="Poppins"/>
                <w:color w:val="000000"/>
                <w:sz w:val="16"/>
                <w:szCs w:val="16"/>
              </w:rPr>
              <w:t xml:space="preserve"> </w:t>
            </w:r>
          </w:p>
        </w:tc>
      </w:tr>
      <w:tr w:rsidR="00E06877" w:rsidRPr="00473E7E" w14:paraId="24CCBB05" w14:textId="77777777" w:rsidTr="007D6C48">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784" w:type="pct"/>
            <w:vMerge/>
            <w:hideMark/>
          </w:tcPr>
          <w:p w14:paraId="5E4A51F5" w14:textId="77777777" w:rsidR="00E06877" w:rsidRPr="00473E7E" w:rsidRDefault="00E06877" w:rsidP="00E06877">
            <w:pPr>
              <w:pStyle w:val="BodyText"/>
              <w:rPr>
                <w:bCs/>
                <w:sz w:val="16"/>
                <w:szCs w:val="16"/>
                <w:lang w:eastAsia="en-AU"/>
              </w:rPr>
            </w:pPr>
          </w:p>
        </w:tc>
        <w:tc>
          <w:tcPr>
            <w:tcW w:w="2255" w:type="pct"/>
            <w:hideMark/>
          </w:tcPr>
          <w:p w14:paraId="64370243" w14:textId="77777777" w:rsidR="00E06877" w:rsidRPr="00473E7E" w:rsidRDefault="00E06877" w:rsidP="00E06877">
            <w:pPr>
              <w:pStyle w:val="BodyText"/>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473E7E">
              <w:rPr>
                <w:bCs/>
                <w:sz w:val="16"/>
                <w:szCs w:val="16"/>
                <w:lang w:eastAsia="en-AU"/>
              </w:rPr>
              <w:t xml:space="preserve">Percentage change </w:t>
            </w:r>
          </w:p>
        </w:tc>
        <w:tc>
          <w:tcPr>
            <w:tcW w:w="1961" w:type="pct"/>
            <w:noWrap/>
            <w:vAlign w:val="center"/>
            <w:hideMark/>
          </w:tcPr>
          <w:p w14:paraId="2D5EB183" w14:textId="55101380" w:rsidR="00E06877" w:rsidRPr="00CC0C20" w:rsidRDefault="00CC0C20" w:rsidP="00E06877">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Pr>
                <w:rFonts w:ascii="Poppins" w:hAnsi="Poppins" w:cs="Poppins"/>
                <w:color w:val="000000"/>
                <w:sz w:val="16"/>
                <w:szCs w:val="16"/>
              </w:rPr>
              <w:t>+</w:t>
            </w:r>
            <w:r w:rsidR="00E06877" w:rsidRPr="00CC0C20">
              <w:rPr>
                <w:rFonts w:ascii="Poppins" w:hAnsi="Poppins" w:cs="Poppins"/>
                <w:color w:val="000000"/>
                <w:sz w:val="16"/>
                <w:szCs w:val="16"/>
              </w:rPr>
              <w:t>13.53%</w:t>
            </w:r>
          </w:p>
        </w:tc>
      </w:tr>
      <w:tr w:rsidR="00E06877" w:rsidRPr="00473E7E" w14:paraId="02719B88" w14:textId="77777777" w:rsidTr="007D6C48">
        <w:trPr>
          <w:trHeight w:val="335"/>
        </w:trPr>
        <w:tc>
          <w:tcPr>
            <w:cnfStyle w:val="001000000000" w:firstRow="0" w:lastRow="0" w:firstColumn="1" w:lastColumn="0" w:oddVBand="0" w:evenVBand="0" w:oddHBand="0" w:evenHBand="0" w:firstRowFirstColumn="0" w:firstRowLastColumn="0" w:lastRowFirstColumn="0" w:lastRowLastColumn="0"/>
            <w:tcW w:w="784" w:type="pct"/>
            <w:vMerge w:val="restart"/>
            <w:hideMark/>
          </w:tcPr>
          <w:p w14:paraId="5D2F6CC8" w14:textId="645410B2" w:rsidR="00E06877" w:rsidRPr="00473E7E" w:rsidRDefault="00E06877" w:rsidP="00E06877">
            <w:pPr>
              <w:pStyle w:val="BodyText"/>
              <w:rPr>
                <w:b w:val="0"/>
                <w:bCs/>
                <w:sz w:val="16"/>
                <w:szCs w:val="16"/>
                <w:lang w:eastAsia="en-AU"/>
              </w:rPr>
            </w:pPr>
            <w:r w:rsidRPr="00473E7E">
              <w:rPr>
                <w:bCs/>
                <w:sz w:val="16"/>
                <w:szCs w:val="16"/>
                <w:lang w:eastAsia="en-AU"/>
              </w:rPr>
              <w:t>2025-26</w:t>
            </w:r>
          </w:p>
        </w:tc>
        <w:tc>
          <w:tcPr>
            <w:tcW w:w="2255" w:type="pct"/>
            <w:hideMark/>
          </w:tcPr>
          <w:p w14:paraId="7F6D16CF" w14:textId="77777777" w:rsidR="00E06877" w:rsidRPr="00492A34" w:rsidRDefault="00E06877" w:rsidP="00E06877">
            <w:pPr>
              <w:pStyle w:val="BodyText"/>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492A34">
              <w:rPr>
                <w:b/>
                <w:bCs/>
                <w:sz w:val="16"/>
                <w:szCs w:val="16"/>
                <w:lang w:eastAsia="en-AU"/>
              </w:rPr>
              <w:t>Change in expenditure</w:t>
            </w:r>
            <w:r w:rsidRPr="00492A34">
              <w:rPr>
                <w:b/>
                <w:bCs/>
                <w:sz w:val="16"/>
                <w:szCs w:val="16"/>
              </w:rPr>
              <w:t xml:space="preserve"> </w:t>
            </w:r>
            <w:r w:rsidRPr="00492A34">
              <w:rPr>
                <w:b/>
                <w:bCs/>
                <w:sz w:val="16"/>
                <w:szCs w:val="16"/>
                <w:lang w:eastAsia="en-AU"/>
              </w:rPr>
              <w:t>from predicted</w:t>
            </w:r>
          </w:p>
        </w:tc>
        <w:tc>
          <w:tcPr>
            <w:tcW w:w="1961" w:type="pct"/>
            <w:noWrap/>
            <w:vAlign w:val="center"/>
            <w:hideMark/>
          </w:tcPr>
          <w:p w14:paraId="17110175" w14:textId="749F450A" w:rsidR="00E06877" w:rsidRPr="00CC0C20" w:rsidRDefault="00E06877" w:rsidP="00E06877">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7D6C48">
              <w:rPr>
                <w:rFonts w:ascii="Poppins" w:hAnsi="Poppins" w:cs="Poppins"/>
                <w:b/>
                <w:bCs/>
                <w:color w:val="000000"/>
                <w:sz w:val="16"/>
                <w:szCs w:val="16"/>
              </w:rPr>
              <w:t xml:space="preserve">$22,100,577 </w:t>
            </w:r>
          </w:p>
        </w:tc>
      </w:tr>
      <w:tr w:rsidR="00E06877" w:rsidRPr="00473E7E" w14:paraId="5D4E4375" w14:textId="77777777" w:rsidTr="007D6C48">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784" w:type="pct"/>
            <w:vMerge/>
            <w:hideMark/>
          </w:tcPr>
          <w:p w14:paraId="5B686275" w14:textId="77777777" w:rsidR="00E06877" w:rsidRPr="00473E7E" w:rsidRDefault="00E06877" w:rsidP="00E06877">
            <w:pPr>
              <w:pStyle w:val="BodyText"/>
              <w:rPr>
                <w:sz w:val="16"/>
                <w:szCs w:val="16"/>
                <w:lang w:eastAsia="en-AU"/>
              </w:rPr>
            </w:pPr>
          </w:p>
        </w:tc>
        <w:tc>
          <w:tcPr>
            <w:tcW w:w="2255" w:type="pct"/>
            <w:hideMark/>
          </w:tcPr>
          <w:p w14:paraId="4E96093B" w14:textId="68ABD15B" w:rsidR="00E06877" w:rsidRPr="00473E7E" w:rsidRDefault="00E06877" w:rsidP="00E06877">
            <w:pPr>
              <w:pStyle w:val="BodyText"/>
              <w:cnfStyle w:val="000000010000" w:firstRow="0" w:lastRow="0" w:firstColumn="0" w:lastColumn="0" w:oddVBand="0" w:evenVBand="0" w:oddHBand="0" w:evenHBand="1" w:firstRowFirstColumn="0" w:firstRowLastColumn="0" w:lastRowFirstColumn="0" w:lastRowLastColumn="0"/>
              <w:rPr>
                <w:sz w:val="16"/>
                <w:szCs w:val="16"/>
                <w:lang w:eastAsia="en-AU"/>
              </w:rPr>
            </w:pPr>
            <w:r w:rsidRPr="00473E7E">
              <w:rPr>
                <w:sz w:val="16"/>
                <w:szCs w:val="16"/>
                <w:lang w:eastAsia="en-AU"/>
              </w:rPr>
              <w:t>Percentage change</w:t>
            </w:r>
          </w:p>
        </w:tc>
        <w:tc>
          <w:tcPr>
            <w:tcW w:w="1961" w:type="pct"/>
            <w:noWrap/>
            <w:vAlign w:val="center"/>
            <w:hideMark/>
          </w:tcPr>
          <w:p w14:paraId="6CED0E66" w14:textId="7212B024" w:rsidR="00E06877" w:rsidRPr="00CC0C20" w:rsidRDefault="00CC0C20" w:rsidP="00E06877">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Pr>
                <w:rFonts w:ascii="Poppins" w:hAnsi="Poppins" w:cs="Poppins"/>
                <w:color w:val="000000"/>
                <w:sz w:val="16"/>
                <w:szCs w:val="16"/>
              </w:rPr>
              <w:t>+</w:t>
            </w:r>
            <w:r w:rsidR="00E06877" w:rsidRPr="00CC0C20">
              <w:rPr>
                <w:rFonts w:ascii="Poppins" w:hAnsi="Poppins" w:cs="Poppins"/>
                <w:color w:val="000000"/>
                <w:sz w:val="16"/>
                <w:szCs w:val="16"/>
              </w:rPr>
              <w:t>17.43%</w:t>
            </w:r>
          </w:p>
        </w:tc>
      </w:tr>
    </w:tbl>
    <w:p w14:paraId="1E7EC8A1" w14:textId="6A71DE8B" w:rsidR="00216F5E" w:rsidRDefault="00B73B9F" w:rsidP="00216F5E">
      <w:r>
        <w:rPr>
          <w:noProof/>
        </w:rPr>
        <w:drawing>
          <wp:inline distT="0" distB="0" distL="0" distR="0" wp14:anchorId="50EEA621" wp14:editId="3222DA9D">
            <wp:extent cx="4371340" cy="2840990"/>
            <wp:effectExtent l="0" t="0" r="0" b="0"/>
            <wp:docPr id="819335678" name="Picture 1" descr="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335678" name="Picture 1" descr="Figure "/>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71340" cy="2840990"/>
                    </a:xfrm>
                    <a:prstGeom prst="rect">
                      <a:avLst/>
                    </a:prstGeom>
                    <a:noFill/>
                  </pic:spPr>
                </pic:pic>
              </a:graphicData>
            </a:graphic>
          </wp:inline>
        </w:drawing>
      </w:r>
    </w:p>
    <w:p w14:paraId="00E39C43" w14:textId="2519800A" w:rsidR="00216F5E" w:rsidRDefault="004220CB" w:rsidP="00216F5E">
      <w:r w:rsidRPr="004220CB">
        <w:rPr>
          <w:noProof/>
        </w:rPr>
        <w:t xml:space="preserve"> </w:t>
      </w:r>
    </w:p>
    <w:p w14:paraId="36EE6CAA" w14:textId="55C09292" w:rsidR="00216F5E" w:rsidRDefault="00216F5E" w:rsidP="006261FB">
      <w:pPr>
        <w:pStyle w:val="AltHeading3"/>
      </w:pPr>
      <w:r>
        <w:lastRenderedPageBreak/>
        <w:t>Scenario 1</w:t>
      </w:r>
      <w:r w:rsidR="004A7112">
        <w:t>5</w:t>
      </w:r>
      <w:r>
        <w:t xml:space="preserve">: Changes in benchmark pricing for </w:t>
      </w:r>
      <w:r w:rsidR="005D3E21">
        <w:t xml:space="preserve">core </w:t>
      </w:r>
      <w:r>
        <w:t>products</w:t>
      </w:r>
    </w:p>
    <w:p w14:paraId="73CB83AE" w14:textId="72A657AF" w:rsidR="00216F5E" w:rsidRDefault="00216F5E" w:rsidP="00216F5E">
      <w:r>
        <w:t>Stakeholder feedback suggested that prices on the Australia</w:t>
      </w:r>
      <w:r w:rsidR="005D3E21">
        <w:t>n</w:t>
      </w:r>
      <w:r>
        <w:t xml:space="preserve"> Scheme be increased to align with international product pricing more closely. A one-off price increase was tested, currently at 10% although further increases can be tested via the Financial Model provided to the Department separately. The </w:t>
      </w:r>
      <w:r w:rsidRPr="002B285C">
        <w:t>following shows expenditure given a one-off 10% price increase for the benchmark price of core products (product groups 1 to 7 on the Scheme) in any given year.</w:t>
      </w:r>
      <w:r w:rsidRPr="00093A57">
        <w:rPr>
          <w:rStyle w:val="FootnoteReference"/>
          <w:b w:val="0"/>
          <w:bCs/>
          <w:color w:val="auto"/>
        </w:rPr>
        <w:footnoteReference w:id="49"/>
      </w:r>
      <w:r w:rsidR="0091078B">
        <w:t xml:space="preserve"> </w:t>
      </w:r>
    </w:p>
    <w:p w14:paraId="6187B247" w14:textId="6152E23D" w:rsidR="00216F5E" w:rsidRDefault="00216F5E" w:rsidP="00216F5E">
      <w:r w:rsidRPr="0016467D">
        <w:t xml:space="preserve">It was found that </w:t>
      </w:r>
      <w:r>
        <w:t>this scenario</w:t>
      </w:r>
      <w:r w:rsidRPr="0016467D">
        <w:t xml:space="preserve"> </w:t>
      </w:r>
      <w:r>
        <w:t>could</w:t>
      </w:r>
      <w:r w:rsidRPr="00B63E1C">
        <w:t xml:space="preserve"> result in a</w:t>
      </w:r>
      <w:r>
        <w:t>dditional</w:t>
      </w:r>
      <w:r w:rsidRPr="00B63E1C">
        <w:t xml:space="preserve"> cost of</w:t>
      </w:r>
      <w:r>
        <w:t xml:space="preserve"> </w:t>
      </w:r>
      <w:r w:rsidRPr="00813B8A">
        <w:rPr>
          <w:b/>
        </w:rPr>
        <w:t>$</w:t>
      </w:r>
      <w:r w:rsidR="00850FD7" w:rsidRPr="000E7601">
        <w:rPr>
          <w:b/>
          <w:bCs/>
        </w:rPr>
        <w:t>7,764,193</w:t>
      </w:r>
      <w:r w:rsidR="00850FD7" w:rsidRPr="00850FD7">
        <w:t xml:space="preserve"> </w:t>
      </w:r>
      <w:r w:rsidRPr="00B10000">
        <w:rPr>
          <w:b/>
          <w:bCs/>
        </w:rPr>
        <w:t>in FY2</w:t>
      </w:r>
      <w:r w:rsidR="00850FD7">
        <w:rPr>
          <w:b/>
          <w:bCs/>
        </w:rPr>
        <w:t>5</w:t>
      </w:r>
      <w:r w:rsidRPr="00B10000">
        <w:rPr>
          <w:b/>
          <w:bCs/>
        </w:rPr>
        <w:t>-2</w:t>
      </w:r>
      <w:r w:rsidR="00850FD7">
        <w:rPr>
          <w:b/>
          <w:bCs/>
        </w:rPr>
        <w:t>6</w:t>
      </w:r>
      <w:r w:rsidRPr="00B10000">
        <w:rPr>
          <w:b/>
          <w:bCs/>
        </w:rPr>
        <w:t xml:space="preserve"> (a 6.</w:t>
      </w:r>
      <w:r w:rsidR="00850FD7">
        <w:rPr>
          <w:b/>
          <w:bCs/>
        </w:rPr>
        <w:t>1</w:t>
      </w:r>
      <w:r w:rsidRPr="00B10000">
        <w:rPr>
          <w:b/>
          <w:bCs/>
        </w:rPr>
        <w:t xml:space="preserve">2% increase in </w:t>
      </w:r>
      <w:r w:rsidR="003D4785">
        <w:rPr>
          <w:b/>
          <w:bCs/>
        </w:rPr>
        <w:t xml:space="preserve">predicted </w:t>
      </w:r>
      <w:r w:rsidRPr="00B10000">
        <w:rPr>
          <w:b/>
          <w:bCs/>
        </w:rPr>
        <w:t>expenditure for the Scheme</w:t>
      </w:r>
      <w:r w:rsidR="003D4785">
        <w:rPr>
          <w:b/>
          <w:bCs/>
        </w:rPr>
        <w:t xml:space="preserve"> without the one-off increase</w:t>
      </w:r>
      <w:r w:rsidRPr="00B10000">
        <w:rPr>
          <w:b/>
          <w:bCs/>
        </w:rPr>
        <w:t>).</w:t>
      </w:r>
      <w:r>
        <w:t xml:space="preserve"> </w:t>
      </w:r>
      <w:r>
        <w:fldChar w:fldCharType="begin"/>
      </w:r>
      <w:r>
        <w:instrText xml:space="preserve"> REF _Ref157419027 \h </w:instrText>
      </w:r>
      <w:r>
        <w:fldChar w:fldCharType="separate"/>
      </w:r>
      <w:r w:rsidR="00FE1418">
        <w:t xml:space="preserve">Figure </w:t>
      </w:r>
      <w:r w:rsidR="00FE1418">
        <w:rPr>
          <w:noProof/>
        </w:rPr>
        <w:t>32</w:t>
      </w:r>
      <w:r>
        <w:fldChar w:fldCharType="end"/>
      </w:r>
      <w:r>
        <w:t xml:space="preserve"> </w:t>
      </w:r>
      <w:r w:rsidRPr="0016467D">
        <w:t xml:space="preserve">provides three years </w:t>
      </w:r>
      <w:r>
        <w:t xml:space="preserve">of </w:t>
      </w:r>
      <w:r w:rsidR="00850FD7">
        <w:t xml:space="preserve">forecast </w:t>
      </w:r>
      <w:r>
        <w:t xml:space="preserve">expenditure </w:t>
      </w:r>
      <w:r w:rsidRPr="0016467D">
        <w:t xml:space="preserve">related to this </w:t>
      </w:r>
      <w:r w:rsidR="000227C7">
        <w:t>S</w:t>
      </w:r>
      <w:r w:rsidRPr="0016467D">
        <w:t>cenario.</w:t>
      </w:r>
    </w:p>
    <w:p w14:paraId="2DCF489A" w14:textId="7A233D98" w:rsidR="00216F5E" w:rsidRDefault="00216F5E" w:rsidP="00216F5E">
      <w:pPr>
        <w:pStyle w:val="Caption"/>
      </w:pPr>
      <w:bookmarkStart w:id="157" w:name="_Ref157419027"/>
      <w:bookmarkStart w:id="158" w:name="_Toc161743156"/>
      <w:r>
        <w:t xml:space="preserve">Figure </w:t>
      </w:r>
      <w:r>
        <w:fldChar w:fldCharType="begin"/>
      </w:r>
      <w:r>
        <w:instrText xml:space="preserve"> SEQ Figure \* ARABIC </w:instrText>
      </w:r>
      <w:r>
        <w:fldChar w:fldCharType="separate"/>
      </w:r>
      <w:r w:rsidR="00FE1418">
        <w:rPr>
          <w:noProof/>
        </w:rPr>
        <w:t>32</w:t>
      </w:r>
      <w:r>
        <w:rPr>
          <w:noProof/>
        </w:rPr>
        <w:fldChar w:fldCharType="end"/>
      </w:r>
      <w:bookmarkEnd w:id="157"/>
      <w:r>
        <w:t xml:space="preserve">: Expenditure </w:t>
      </w:r>
      <w:r w:rsidRPr="00EF4F08">
        <w:t xml:space="preserve">related to </w:t>
      </w:r>
      <w:r>
        <w:t>a one-off increase in benchmark prices for core products</w:t>
      </w:r>
      <w:r w:rsidRPr="00EF4F08">
        <w:t xml:space="preserve"> on the </w:t>
      </w:r>
      <w:proofErr w:type="gramStart"/>
      <w:r w:rsidRPr="00EF4F08">
        <w:t>Scheme</w:t>
      </w:r>
      <w:bookmarkEnd w:id="158"/>
      <w:proofErr w:type="gramEnd"/>
    </w:p>
    <w:tbl>
      <w:tblPr>
        <w:tblStyle w:val="TableHealthConsultPurple"/>
        <w:tblpPr w:leftFromText="180" w:rightFromText="180" w:vertAnchor="text" w:horzAnchor="margin" w:tblpXSpec="right" w:tblpY="337"/>
        <w:tblW w:w="2476" w:type="pct"/>
        <w:tblLayout w:type="fixed"/>
        <w:tblLook w:val="04A0" w:firstRow="1" w:lastRow="0" w:firstColumn="1" w:lastColumn="0" w:noHBand="0" w:noVBand="1"/>
      </w:tblPr>
      <w:tblGrid>
        <w:gridCol w:w="993"/>
        <w:gridCol w:w="3176"/>
        <w:gridCol w:w="3046"/>
      </w:tblGrid>
      <w:tr w:rsidR="00216F5E" w:rsidRPr="000C575C" w14:paraId="7FDF6AFA" w14:textId="77777777" w:rsidTr="00EC289B">
        <w:trPr>
          <w:cnfStyle w:val="100000000000" w:firstRow="1" w:lastRow="0" w:firstColumn="0" w:lastColumn="0" w:oddVBand="0" w:evenVBand="0" w:oddHBand="0" w:evenHBand="0" w:firstRowFirstColumn="0" w:firstRowLastColumn="0" w:lastRowFirstColumn="0" w:lastRowLastColumn="0"/>
          <w:trHeight w:val="387"/>
        </w:trPr>
        <w:tc>
          <w:tcPr>
            <w:cnfStyle w:val="001000000100" w:firstRow="0" w:lastRow="0" w:firstColumn="1" w:lastColumn="0" w:oddVBand="0" w:evenVBand="0" w:oddHBand="0" w:evenHBand="0" w:firstRowFirstColumn="1" w:firstRowLastColumn="0" w:lastRowFirstColumn="0" w:lastRowLastColumn="0"/>
            <w:tcW w:w="2889" w:type="pct"/>
            <w:gridSpan w:val="2"/>
            <w:noWrap/>
            <w:hideMark/>
          </w:tcPr>
          <w:p w14:paraId="04210AA0" w14:textId="77777777" w:rsidR="00216F5E" w:rsidRPr="000C575C" w:rsidRDefault="00216F5E" w:rsidP="005C7AC1">
            <w:pPr>
              <w:pStyle w:val="BodyText"/>
              <w:jc w:val="center"/>
              <w:rPr>
                <w:sz w:val="16"/>
                <w:szCs w:val="16"/>
                <w:lang w:eastAsia="en-AU"/>
              </w:rPr>
            </w:pPr>
            <w:r w:rsidRPr="000C575C">
              <w:rPr>
                <w:sz w:val="16"/>
                <w:szCs w:val="16"/>
                <w:lang w:eastAsia="en-AU"/>
              </w:rPr>
              <w:t>Scenario</w:t>
            </w:r>
            <w:r>
              <w:rPr>
                <w:sz w:val="16"/>
                <w:szCs w:val="16"/>
                <w:lang w:eastAsia="en-AU"/>
              </w:rPr>
              <w:t>:</w:t>
            </w:r>
          </w:p>
        </w:tc>
        <w:tc>
          <w:tcPr>
            <w:tcW w:w="2111" w:type="pct"/>
            <w:noWrap/>
            <w:hideMark/>
          </w:tcPr>
          <w:p w14:paraId="02A144F7" w14:textId="77777777" w:rsidR="00216F5E" w:rsidRPr="000C575C" w:rsidRDefault="00216F5E" w:rsidP="005C7AC1">
            <w:pPr>
              <w:pStyle w:val="BodyText"/>
              <w:cnfStyle w:val="100000000000" w:firstRow="1" w:lastRow="0" w:firstColumn="0" w:lastColumn="0" w:oddVBand="0" w:evenVBand="0" w:oddHBand="0" w:evenHBand="0" w:firstRowFirstColumn="0" w:firstRowLastColumn="0" w:lastRowFirstColumn="0" w:lastRowLastColumn="0"/>
              <w:rPr>
                <w:bCs/>
                <w:sz w:val="16"/>
                <w:szCs w:val="16"/>
                <w:lang w:eastAsia="en-AU"/>
              </w:rPr>
            </w:pPr>
            <w:r w:rsidRPr="000C575C">
              <w:rPr>
                <w:bCs/>
                <w:sz w:val="16"/>
                <w:szCs w:val="16"/>
                <w:lang w:eastAsia="en-AU"/>
              </w:rPr>
              <w:t>One-off (10%) increase in benchmark prices for core products</w:t>
            </w:r>
          </w:p>
        </w:tc>
      </w:tr>
      <w:tr w:rsidR="00216F5E" w:rsidRPr="000C575C" w14:paraId="0D8B9E4C" w14:textId="77777777" w:rsidTr="00EC289B">
        <w:trPr>
          <w:trHeight w:val="310"/>
        </w:trPr>
        <w:tc>
          <w:tcPr>
            <w:cnfStyle w:val="001000000000" w:firstRow="0" w:lastRow="0" w:firstColumn="1" w:lastColumn="0" w:oddVBand="0" w:evenVBand="0" w:oddHBand="0" w:evenHBand="0" w:firstRowFirstColumn="0" w:firstRowLastColumn="0" w:lastRowFirstColumn="0" w:lastRowLastColumn="0"/>
            <w:tcW w:w="688" w:type="pct"/>
            <w:vMerge w:val="restart"/>
          </w:tcPr>
          <w:p w14:paraId="39180251" w14:textId="0C8B0616" w:rsidR="00216F5E" w:rsidRPr="000C575C" w:rsidRDefault="00E66180" w:rsidP="005C7AC1">
            <w:pPr>
              <w:pStyle w:val="BodyText"/>
              <w:rPr>
                <w:b w:val="0"/>
                <w:bCs/>
                <w:sz w:val="16"/>
                <w:szCs w:val="16"/>
                <w:lang w:eastAsia="en-AU"/>
              </w:rPr>
            </w:pPr>
            <w:r w:rsidRPr="00473E7E">
              <w:rPr>
                <w:bCs/>
                <w:sz w:val="16"/>
                <w:szCs w:val="16"/>
                <w:lang w:eastAsia="en-AU"/>
              </w:rPr>
              <w:t>2023-24</w:t>
            </w:r>
          </w:p>
        </w:tc>
        <w:tc>
          <w:tcPr>
            <w:tcW w:w="2201" w:type="pct"/>
          </w:tcPr>
          <w:p w14:paraId="691DB3D1" w14:textId="77777777" w:rsidR="00216F5E" w:rsidRPr="006607FA" w:rsidRDefault="00216F5E" w:rsidP="005C7AC1">
            <w:pPr>
              <w:pStyle w:val="BodyText"/>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6607FA">
              <w:rPr>
                <w:b/>
                <w:bCs/>
                <w:sz w:val="16"/>
                <w:szCs w:val="16"/>
                <w:lang w:eastAsia="en-AU"/>
              </w:rPr>
              <w:t>Change in expenditure from current</w:t>
            </w:r>
          </w:p>
        </w:tc>
        <w:tc>
          <w:tcPr>
            <w:tcW w:w="2111" w:type="pct"/>
            <w:noWrap/>
            <w:vAlign w:val="center"/>
          </w:tcPr>
          <w:p w14:paraId="33884353" w14:textId="4C752F91" w:rsidR="00216F5E" w:rsidRPr="006607FA" w:rsidRDefault="00F66E25" w:rsidP="005C7AC1">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0E7601">
              <w:rPr>
                <w:rFonts w:ascii="Poppins" w:hAnsi="Poppins" w:cs="Poppins"/>
                <w:b/>
                <w:bCs/>
                <w:color w:val="000000"/>
                <w:sz w:val="16"/>
                <w:szCs w:val="16"/>
              </w:rPr>
              <w:t xml:space="preserve">$7,213,057 </w:t>
            </w:r>
          </w:p>
        </w:tc>
      </w:tr>
      <w:tr w:rsidR="00216F5E" w:rsidRPr="000C575C" w14:paraId="5D3AA6C8" w14:textId="77777777" w:rsidTr="00EC289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88" w:type="pct"/>
            <w:vMerge/>
          </w:tcPr>
          <w:p w14:paraId="4044869A" w14:textId="77777777" w:rsidR="00216F5E" w:rsidRPr="000C575C" w:rsidRDefault="00216F5E" w:rsidP="005C7AC1">
            <w:pPr>
              <w:pStyle w:val="BodyText"/>
              <w:rPr>
                <w:b w:val="0"/>
                <w:bCs/>
                <w:sz w:val="16"/>
                <w:szCs w:val="16"/>
                <w:lang w:eastAsia="en-AU"/>
              </w:rPr>
            </w:pPr>
          </w:p>
        </w:tc>
        <w:tc>
          <w:tcPr>
            <w:tcW w:w="2201" w:type="pct"/>
          </w:tcPr>
          <w:p w14:paraId="1FEC963E" w14:textId="77777777" w:rsidR="00216F5E" w:rsidRPr="000C575C" w:rsidRDefault="00216F5E" w:rsidP="005C7AC1">
            <w:pPr>
              <w:pStyle w:val="BodyText"/>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0C575C">
              <w:rPr>
                <w:bCs/>
                <w:sz w:val="16"/>
                <w:szCs w:val="16"/>
                <w:lang w:eastAsia="en-AU"/>
              </w:rPr>
              <w:t xml:space="preserve">Percentage change </w:t>
            </w:r>
          </w:p>
        </w:tc>
        <w:tc>
          <w:tcPr>
            <w:tcW w:w="2111" w:type="pct"/>
            <w:noWrap/>
            <w:vAlign w:val="center"/>
          </w:tcPr>
          <w:p w14:paraId="524C8943" w14:textId="46AEA2A5" w:rsidR="00216F5E" w:rsidRPr="000C575C" w:rsidRDefault="00F66E25" w:rsidP="005C7AC1">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rPr>
            </w:pPr>
            <w:r>
              <w:rPr>
                <w:rFonts w:ascii="Poppins" w:hAnsi="Poppins" w:cs="Poppins"/>
                <w:color w:val="000000"/>
                <w:sz w:val="16"/>
                <w:szCs w:val="16"/>
              </w:rPr>
              <w:t>+</w:t>
            </w:r>
            <w:r w:rsidRPr="000E7601">
              <w:rPr>
                <w:rFonts w:ascii="Poppins" w:hAnsi="Poppins" w:cs="Poppins"/>
                <w:color w:val="000000"/>
                <w:sz w:val="16"/>
                <w:szCs w:val="16"/>
              </w:rPr>
              <w:t>6.25%</w:t>
            </w:r>
          </w:p>
        </w:tc>
      </w:tr>
      <w:tr w:rsidR="00216F5E" w:rsidRPr="000C575C" w14:paraId="0FEF0373" w14:textId="77777777" w:rsidTr="00EC289B">
        <w:trPr>
          <w:trHeight w:val="310"/>
        </w:trPr>
        <w:tc>
          <w:tcPr>
            <w:cnfStyle w:val="001000000000" w:firstRow="0" w:lastRow="0" w:firstColumn="1" w:lastColumn="0" w:oddVBand="0" w:evenVBand="0" w:oddHBand="0" w:evenHBand="0" w:firstRowFirstColumn="0" w:firstRowLastColumn="0" w:lastRowFirstColumn="0" w:lastRowLastColumn="0"/>
            <w:tcW w:w="688" w:type="pct"/>
            <w:vMerge w:val="restart"/>
          </w:tcPr>
          <w:p w14:paraId="2E1D1F86" w14:textId="34A26D08" w:rsidR="00216F5E" w:rsidRPr="000C575C" w:rsidRDefault="00E66180" w:rsidP="005C7AC1">
            <w:pPr>
              <w:pStyle w:val="BodyText"/>
              <w:rPr>
                <w:b w:val="0"/>
                <w:bCs/>
                <w:sz w:val="16"/>
                <w:szCs w:val="16"/>
                <w:lang w:eastAsia="en-AU"/>
              </w:rPr>
            </w:pPr>
            <w:r w:rsidRPr="00473E7E">
              <w:rPr>
                <w:bCs/>
                <w:sz w:val="16"/>
                <w:szCs w:val="16"/>
                <w:lang w:eastAsia="en-AU"/>
              </w:rPr>
              <w:t>2024-25</w:t>
            </w:r>
          </w:p>
        </w:tc>
        <w:tc>
          <w:tcPr>
            <w:tcW w:w="2201" w:type="pct"/>
          </w:tcPr>
          <w:p w14:paraId="2E4F1B7E" w14:textId="77777777" w:rsidR="00216F5E" w:rsidRPr="006607FA" w:rsidRDefault="00216F5E" w:rsidP="005C7AC1">
            <w:pPr>
              <w:pStyle w:val="BodyText"/>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6607FA">
              <w:rPr>
                <w:b/>
                <w:bCs/>
                <w:sz w:val="16"/>
                <w:szCs w:val="16"/>
                <w:lang w:eastAsia="en-AU"/>
              </w:rPr>
              <w:t>Change in expenditure from current</w:t>
            </w:r>
          </w:p>
        </w:tc>
        <w:tc>
          <w:tcPr>
            <w:tcW w:w="2111" w:type="pct"/>
            <w:noWrap/>
            <w:vAlign w:val="center"/>
          </w:tcPr>
          <w:p w14:paraId="2BDE7303" w14:textId="563DA49F" w:rsidR="00216F5E" w:rsidRPr="006607FA" w:rsidRDefault="00F66E25" w:rsidP="005C7AC1">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0E7601">
              <w:rPr>
                <w:rFonts w:ascii="Poppins" w:hAnsi="Poppins" w:cs="Poppins"/>
                <w:b/>
                <w:bCs/>
                <w:color w:val="000000"/>
                <w:sz w:val="16"/>
                <w:szCs w:val="16"/>
              </w:rPr>
              <w:t xml:space="preserve">$7,479,361 </w:t>
            </w:r>
          </w:p>
        </w:tc>
      </w:tr>
      <w:tr w:rsidR="00216F5E" w:rsidRPr="000C575C" w14:paraId="660F40D2" w14:textId="77777777" w:rsidTr="00EC289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88" w:type="pct"/>
            <w:vMerge/>
          </w:tcPr>
          <w:p w14:paraId="5F63FF95" w14:textId="77777777" w:rsidR="00216F5E" w:rsidRPr="000C575C" w:rsidRDefault="00216F5E" w:rsidP="005C7AC1">
            <w:pPr>
              <w:pStyle w:val="BodyText"/>
              <w:rPr>
                <w:b w:val="0"/>
                <w:bCs/>
                <w:sz w:val="16"/>
                <w:szCs w:val="16"/>
                <w:lang w:eastAsia="en-AU"/>
              </w:rPr>
            </w:pPr>
          </w:p>
        </w:tc>
        <w:tc>
          <w:tcPr>
            <w:tcW w:w="2201" w:type="pct"/>
          </w:tcPr>
          <w:p w14:paraId="1A50E8CC" w14:textId="77777777" w:rsidR="00216F5E" w:rsidRPr="000C575C" w:rsidRDefault="00216F5E" w:rsidP="005C7AC1">
            <w:pPr>
              <w:pStyle w:val="BodyText"/>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0C575C">
              <w:rPr>
                <w:bCs/>
                <w:sz w:val="16"/>
                <w:szCs w:val="16"/>
                <w:lang w:eastAsia="en-AU"/>
              </w:rPr>
              <w:t xml:space="preserve">Percentage change </w:t>
            </w:r>
          </w:p>
        </w:tc>
        <w:tc>
          <w:tcPr>
            <w:tcW w:w="2111" w:type="pct"/>
            <w:noWrap/>
            <w:vAlign w:val="center"/>
          </w:tcPr>
          <w:p w14:paraId="2CFFA2A4" w14:textId="15E14400" w:rsidR="00216F5E" w:rsidRPr="000C575C" w:rsidRDefault="00F66E25" w:rsidP="005C7AC1">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rPr>
            </w:pPr>
            <w:r>
              <w:rPr>
                <w:rFonts w:ascii="Poppins" w:hAnsi="Poppins" w:cs="Poppins"/>
                <w:color w:val="000000"/>
                <w:sz w:val="16"/>
                <w:szCs w:val="16"/>
              </w:rPr>
              <w:t>+</w:t>
            </w:r>
            <w:r w:rsidRPr="000E7601">
              <w:rPr>
                <w:rFonts w:ascii="Poppins" w:hAnsi="Poppins" w:cs="Poppins"/>
                <w:color w:val="000000"/>
                <w:sz w:val="16"/>
                <w:szCs w:val="16"/>
              </w:rPr>
              <w:t>6.18%</w:t>
            </w:r>
          </w:p>
        </w:tc>
      </w:tr>
      <w:tr w:rsidR="00216F5E" w:rsidRPr="000C575C" w14:paraId="7C228173" w14:textId="77777777" w:rsidTr="00EC289B">
        <w:trPr>
          <w:trHeight w:val="310"/>
        </w:trPr>
        <w:tc>
          <w:tcPr>
            <w:cnfStyle w:val="001000000000" w:firstRow="0" w:lastRow="0" w:firstColumn="1" w:lastColumn="0" w:oddVBand="0" w:evenVBand="0" w:oddHBand="0" w:evenHBand="0" w:firstRowFirstColumn="0" w:firstRowLastColumn="0" w:lastRowFirstColumn="0" w:lastRowLastColumn="0"/>
            <w:tcW w:w="688" w:type="pct"/>
            <w:vMerge w:val="restart"/>
          </w:tcPr>
          <w:p w14:paraId="7236B0EC" w14:textId="7DFA7E7A" w:rsidR="00216F5E" w:rsidRPr="000C575C" w:rsidRDefault="00E66180" w:rsidP="005C7AC1">
            <w:pPr>
              <w:pStyle w:val="BodyText"/>
              <w:rPr>
                <w:b w:val="0"/>
                <w:bCs/>
                <w:sz w:val="16"/>
                <w:szCs w:val="16"/>
                <w:lang w:eastAsia="en-AU"/>
              </w:rPr>
            </w:pPr>
            <w:r w:rsidRPr="00473E7E">
              <w:rPr>
                <w:bCs/>
                <w:sz w:val="16"/>
                <w:szCs w:val="16"/>
                <w:lang w:eastAsia="en-AU"/>
              </w:rPr>
              <w:t>2025-26</w:t>
            </w:r>
          </w:p>
        </w:tc>
        <w:tc>
          <w:tcPr>
            <w:tcW w:w="2201" w:type="pct"/>
          </w:tcPr>
          <w:p w14:paraId="372E3882" w14:textId="77777777" w:rsidR="00216F5E" w:rsidRPr="006607FA" w:rsidRDefault="00216F5E" w:rsidP="005C7AC1">
            <w:pPr>
              <w:pStyle w:val="BodyText"/>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6607FA">
              <w:rPr>
                <w:b/>
                <w:bCs/>
                <w:sz w:val="16"/>
                <w:szCs w:val="16"/>
                <w:lang w:eastAsia="en-AU"/>
              </w:rPr>
              <w:t>Change in expenditure from current</w:t>
            </w:r>
          </w:p>
        </w:tc>
        <w:tc>
          <w:tcPr>
            <w:tcW w:w="2111" w:type="pct"/>
            <w:noWrap/>
            <w:vAlign w:val="center"/>
          </w:tcPr>
          <w:p w14:paraId="033AA6ED" w14:textId="0DD2FD4B" w:rsidR="00216F5E" w:rsidRPr="006607FA" w:rsidRDefault="00F66E25" w:rsidP="005C7AC1">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0E7601">
              <w:rPr>
                <w:rFonts w:ascii="Poppins" w:hAnsi="Poppins" w:cs="Poppins"/>
                <w:b/>
                <w:bCs/>
                <w:color w:val="000000"/>
                <w:sz w:val="16"/>
                <w:szCs w:val="16"/>
              </w:rPr>
              <w:t xml:space="preserve">$7,764,193 </w:t>
            </w:r>
          </w:p>
        </w:tc>
      </w:tr>
      <w:tr w:rsidR="00216F5E" w:rsidRPr="000C575C" w14:paraId="720437D8" w14:textId="77777777" w:rsidTr="00EC289B">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688" w:type="pct"/>
            <w:vMerge/>
          </w:tcPr>
          <w:p w14:paraId="52CD1130" w14:textId="77777777" w:rsidR="00216F5E" w:rsidRPr="000C575C" w:rsidRDefault="00216F5E" w:rsidP="005C7AC1">
            <w:pPr>
              <w:pStyle w:val="BodyText"/>
              <w:rPr>
                <w:b w:val="0"/>
                <w:bCs/>
                <w:sz w:val="16"/>
                <w:szCs w:val="16"/>
                <w:lang w:eastAsia="en-AU"/>
              </w:rPr>
            </w:pPr>
          </w:p>
        </w:tc>
        <w:tc>
          <w:tcPr>
            <w:tcW w:w="2201" w:type="pct"/>
          </w:tcPr>
          <w:p w14:paraId="20194B50" w14:textId="77777777" w:rsidR="00216F5E" w:rsidRPr="000C575C" w:rsidRDefault="00216F5E" w:rsidP="005C7AC1">
            <w:pPr>
              <w:pStyle w:val="BodyText"/>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0C575C">
              <w:rPr>
                <w:bCs/>
                <w:sz w:val="16"/>
                <w:szCs w:val="16"/>
                <w:lang w:eastAsia="en-AU"/>
              </w:rPr>
              <w:t xml:space="preserve">Percentage change </w:t>
            </w:r>
          </w:p>
        </w:tc>
        <w:tc>
          <w:tcPr>
            <w:tcW w:w="2111" w:type="pct"/>
            <w:noWrap/>
            <w:vAlign w:val="center"/>
          </w:tcPr>
          <w:p w14:paraId="056AEC9F" w14:textId="724BDA2B" w:rsidR="00216F5E" w:rsidRPr="000C575C" w:rsidRDefault="00F66E25" w:rsidP="005C7AC1">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rPr>
            </w:pPr>
            <w:r>
              <w:rPr>
                <w:rFonts w:ascii="Poppins" w:hAnsi="Poppins" w:cs="Poppins"/>
                <w:color w:val="000000"/>
                <w:sz w:val="16"/>
                <w:szCs w:val="16"/>
              </w:rPr>
              <w:t>+</w:t>
            </w:r>
            <w:r w:rsidRPr="000E7601">
              <w:rPr>
                <w:rFonts w:ascii="Poppins" w:hAnsi="Poppins" w:cs="Poppins"/>
                <w:color w:val="000000"/>
                <w:sz w:val="16"/>
                <w:szCs w:val="16"/>
              </w:rPr>
              <w:t>6.12%</w:t>
            </w:r>
          </w:p>
        </w:tc>
      </w:tr>
    </w:tbl>
    <w:p w14:paraId="26DF607E" w14:textId="62FD9F1A" w:rsidR="00216F5E" w:rsidRDefault="00E66180" w:rsidP="00216F5E">
      <w:pPr>
        <w:rPr>
          <w:b/>
          <w:bCs/>
        </w:rPr>
      </w:pPr>
      <w:r>
        <w:rPr>
          <w:b/>
          <w:bCs/>
          <w:noProof/>
        </w:rPr>
        <w:drawing>
          <wp:inline distT="0" distB="0" distL="0" distR="0" wp14:anchorId="2F2A9FFF" wp14:editId="3A57799E">
            <wp:extent cx="4238625" cy="2850841"/>
            <wp:effectExtent l="0" t="0" r="0" b="6985"/>
            <wp:docPr id="1892705129" name="Picture 1" descr="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705129" name="Picture 1" descr="Figure "/>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41876" cy="2853027"/>
                    </a:xfrm>
                    <a:prstGeom prst="rect">
                      <a:avLst/>
                    </a:prstGeom>
                    <a:noFill/>
                  </pic:spPr>
                </pic:pic>
              </a:graphicData>
            </a:graphic>
          </wp:inline>
        </w:drawing>
      </w:r>
    </w:p>
    <w:p w14:paraId="68035269" w14:textId="5DA069F8" w:rsidR="00E66180" w:rsidRDefault="00E66180" w:rsidP="00216F5E">
      <w:pPr>
        <w:rPr>
          <w:b/>
          <w:bCs/>
        </w:rPr>
      </w:pPr>
    </w:p>
    <w:p w14:paraId="62858189" w14:textId="6BF416A4" w:rsidR="00216F5E" w:rsidRDefault="00216F5E" w:rsidP="00216F5E">
      <w:pPr>
        <w:keepNext/>
        <w:keepLines/>
        <w:spacing w:before="300" w:after="200" w:line="240" w:lineRule="atLeast"/>
        <w:outlineLvl w:val="2"/>
        <w:rPr>
          <w:rFonts w:asciiTheme="majorHAnsi" w:eastAsiaTheme="majorEastAsia" w:hAnsiTheme="majorHAnsi" w:cstheme="majorBidi"/>
          <w:b/>
          <w:color w:val="C60C30" w:themeColor="accent2"/>
          <w:spacing w:val="4"/>
          <w:sz w:val="22"/>
          <w:szCs w:val="28"/>
        </w:rPr>
      </w:pPr>
      <w:r w:rsidRPr="00EF10E8">
        <w:rPr>
          <w:rFonts w:asciiTheme="majorHAnsi" w:eastAsiaTheme="majorEastAsia" w:hAnsiTheme="majorHAnsi" w:cstheme="majorBidi"/>
          <w:b/>
          <w:color w:val="C60C30" w:themeColor="accent2"/>
          <w:spacing w:val="4"/>
          <w:sz w:val="22"/>
          <w:szCs w:val="28"/>
        </w:rPr>
        <w:lastRenderedPageBreak/>
        <w:t>Scenario 1</w:t>
      </w:r>
      <w:r w:rsidR="004A7112">
        <w:rPr>
          <w:rFonts w:asciiTheme="majorHAnsi" w:eastAsiaTheme="majorEastAsia" w:hAnsiTheme="majorHAnsi" w:cstheme="majorBidi"/>
          <w:b/>
          <w:color w:val="C60C30" w:themeColor="accent2"/>
          <w:spacing w:val="4"/>
          <w:sz w:val="22"/>
          <w:szCs w:val="28"/>
        </w:rPr>
        <w:t>6</w:t>
      </w:r>
      <w:r w:rsidRPr="00EF10E8">
        <w:rPr>
          <w:rFonts w:asciiTheme="majorHAnsi" w:eastAsiaTheme="majorEastAsia" w:hAnsiTheme="majorHAnsi" w:cstheme="majorBidi"/>
          <w:b/>
          <w:color w:val="C60C30" w:themeColor="accent2"/>
          <w:spacing w:val="4"/>
          <w:sz w:val="22"/>
          <w:szCs w:val="28"/>
        </w:rPr>
        <w:t xml:space="preserve">: Changes in </w:t>
      </w:r>
      <w:r>
        <w:rPr>
          <w:rFonts w:asciiTheme="majorHAnsi" w:eastAsiaTheme="majorEastAsia" w:hAnsiTheme="majorHAnsi" w:cstheme="majorBidi"/>
          <w:b/>
          <w:color w:val="C60C30" w:themeColor="accent2"/>
          <w:spacing w:val="4"/>
          <w:sz w:val="22"/>
          <w:szCs w:val="28"/>
        </w:rPr>
        <w:t>premium</w:t>
      </w:r>
      <w:r w:rsidRPr="00EF10E8">
        <w:rPr>
          <w:rFonts w:asciiTheme="majorHAnsi" w:eastAsiaTheme="majorEastAsia" w:hAnsiTheme="majorHAnsi" w:cstheme="majorBidi"/>
          <w:b/>
          <w:color w:val="C60C30" w:themeColor="accent2"/>
          <w:spacing w:val="4"/>
          <w:sz w:val="22"/>
          <w:szCs w:val="28"/>
        </w:rPr>
        <w:t xml:space="preserve"> pricing for </w:t>
      </w:r>
      <w:r>
        <w:rPr>
          <w:rFonts w:asciiTheme="majorHAnsi" w:eastAsiaTheme="majorEastAsia" w:hAnsiTheme="majorHAnsi" w:cstheme="majorBidi"/>
          <w:b/>
          <w:color w:val="C60C30" w:themeColor="accent2"/>
          <w:spacing w:val="4"/>
          <w:sz w:val="22"/>
          <w:szCs w:val="28"/>
        </w:rPr>
        <w:t>select</w:t>
      </w:r>
      <w:r w:rsidRPr="00EF10E8">
        <w:rPr>
          <w:rFonts w:asciiTheme="majorHAnsi" w:eastAsiaTheme="majorEastAsia" w:hAnsiTheme="majorHAnsi" w:cstheme="majorBidi"/>
          <w:b/>
          <w:color w:val="C60C30" w:themeColor="accent2"/>
          <w:spacing w:val="4"/>
          <w:sz w:val="22"/>
          <w:szCs w:val="28"/>
        </w:rPr>
        <w:t xml:space="preserve"> </w:t>
      </w:r>
      <w:proofErr w:type="gramStart"/>
      <w:r w:rsidRPr="00EF10E8">
        <w:rPr>
          <w:rFonts w:asciiTheme="majorHAnsi" w:eastAsiaTheme="majorEastAsia" w:hAnsiTheme="majorHAnsi" w:cstheme="majorBidi"/>
          <w:b/>
          <w:color w:val="C60C30" w:themeColor="accent2"/>
          <w:spacing w:val="4"/>
          <w:sz w:val="22"/>
          <w:szCs w:val="28"/>
        </w:rPr>
        <w:t>products</w:t>
      </w:r>
      <w:proofErr w:type="gramEnd"/>
    </w:p>
    <w:p w14:paraId="36C754B7" w14:textId="16DDCE64" w:rsidR="00216F5E" w:rsidRPr="00B10000" w:rsidRDefault="00216F5E" w:rsidP="00216F5E">
      <w:r w:rsidRPr="00B10000">
        <w:t>A one-off price increase was tested as an alternative price</w:t>
      </w:r>
      <w:r w:rsidR="006A60F2">
        <w:t>-</w:t>
      </w:r>
      <w:r w:rsidRPr="00B10000">
        <w:t xml:space="preserve">setting mechanism </w:t>
      </w:r>
      <w:r>
        <w:t>to bring prices closer to international comparators</w:t>
      </w:r>
      <w:r w:rsidRPr="00B10000">
        <w:t xml:space="preserve">. The following shows expenditure given a one-off price increase for </w:t>
      </w:r>
      <w:r>
        <w:t>the premium price of</w:t>
      </w:r>
      <w:r w:rsidRPr="00B10000">
        <w:t xml:space="preserve"> products (product groups 1 to 7 on the Scheme) in any given year.</w:t>
      </w:r>
      <w:r w:rsidR="0062784C" w:rsidRPr="0062784C">
        <w:rPr>
          <w:rStyle w:val="FootnoteReference"/>
          <w:b w:val="0"/>
          <w:bCs/>
          <w:color w:val="auto"/>
        </w:rPr>
        <w:t xml:space="preserve"> </w:t>
      </w:r>
      <w:r w:rsidR="0062784C" w:rsidRPr="00093A57">
        <w:rPr>
          <w:rStyle w:val="FootnoteReference"/>
          <w:b w:val="0"/>
          <w:bCs/>
          <w:color w:val="auto"/>
        </w:rPr>
        <w:footnoteReference w:id="50"/>
      </w:r>
    </w:p>
    <w:p w14:paraId="1809B232" w14:textId="3F2AD171" w:rsidR="00216F5E" w:rsidRDefault="00216F5E" w:rsidP="00216F5E">
      <w:r w:rsidRPr="0016467D">
        <w:t xml:space="preserve">It was found that </w:t>
      </w:r>
      <w:r>
        <w:t>this scenario</w:t>
      </w:r>
      <w:r w:rsidRPr="0016467D">
        <w:t xml:space="preserve"> </w:t>
      </w:r>
      <w:r w:rsidR="006C051F">
        <w:t>c</w:t>
      </w:r>
      <w:r w:rsidRPr="00B63E1C">
        <w:t>ould result in a</w:t>
      </w:r>
      <w:r>
        <w:t>dditional</w:t>
      </w:r>
      <w:r w:rsidRPr="00B63E1C">
        <w:t xml:space="preserve"> cost of</w:t>
      </w:r>
      <w:r>
        <w:t xml:space="preserve"> </w:t>
      </w:r>
      <w:r w:rsidRPr="00813B8A">
        <w:rPr>
          <w:b/>
        </w:rPr>
        <w:t>$</w:t>
      </w:r>
      <w:r w:rsidR="006C051F" w:rsidRPr="000E7601">
        <w:rPr>
          <w:b/>
          <w:bCs/>
        </w:rPr>
        <w:t>199,934</w:t>
      </w:r>
      <w:r w:rsidR="006C051F" w:rsidRPr="006C051F">
        <w:t xml:space="preserve"> </w:t>
      </w:r>
      <w:r w:rsidRPr="00B10000">
        <w:rPr>
          <w:b/>
          <w:bCs/>
        </w:rPr>
        <w:t>in FY2</w:t>
      </w:r>
      <w:r w:rsidR="006C051F">
        <w:rPr>
          <w:b/>
          <w:bCs/>
        </w:rPr>
        <w:t>5</w:t>
      </w:r>
      <w:r w:rsidRPr="00B10000">
        <w:rPr>
          <w:b/>
          <w:bCs/>
        </w:rPr>
        <w:t>-2</w:t>
      </w:r>
      <w:r w:rsidR="006C051F">
        <w:rPr>
          <w:b/>
          <w:bCs/>
        </w:rPr>
        <w:t>6</w:t>
      </w:r>
      <w:r w:rsidRPr="00B10000">
        <w:rPr>
          <w:b/>
          <w:bCs/>
        </w:rPr>
        <w:t xml:space="preserve"> (</w:t>
      </w:r>
      <w:r>
        <w:rPr>
          <w:b/>
          <w:bCs/>
        </w:rPr>
        <w:t>a 0.1</w:t>
      </w:r>
      <w:r w:rsidR="006C051F">
        <w:rPr>
          <w:b/>
          <w:bCs/>
        </w:rPr>
        <w:t>6</w:t>
      </w:r>
      <w:r w:rsidRPr="00B10000">
        <w:rPr>
          <w:b/>
          <w:bCs/>
        </w:rPr>
        <w:t xml:space="preserve">% increase in </w:t>
      </w:r>
      <w:r w:rsidR="003D4785">
        <w:rPr>
          <w:b/>
          <w:bCs/>
        </w:rPr>
        <w:t>predicted</w:t>
      </w:r>
      <w:r w:rsidRPr="00B10000">
        <w:rPr>
          <w:b/>
          <w:bCs/>
        </w:rPr>
        <w:t xml:space="preserve"> expenditure for the Scheme</w:t>
      </w:r>
      <w:r w:rsidR="003D4785">
        <w:rPr>
          <w:b/>
          <w:bCs/>
        </w:rPr>
        <w:t xml:space="preserve"> without the one-off increase</w:t>
      </w:r>
      <w:r w:rsidRPr="00B10000">
        <w:rPr>
          <w:b/>
          <w:bCs/>
        </w:rPr>
        <w:t>).</w:t>
      </w:r>
      <w:r>
        <w:t xml:space="preserve"> </w:t>
      </w:r>
      <w:r>
        <w:fldChar w:fldCharType="begin"/>
      </w:r>
      <w:r>
        <w:instrText xml:space="preserve"> REF _Ref157419137 \h </w:instrText>
      </w:r>
      <w:r>
        <w:fldChar w:fldCharType="separate"/>
      </w:r>
      <w:r w:rsidR="00FE1418">
        <w:t xml:space="preserve">Figure </w:t>
      </w:r>
      <w:r w:rsidR="00FE1418">
        <w:rPr>
          <w:noProof/>
        </w:rPr>
        <w:t>33</w:t>
      </w:r>
      <w:r>
        <w:fldChar w:fldCharType="end"/>
      </w:r>
      <w:r>
        <w:t xml:space="preserve"> </w:t>
      </w:r>
      <w:r w:rsidRPr="0016467D">
        <w:t xml:space="preserve">provides three years </w:t>
      </w:r>
      <w:r>
        <w:t xml:space="preserve">of </w:t>
      </w:r>
      <w:r w:rsidR="00341318">
        <w:t xml:space="preserve">forecast </w:t>
      </w:r>
      <w:r>
        <w:t xml:space="preserve">expenditure </w:t>
      </w:r>
      <w:r w:rsidRPr="0016467D">
        <w:t>related to this scenario</w:t>
      </w:r>
      <w:r>
        <w:t>.</w:t>
      </w:r>
    </w:p>
    <w:p w14:paraId="4705E71B" w14:textId="01B8B3B5" w:rsidR="00216F5E" w:rsidRPr="00460362" w:rsidRDefault="00216F5E" w:rsidP="00216F5E">
      <w:pPr>
        <w:pStyle w:val="Caption"/>
        <w:rPr>
          <w:b/>
        </w:rPr>
      </w:pPr>
      <w:bookmarkStart w:id="159" w:name="_Ref157419137"/>
      <w:bookmarkStart w:id="160" w:name="_Toc161743157"/>
      <w:r>
        <w:t xml:space="preserve">Figure </w:t>
      </w:r>
      <w:r>
        <w:fldChar w:fldCharType="begin"/>
      </w:r>
      <w:r>
        <w:instrText xml:space="preserve"> SEQ Figure \* ARABIC </w:instrText>
      </w:r>
      <w:r>
        <w:fldChar w:fldCharType="separate"/>
      </w:r>
      <w:r w:rsidR="00FE1418">
        <w:rPr>
          <w:noProof/>
        </w:rPr>
        <w:t>33</w:t>
      </w:r>
      <w:r>
        <w:rPr>
          <w:noProof/>
        </w:rPr>
        <w:fldChar w:fldCharType="end"/>
      </w:r>
      <w:bookmarkEnd w:id="159"/>
      <w:r>
        <w:t xml:space="preserve">: Expenditure </w:t>
      </w:r>
      <w:r w:rsidRPr="00F7023F">
        <w:t xml:space="preserve">related to a one-off increase in </w:t>
      </w:r>
      <w:r>
        <w:t>premium</w:t>
      </w:r>
      <w:r w:rsidRPr="00F7023F">
        <w:t xml:space="preserve"> prices for </w:t>
      </w:r>
      <w:r>
        <w:t>select</w:t>
      </w:r>
      <w:r w:rsidRPr="00F7023F">
        <w:t xml:space="preserve"> products on the </w:t>
      </w:r>
      <w:proofErr w:type="gramStart"/>
      <w:r w:rsidRPr="00F7023F">
        <w:t>Scheme</w:t>
      </w:r>
      <w:bookmarkEnd w:id="160"/>
      <w:proofErr w:type="gramEnd"/>
    </w:p>
    <w:tbl>
      <w:tblPr>
        <w:tblStyle w:val="TableHealthConsultPurple"/>
        <w:tblpPr w:leftFromText="180" w:rightFromText="180" w:vertAnchor="text" w:horzAnchor="page" w:tblpX="8268" w:tblpY="229"/>
        <w:tblW w:w="2403" w:type="pct"/>
        <w:tblLayout w:type="fixed"/>
        <w:tblLook w:val="04A0" w:firstRow="1" w:lastRow="0" w:firstColumn="1" w:lastColumn="0" w:noHBand="0" w:noVBand="1"/>
      </w:tblPr>
      <w:tblGrid>
        <w:gridCol w:w="1134"/>
        <w:gridCol w:w="3119"/>
        <w:gridCol w:w="2749"/>
      </w:tblGrid>
      <w:tr w:rsidR="00216F5E" w:rsidRPr="00BB729B" w14:paraId="7DAA94D3" w14:textId="77777777" w:rsidTr="007E6903">
        <w:trPr>
          <w:cnfStyle w:val="100000000000" w:firstRow="1" w:lastRow="0" w:firstColumn="0" w:lastColumn="0" w:oddVBand="0" w:evenVBand="0" w:oddHBand="0" w:evenHBand="0" w:firstRowFirstColumn="0" w:firstRowLastColumn="0" w:lastRowFirstColumn="0" w:lastRowLastColumn="0"/>
          <w:trHeight w:val="469"/>
        </w:trPr>
        <w:tc>
          <w:tcPr>
            <w:cnfStyle w:val="001000000100" w:firstRow="0" w:lastRow="0" w:firstColumn="1" w:lastColumn="0" w:oddVBand="0" w:evenVBand="0" w:oddHBand="0" w:evenHBand="0" w:firstRowFirstColumn="1" w:firstRowLastColumn="0" w:lastRowFirstColumn="0" w:lastRowLastColumn="0"/>
            <w:tcW w:w="3037" w:type="pct"/>
            <w:gridSpan w:val="2"/>
            <w:noWrap/>
            <w:hideMark/>
          </w:tcPr>
          <w:p w14:paraId="487FC077" w14:textId="77777777" w:rsidR="00216F5E" w:rsidRPr="00BB729B" w:rsidRDefault="00216F5E" w:rsidP="005C7AC1">
            <w:pPr>
              <w:pStyle w:val="BodyText"/>
              <w:jc w:val="center"/>
              <w:rPr>
                <w:sz w:val="16"/>
                <w:szCs w:val="16"/>
                <w:lang w:eastAsia="en-AU"/>
              </w:rPr>
            </w:pPr>
            <w:r w:rsidRPr="00BB729B">
              <w:rPr>
                <w:sz w:val="16"/>
                <w:szCs w:val="16"/>
                <w:lang w:eastAsia="en-AU"/>
              </w:rPr>
              <w:t>Scenario</w:t>
            </w:r>
            <w:r>
              <w:rPr>
                <w:sz w:val="16"/>
                <w:szCs w:val="16"/>
                <w:lang w:eastAsia="en-AU"/>
              </w:rPr>
              <w:t>:</w:t>
            </w:r>
          </w:p>
        </w:tc>
        <w:tc>
          <w:tcPr>
            <w:tcW w:w="1963" w:type="pct"/>
            <w:noWrap/>
            <w:hideMark/>
          </w:tcPr>
          <w:p w14:paraId="68075DE9" w14:textId="77777777" w:rsidR="00216F5E" w:rsidRPr="00BB729B" w:rsidRDefault="00216F5E" w:rsidP="005C7AC1">
            <w:pPr>
              <w:pStyle w:val="BodyText"/>
              <w:cnfStyle w:val="100000000000" w:firstRow="1" w:lastRow="0" w:firstColumn="0" w:lastColumn="0" w:oddVBand="0" w:evenVBand="0" w:oddHBand="0" w:evenHBand="0" w:firstRowFirstColumn="0" w:firstRowLastColumn="0" w:lastRowFirstColumn="0" w:lastRowLastColumn="0"/>
              <w:rPr>
                <w:bCs/>
                <w:sz w:val="16"/>
                <w:szCs w:val="16"/>
                <w:lang w:eastAsia="en-AU"/>
              </w:rPr>
            </w:pPr>
            <w:r w:rsidRPr="00BB729B">
              <w:rPr>
                <w:bCs/>
                <w:sz w:val="16"/>
                <w:szCs w:val="16"/>
                <w:lang w:eastAsia="en-AU"/>
              </w:rPr>
              <w:t>One-off (10%) increase in premium prices for select products</w:t>
            </w:r>
          </w:p>
        </w:tc>
      </w:tr>
      <w:tr w:rsidR="00216F5E" w:rsidRPr="00BB729B" w14:paraId="6E912717" w14:textId="77777777" w:rsidTr="007E6903">
        <w:trPr>
          <w:trHeight w:val="375"/>
        </w:trPr>
        <w:tc>
          <w:tcPr>
            <w:cnfStyle w:val="001000000000" w:firstRow="0" w:lastRow="0" w:firstColumn="1" w:lastColumn="0" w:oddVBand="0" w:evenVBand="0" w:oddHBand="0" w:evenHBand="0" w:firstRowFirstColumn="0" w:firstRowLastColumn="0" w:lastRowFirstColumn="0" w:lastRowLastColumn="0"/>
            <w:tcW w:w="810" w:type="pct"/>
            <w:vMerge w:val="restart"/>
          </w:tcPr>
          <w:p w14:paraId="141C530C" w14:textId="11669D21" w:rsidR="00216F5E" w:rsidRPr="00BB729B" w:rsidRDefault="002B4487" w:rsidP="005C7AC1">
            <w:pPr>
              <w:pStyle w:val="BodyText"/>
              <w:rPr>
                <w:b w:val="0"/>
                <w:bCs/>
                <w:sz w:val="16"/>
                <w:szCs w:val="16"/>
                <w:lang w:eastAsia="en-AU"/>
              </w:rPr>
            </w:pPr>
            <w:r w:rsidRPr="00473E7E">
              <w:rPr>
                <w:bCs/>
                <w:sz w:val="16"/>
                <w:szCs w:val="16"/>
                <w:lang w:eastAsia="en-AU"/>
              </w:rPr>
              <w:t>2023-24</w:t>
            </w:r>
          </w:p>
        </w:tc>
        <w:tc>
          <w:tcPr>
            <w:tcW w:w="2227" w:type="pct"/>
          </w:tcPr>
          <w:p w14:paraId="1DAAB885" w14:textId="77777777" w:rsidR="00216F5E" w:rsidRPr="00A40C95" w:rsidRDefault="00216F5E" w:rsidP="005C7AC1">
            <w:pPr>
              <w:pStyle w:val="BodyText"/>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A40C95">
              <w:rPr>
                <w:b/>
                <w:bCs/>
                <w:sz w:val="16"/>
                <w:szCs w:val="16"/>
                <w:lang w:eastAsia="en-AU"/>
              </w:rPr>
              <w:t>Change in expenditure from current</w:t>
            </w:r>
          </w:p>
        </w:tc>
        <w:tc>
          <w:tcPr>
            <w:tcW w:w="1963" w:type="pct"/>
            <w:noWrap/>
            <w:vAlign w:val="center"/>
          </w:tcPr>
          <w:p w14:paraId="397592E5" w14:textId="28A6ADF1" w:rsidR="00216F5E" w:rsidRPr="00A40C95" w:rsidRDefault="00614C2E" w:rsidP="005C7AC1">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0E7601">
              <w:rPr>
                <w:rFonts w:ascii="Poppins" w:hAnsi="Poppins" w:cs="Poppins"/>
                <w:b/>
                <w:bCs/>
                <w:color w:val="000000"/>
                <w:sz w:val="16"/>
                <w:szCs w:val="16"/>
              </w:rPr>
              <w:t xml:space="preserve">$179,570 </w:t>
            </w:r>
          </w:p>
        </w:tc>
      </w:tr>
      <w:tr w:rsidR="00216F5E" w:rsidRPr="00BB729B" w14:paraId="655A57BE" w14:textId="77777777" w:rsidTr="007E6903">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10" w:type="pct"/>
            <w:vMerge/>
          </w:tcPr>
          <w:p w14:paraId="51959DA2" w14:textId="77777777" w:rsidR="00216F5E" w:rsidRPr="00BB729B" w:rsidRDefault="00216F5E" w:rsidP="005C7AC1">
            <w:pPr>
              <w:pStyle w:val="BodyText"/>
              <w:rPr>
                <w:b w:val="0"/>
                <w:bCs/>
                <w:sz w:val="16"/>
                <w:szCs w:val="16"/>
                <w:lang w:eastAsia="en-AU"/>
              </w:rPr>
            </w:pPr>
          </w:p>
        </w:tc>
        <w:tc>
          <w:tcPr>
            <w:tcW w:w="2227" w:type="pct"/>
          </w:tcPr>
          <w:p w14:paraId="73CD287D" w14:textId="77777777" w:rsidR="00216F5E" w:rsidRPr="00BB729B" w:rsidRDefault="00216F5E" w:rsidP="005C7AC1">
            <w:pPr>
              <w:pStyle w:val="BodyText"/>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BB729B">
              <w:rPr>
                <w:bCs/>
                <w:sz w:val="16"/>
                <w:szCs w:val="16"/>
                <w:lang w:eastAsia="en-AU"/>
              </w:rPr>
              <w:t xml:space="preserve">Percentage change </w:t>
            </w:r>
          </w:p>
        </w:tc>
        <w:tc>
          <w:tcPr>
            <w:tcW w:w="1963" w:type="pct"/>
            <w:noWrap/>
            <w:vAlign w:val="center"/>
          </w:tcPr>
          <w:p w14:paraId="20973F0B" w14:textId="1D6BBDCF" w:rsidR="00216F5E" w:rsidRPr="00BB729B" w:rsidRDefault="00614C2E" w:rsidP="005C7AC1">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rPr>
            </w:pPr>
            <w:r>
              <w:rPr>
                <w:rFonts w:ascii="Poppins" w:hAnsi="Poppins" w:cs="Poppins"/>
                <w:color w:val="000000"/>
                <w:sz w:val="16"/>
                <w:szCs w:val="16"/>
              </w:rPr>
              <w:t>+</w:t>
            </w:r>
            <w:r w:rsidRPr="000E7601">
              <w:rPr>
                <w:rFonts w:ascii="Poppins" w:hAnsi="Poppins" w:cs="Poppins"/>
                <w:color w:val="000000"/>
                <w:sz w:val="16"/>
                <w:szCs w:val="16"/>
              </w:rPr>
              <w:t>0.16%</w:t>
            </w:r>
          </w:p>
        </w:tc>
      </w:tr>
      <w:tr w:rsidR="00216F5E" w:rsidRPr="00BB729B" w14:paraId="3DA696CC" w14:textId="77777777" w:rsidTr="007E6903">
        <w:trPr>
          <w:trHeight w:val="375"/>
        </w:trPr>
        <w:tc>
          <w:tcPr>
            <w:cnfStyle w:val="001000000000" w:firstRow="0" w:lastRow="0" w:firstColumn="1" w:lastColumn="0" w:oddVBand="0" w:evenVBand="0" w:oddHBand="0" w:evenHBand="0" w:firstRowFirstColumn="0" w:firstRowLastColumn="0" w:lastRowFirstColumn="0" w:lastRowLastColumn="0"/>
            <w:tcW w:w="810" w:type="pct"/>
            <w:vMerge w:val="restart"/>
          </w:tcPr>
          <w:p w14:paraId="55E5108E" w14:textId="495D7E13" w:rsidR="00216F5E" w:rsidRPr="00BB729B" w:rsidRDefault="002B4487" w:rsidP="005C7AC1">
            <w:pPr>
              <w:pStyle w:val="BodyText"/>
              <w:rPr>
                <w:b w:val="0"/>
                <w:bCs/>
                <w:sz w:val="16"/>
                <w:szCs w:val="16"/>
                <w:lang w:eastAsia="en-AU"/>
              </w:rPr>
            </w:pPr>
            <w:r w:rsidRPr="00473E7E">
              <w:rPr>
                <w:bCs/>
                <w:sz w:val="16"/>
                <w:szCs w:val="16"/>
                <w:lang w:eastAsia="en-AU"/>
              </w:rPr>
              <w:t>2024-25</w:t>
            </w:r>
          </w:p>
        </w:tc>
        <w:tc>
          <w:tcPr>
            <w:tcW w:w="2227" w:type="pct"/>
          </w:tcPr>
          <w:p w14:paraId="4FB8ED14" w14:textId="77777777" w:rsidR="00216F5E" w:rsidRPr="00A40C95" w:rsidRDefault="00216F5E" w:rsidP="005C7AC1">
            <w:pPr>
              <w:pStyle w:val="BodyText"/>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A40C95">
              <w:rPr>
                <w:b/>
                <w:bCs/>
                <w:sz w:val="16"/>
                <w:szCs w:val="16"/>
                <w:lang w:eastAsia="en-AU"/>
              </w:rPr>
              <w:t>Change in expenditure from current</w:t>
            </w:r>
          </w:p>
        </w:tc>
        <w:tc>
          <w:tcPr>
            <w:tcW w:w="1963" w:type="pct"/>
            <w:noWrap/>
            <w:vAlign w:val="center"/>
          </w:tcPr>
          <w:p w14:paraId="046BFBC6" w14:textId="22BA6A82" w:rsidR="00216F5E" w:rsidRPr="00A40C95" w:rsidRDefault="00614C2E" w:rsidP="005C7AC1">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0E7601">
              <w:rPr>
                <w:rFonts w:ascii="Poppins" w:hAnsi="Poppins" w:cs="Poppins"/>
                <w:b/>
                <w:bCs/>
                <w:color w:val="000000"/>
                <w:sz w:val="16"/>
                <w:szCs w:val="16"/>
              </w:rPr>
              <w:t xml:space="preserve">$189,749 </w:t>
            </w:r>
          </w:p>
        </w:tc>
      </w:tr>
      <w:tr w:rsidR="00216F5E" w:rsidRPr="00BB729B" w14:paraId="1FF8A2EF" w14:textId="77777777" w:rsidTr="007E6903">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10" w:type="pct"/>
            <w:vMerge/>
          </w:tcPr>
          <w:p w14:paraId="3AF3EEF8" w14:textId="77777777" w:rsidR="00216F5E" w:rsidRPr="00BB729B" w:rsidRDefault="00216F5E" w:rsidP="005C7AC1">
            <w:pPr>
              <w:pStyle w:val="BodyText"/>
              <w:rPr>
                <w:b w:val="0"/>
                <w:bCs/>
                <w:sz w:val="16"/>
                <w:szCs w:val="16"/>
                <w:lang w:eastAsia="en-AU"/>
              </w:rPr>
            </w:pPr>
          </w:p>
        </w:tc>
        <w:tc>
          <w:tcPr>
            <w:tcW w:w="2227" w:type="pct"/>
          </w:tcPr>
          <w:p w14:paraId="3B237849" w14:textId="77777777" w:rsidR="00216F5E" w:rsidRPr="00BB729B" w:rsidRDefault="00216F5E" w:rsidP="005C7AC1">
            <w:pPr>
              <w:pStyle w:val="BodyText"/>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BB729B">
              <w:rPr>
                <w:bCs/>
                <w:sz w:val="16"/>
                <w:szCs w:val="16"/>
                <w:lang w:eastAsia="en-AU"/>
              </w:rPr>
              <w:t xml:space="preserve">Percentage change </w:t>
            </w:r>
          </w:p>
        </w:tc>
        <w:tc>
          <w:tcPr>
            <w:tcW w:w="1963" w:type="pct"/>
            <w:noWrap/>
            <w:vAlign w:val="center"/>
          </w:tcPr>
          <w:p w14:paraId="5ACA5A57" w14:textId="6494BB44" w:rsidR="00216F5E" w:rsidRPr="00BB729B" w:rsidRDefault="00614C2E" w:rsidP="005C7AC1">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rPr>
            </w:pPr>
            <w:r>
              <w:rPr>
                <w:rFonts w:ascii="Poppins" w:hAnsi="Poppins" w:cs="Poppins"/>
                <w:color w:val="000000"/>
                <w:sz w:val="16"/>
                <w:szCs w:val="16"/>
              </w:rPr>
              <w:t>+</w:t>
            </w:r>
            <w:r w:rsidRPr="000E7601">
              <w:rPr>
                <w:rFonts w:ascii="Poppins" w:hAnsi="Poppins" w:cs="Poppins"/>
                <w:color w:val="000000"/>
                <w:sz w:val="16"/>
                <w:szCs w:val="16"/>
              </w:rPr>
              <w:t>0.16%</w:t>
            </w:r>
          </w:p>
        </w:tc>
      </w:tr>
      <w:tr w:rsidR="00216F5E" w:rsidRPr="00BB729B" w14:paraId="7EBE9D2F" w14:textId="77777777" w:rsidTr="007E6903">
        <w:trPr>
          <w:trHeight w:val="375"/>
        </w:trPr>
        <w:tc>
          <w:tcPr>
            <w:cnfStyle w:val="001000000000" w:firstRow="0" w:lastRow="0" w:firstColumn="1" w:lastColumn="0" w:oddVBand="0" w:evenVBand="0" w:oddHBand="0" w:evenHBand="0" w:firstRowFirstColumn="0" w:firstRowLastColumn="0" w:lastRowFirstColumn="0" w:lastRowLastColumn="0"/>
            <w:tcW w:w="810" w:type="pct"/>
            <w:vMerge w:val="restart"/>
          </w:tcPr>
          <w:p w14:paraId="208F70CF" w14:textId="38E108D4" w:rsidR="00216F5E" w:rsidRPr="00BB729B" w:rsidRDefault="002B4487" w:rsidP="005C7AC1">
            <w:pPr>
              <w:pStyle w:val="BodyText"/>
              <w:rPr>
                <w:b w:val="0"/>
                <w:bCs/>
                <w:sz w:val="16"/>
                <w:szCs w:val="16"/>
                <w:lang w:eastAsia="en-AU"/>
              </w:rPr>
            </w:pPr>
            <w:r w:rsidRPr="00473E7E">
              <w:rPr>
                <w:bCs/>
                <w:sz w:val="16"/>
                <w:szCs w:val="16"/>
                <w:lang w:eastAsia="en-AU"/>
              </w:rPr>
              <w:t>2025-26</w:t>
            </w:r>
          </w:p>
        </w:tc>
        <w:tc>
          <w:tcPr>
            <w:tcW w:w="2227" w:type="pct"/>
          </w:tcPr>
          <w:p w14:paraId="39E781B4" w14:textId="77777777" w:rsidR="00216F5E" w:rsidRPr="00A40C95" w:rsidRDefault="00216F5E" w:rsidP="005C7AC1">
            <w:pPr>
              <w:pStyle w:val="BodyText"/>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A40C95">
              <w:rPr>
                <w:b/>
                <w:bCs/>
                <w:sz w:val="16"/>
                <w:szCs w:val="16"/>
                <w:lang w:eastAsia="en-AU"/>
              </w:rPr>
              <w:t>Change in expenditure from current</w:t>
            </w:r>
          </w:p>
        </w:tc>
        <w:tc>
          <w:tcPr>
            <w:tcW w:w="1963" w:type="pct"/>
            <w:noWrap/>
            <w:vAlign w:val="center"/>
          </w:tcPr>
          <w:p w14:paraId="01679B54" w14:textId="2C1C80C9" w:rsidR="00216F5E" w:rsidRPr="00A40C95" w:rsidRDefault="00614C2E" w:rsidP="005C7AC1">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0E7601">
              <w:rPr>
                <w:rFonts w:ascii="Poppins" w:hAnsi="Poppins" w:cs="Poppins"/>
                <w:b/>
                <w:bCs/>
                <w:color w:val="000000"/>
                <w:sz w:val="16"/>
                <w:szCs w:val="16"/>
              </w:rPr>
              <w:t xml:space="preserve">$199,934 </w:t>
            </w:r>
          </w:p>
        </w:tc>
      </w:tr>
      <w:tr w:rsidR="00216F5E" w:rsidRPr="00BB729B" w14:paraId="01CB17C4" w14:textId="77777777" w:rsidTr="007E6903">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810" w:type="pct"/>
            <w:vMerge/>
          </w:tcPr>
          <w:p w14:paraId="71A112B4" w14:textId="77777777" w:rsidR="00216F5E" w:rsidRPr="00BB729B" w:rsidRDefault="00216F5E" w:rsidP="005C7AC1">
            <w:pPr>
              <w:pStyle w:val="BodyText"/>
              <w:rPr>
                <w:b w:val="0"/>
                <w:bCs/>
                <w:sz w:val="16"/>
                <w:szCs w:val="16"/>
                <w:lang w:eastAsia="en-AU"/>
              </w:rPr>
            </w:pPr>
          </w:p>
        </w:tc>
        <w:tc>
          <w:tcPr>
            <w:tcW w:w="2227" w:type="pct"/>
          </w:tcPr>
          <w:p w14:paraId="4B5767B8" w14:textId="77777777" w:rsidR="00216F5E" w:rsidRPr="00BB729B" w:rsidRDefault="00216F5E" w:rsidP="005C7AC1">
            <w:pPr>
              <w:pStyle w:val="BodyText"/>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BB729B">
              <w:rPr>
                <w:bCs/>
                <w:sz w:val="16"/>
                <w:szCs w:val="16"/>
                <w:lang w:eastAsia="en-AU"/>
              </w:rPr>
              <w:t xml:space="preserve">Percentage change </w:t>
            </w:r>
          </w:p>
        </w:tc>
        <w:tc>
          <w:tcPr>
            <w:tcW w:w="1963" w:type="pct"/>
            <w:noWrap/>
            <w:vAlign w:val="center"/>
          </w:tcPr>
          <w:p w14:paraId="7332E012" w14:textId="5C857BB4" w:rsidR="00216F5E" w:rsidRPr="00BB729B" w:rsidRDefault="00614C2E" w:rsidP="005C7AC1">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rPr>
            </w:pPr>
            <w:r>
              <w:rPr>
                <w:rFonts w:ascii="Poppins" w:hAnsi="Poppins" w:cs="Poppins"/>
                <w:color w:val="000000"/>
                <w:sz w:val="16"/>
                <w:szCs w:val="16"/>
              </w:rPr>
              <w:t>+</w:t>
            </w:r>
            <w:r w:rsidRPr="000E7601">
              <w:rPr>
                <w:rFonts w:ascii="Poppins" w:hAnsi="Poppins" w:cs="Poppins"/>
                <w:color w:val="000000"/>
                <w:sz w:val="16"/>
                <w:szCs w:val="16"/>
              </w:rPr>
              <w:t>0.16%</w:t>
            </w:r>
          </w:p>
        </w:tc>
      </w:tr>
    </w:tbl>
    <w:p w14:paraId="7DE91C88" w14:textId="07E79CAF" w:rsidR="007B5057" w:rsidRDefault="00746CA3" w:rsidP="00216F5E">
      <w:pPr>
        <w:rPr>
          <w:b/>
          <w:bCs/>
        </w:rPr>
      </w:pPr>
      <w:r>
        <w:rPr>
          <w:b/>
          <w:bCs/>
          <w:noProof/>
        </w:rPr>
        <w:drawing>
          <wp:inline distT="0" distB="0" distL="0" distR="0" wp14:anchorId="309E7BD9" wp14:editId="1750B42D">
            <wp:extent cx="4146331" cy="2821801"/>
            <wp:effectExtent l="0" t="0" r="6985" b="0"/>
            <wp:docPr id="1803901976" name="Picture 2" descr="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901976" name="Picture 2" descr="Figure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149829" cy="2824181"/>
                    </a:xfrm>
                    <a:prstGeom prst="rect">
                      <a:avLst/>
                    </a:prstGeom>
                    <a:noFill/>
                  </pic:spPr>
                </pic:pic>
              </a:graphicData>
            </a:graphic>
          </wp:inline>
        </w:drawing>
      </w:r>
    </w:p>
    <w:p w14:paraId="399828D1" w14:textId="77777777" w:rsidR="007B5057" w:rsidRDefault="007B5057">
      <w:pPr>
        <w:spacing w:line="276" w:lineRule="auto"/>
        <w:rPr>
          <w:b/>
          <w:bCs/>
        </w:rPr>
      </w:pPr>
      <w:r>
        <w:rPr>
          <w:b/>
          <w:bCs/>
        </w:rPr>
        <w:br w:type="page"/>
      </w:r>
    </w:p>
    <w:p w14:paraId="515363E3" w14:textId="44D09B1D" w:rsidR="007B5057" w:rsidRPr="007B5057" w:rsidRDefault="007B5057" w:rsidP="007B5057">
      <w:pPr>
        <w:keepNext/>
        <w:keepLines/>
        <w:spacing w:before="300" w:after="200" w:line="240" w:lineRule="atLeast"/>
        <w:outlineLvl w:val="2"/>
        <w:rPr>
          <w:rFonts w:asciiTheme="majorHAnsi" w:eastAsiaTheme="majorEastAsia" w:hAnsiTheme="majorHAnsi" w:cstheme="majorBidi"/>
          <w:b/>
          <w:color w:val="C60C30" w:themeColor="accent2"/>
          <w:spacing w:val="4"/>
          <w:sz w:val="22"/>
          <w:szCs w:val="28"/>
        </w:rPr>
      </w:pPr>
      <w:r w:rsidRPr="007B5057">
        <w:rPr>
          <w:rFonts w:asciiTheme="majorHAnsi" w:eastAsiaTheme="majorEastAsia" w:hAnsiTheme="majorHAnsi" w:cstheme="majorBidi"/>
          <w:b/>
          <w:color w:val="C60C30" w:themeColor="accent2"/>
          <w:spacing w:val="4"/>
          <w:sz w:val="22"/>
          <w:szCs w:val="28"/>
        </w:rPr>
        <w:lastRenderedPageBreak/>
        <w:t>Scenario 1</w:t>
      </w:r>
      <w:r w:rsidR="004A7112">
        <w:rPr>
          <w:rFonts w:asciiTheme="majorHAnsi" w:eastAsiaTheme="majorEastAsia" w:hAnsiTheme="majorHAnsi" w:cstheme="majorBidi"/>
          <w:b/>
          <w:color w:val="C60C30" w:themeColor="accent2"/>
          <w:spacing w:val="4"/>
          <w:sz w:val="22"/>
          <w:szCs w:val="28"/>
        </w:rPr>
        <w:t>7</w:t>
      </w:r>
      <w:r w:rsidRPr="007B5057">
        <w:rPr>
          <w:rFonts w:asciiTheme="majorHAnsi" w:eastAsiaTheme="majorEastAsia" w:hAnsiTheme="majorHAnsi" w:cstheme="majorBidi"/>
          <w:b/>
          <w:color w:val="C60C30" w:themeColor="accent2"/>
          <w:spacing w:val="4"/>
          <w:sz w:val="22"/>
          <w:szCs w:val="28"/>
        </w:rPr>
        <w:t xml:space="preserve">: Changes in </w:t>
      </w:r>
      <w:r w:rsidR="00681012">
        <w:rPr>
          <w:rFonts w:asciiTheme="majorHAnsi" w:eastAsiaTheme="majorEastAsia" w:hAnsiTheme="majorHAnsi" w:cstheme="majorBidi"/>
          <w:b/>
          <w:color w:val="C60C30" w:themeColor="accent2"/>
          <w:spacing w:val="4"/>
          <w:sz w:val="22"/>
          <w:szCs w:val="28"/>
        </w:rPr>
        <w:t>benchmark</w:t>
      </w:r>
      <w:r w:rsidRPr="007B5057">
        <w:rPr>
          <w:rFonts w:asciiTheme="majorHAnsi" w:eastAsiaTheme="majorEastAsia" w:hAnsiTheme="majorHAnsi" w:cstheme="majorBidi"/>
          <w:b/>
          <w:color w:val="C60C30" w:themeColor="accent2"/>
          <w:spacing w:val="4"/>
          <w:sz w:val="22"/>
          <w:szCs w:val="28"/>
        </w:rPr>
        <w:t xml:space="preserve"> pricing </w:t>
      </w:r>
      <w:r w:rsidR="009F08AB">
        <w:rPr>
          <w:rFonts w:asciiTheme="majorHAnsi" w:eastAsiaTheme="majorEastAsia" w:hAnsiTheme="majorHAnsi" w:cstheme="majorBidi"/>
          <w:b/>
          <w:color w:val="C60C30" w:themeColor="accent2"/>
          <w:spacing w:val="4"/>
          <w:sz w:val="22"/>
          <w:szCs w:val="28"/>
        </w:rPr>
        <w:t>and</w:t>
      </w:r>
      <w:r w:rsidR="00681012">
        <w:rPr>
          <w:rFonts w:asciiTheme="majorHAnsi" w:eastAsiaTheme="majorEastAsia" w:hAnsiTheme="majorHAnsi" w:cstheme="majorBidi"/>
          <w:b/>
          <w:color w:val="C60C30" w:themeColor="accent2"/>
          <w:spacing w:val="4"/>
          <w:sz w:val="22"/>
          <w:szCs w:val="28"/>
        </w:rPr>
        <w:t xml:space="preserve"> </w:t>
      </w:r>
      <w:r w:rsidR="009F08AB">
        <w:rPr>
          <w:rFonts w:asciiTheme="majorHAnsi" w:eastAsiaTheme="majorEastAsia" w:hAnsiTheme="majorHAnsi" w:cstheme="majorBidi"/>
          <w:b/>
          <w:color w:val="C60C30" w:themeColor="accent2"/>
          <w:spacing w:val="4"/>
          <w:sz w:val="22"/>
          <w:szCs w:val="28"/>
        </w:rPr>
        <w:t xml:space="preserve">premium pricing </w:t>
      </w:r>
      <w:proofErr w:type="gramStart"/>
      <w:r w:rsidR="009F08AB">
        <w:rPr>
          <w:rFonts w:asciiTheme="majorHAnsi" w:eastAsiaTheme="majorEastAsia" w:hAnsiTheme="majorHAnsi" w:cstheme="majorBidi"/>
          <w:b/>
          <w:color w:val="C60C30" w:themeColor="accent2"/>
          <w:spacing w:val="4"/>
          <w:sz w:val="22"/>
          <w:szCs w:val="28"/>
        </w:rPr>
        <w:t>combined</w:t>
      </w:r>
      <w:proofErr w:type="gramEnd"/>
    </w:p>
    <w:p w14:paraId="072BDC47" w14:textId="7003B654" w:rsidR="007B5057" w:rsidRPr="007B5057" w:rsidRDefault="00901732" w:rsidP="007B5057">
      <w:r>
        <w:t>This Scenario illustrat</w:t>
      </w:r>
      <w:r w:rsidR="0054014F">
        <w:t>es</w:t>
      </w:r>
      <w:r>
        <w:t xml:space="preserve"> expenditure with an increase in both benchmark and premium </w:t>
      </w:r>
      <w:r w:rsidR="00EA59C5" w:rsidRPr="00EA59C5">
        <w:t xml:space="preserve">prices </w:t>
      </w:r>
      <w:r w:rsidR="00EA59C5">
        <w:t xml:space="preserve">(for those with premium price listed on the Scheme) </w:t>
      </w:r>
      <w:r>
        <w:t xml:space="preserve">for </w:t>
      </w:r>
      <w:r w:rsidR="001B5671">
        <w:t xml:space="preserve">all </w:t>
      </w:r>
      <w:r w:rsidR="00EA59C5">
        <w:t>products</w:t>
      </w:r>
      <w:r w:rsidR="00C17455">
        <w:t xml:space="preserve">. </w:t>
      </w:r>
    </w:p>
    <w:p w14:paraId="38AE36FB" w14:textId="142DE83D" w:rsidR="007B5057" w:rsidRPr="007B5057" w:rsidRDefault="007B5057" w:rsidP="007B5057">
      <w:r w:rsidRPr="007B5057">
        <w:t xml:space="preserve">It was found that this scenario would result in additional cost of </w:t>
      </w:r>
      <w:r w:rsidR="0040513D" w:rsidRPr="0040513D">
        <w:rPr>
          <w:b/>
          <w:bCs/>
        </w:rPr>
        <w:t xml:space="preserve">$12,539,737 </w:t>
      </w:r>
      <w:r w:rsidRPr="007B5057">
        <w:rPr>
          <w:b/>
          <w:bCs/>
        </w:rPr>
        <w:t>in FY2</w:t>
      </w:r>
      <w:r w:rsidR="007F27E3">
        <w:rPr>
          <w:b/>
          <w:bCs/>
        </w:rPr>
        <w:t>5</w:t>
      </w:r>
      <w:r w:rsidRPr="007B5057">
        <w:rPr>
          <w:b/>
          <w:bCs/>
        </w:rPr>
        <w:t>-2</w:t>
      </w:r>
      <w:r w:rsidR="007F27E3">
        <w:rPr>
          <w:b/>
          <w:bCs/>
        </w:rPr>
        <w:t>6</w:t>
      </w:r>
      <w:r w:rsidRPr="007B5057">
        <w:rPr>
          <w:b/>
          <w:bCs/>
        </w:rPr>
        <w:t xml:space="preserve"> (a </w:t>
      </w:r>
      <w:r w:rsidR="0040513D" w:rsidRPr="0040513D">
        <w:rPr>
          <w:b/>
          <w:bCs/>
        </w:rPr>
        <w:t>9.89%</w:t>
      </w:r>
      <w:r w:rsidR="0040513D" w:rsidRPr="0040513D" w:rsidDel="0040513D">
        <w:rPr>
          <w:b/>
          <w:bCs/>
        </w:rPr>
        <w:t xml:space="preserve"> </w:t>
      </w:r>
      <w:r w:rsidRPr="007B5057">
        <w:rPr>
          <w:b/>
          <w:bCs/>
        </w:rPr>
        <w:t xml:space="preserve">increase in </w:t>
      </w:r>
      <w:r w:rsidR="003D4785">
        <w:rPr>
          <w:b/>
          <w:bCs/>
        </w:rPr>
        <w:t xml:space="preserve">predicted </w:t>
      </w:r>
      <w:r w:rsidRPr="007B5057">
        <w:rPr>
          <w:b/>
          <w:bCs/>
        </w:rPr>
        <w:t>expenditure for the Scheme</w:t>
      </w:r>
      <w:r w:rsidR="003D4785">
        <w:rPr>
          <w:b/>
          <w:bCs/>
        </w:rPr>
        <w:t xml:space="preserve"> without the one-off increases</w:t>
      </w:r>
      <w:r w:rsidRPr="007B5057">
        <w:rPr>
          <w:b/>
          <w:bCs/>
        </w:rPr>
        <w:t>).</w:t>
      </w:r>
      <w:r w:rsidRPr="007B5057">
        <w:t xml:space="preserve"> </w:t>
      </w:r>
      <w:r w:rsidR="00310059">
        <w:fldChar w:fldCharType="begin"/>
      </w:r>
      <w:r w:rsidR="00310059">
        <w:instrText xml:space="preserve"> REF _Ref159856146 \h </w:instrText>
      </w:r>
      <w:r w:rsidR="00310059">
        <w:fldChar w:fldCharType="separate"/>
      </w:r>
      <w:r w:rsidR="00FE1418">
        <w:t xml:space="preserve">Figure </w:t>
      </w:r>
      <w:r w:rsidR="00FE1418">
        <w:rPr>
          <w:iCs/>
          <w:noProof/>
        </w:rPr>
        <w:t>34</w:t>
      </w:r>
      <w:r w:rsidR="00310059">
        <w:fldChar w:fldCharType="end"/>
      </w:r>
      <w:r w:rsidRPr="007B5057">
        <w:t xml:space="preserve"> provides three years of </w:t>
      </w:r>
      <w:r w:rsidR="00BE7F7F">
        <w:t xml:space="preserve">forecast </w:t>
      </w:r>
      <w:r w:rsidRPr="007B5057">
        <w:t>expenditure related to this scenario.</w:t>
      </w:r>
    </w:p>
    <w:p w14:paraId="0E8014F3" w14:textId="62547C13" w:rsidR="007B5057" w:rsidRPr="007B5057" w:rsidRDefault="007B5057" w:rsidP="000E7601">
      <w:pPr>
        <w:pStyle w:val="Caption"/>
        <w:rPr>
          <w:b/>
        </w:rPr>
      </w:pPr>
      <w:bookmarkStart w:id="161" w:name="_Ref159856146"/>
      <w:bookmarkStart w:id="162" w:name="_Toc161743158"/>
      <w:r>
        <w:t xml:space="preserve">Figure </w:t>
      </w:r>
      <w:r>
        <w:fldChar w:fldCharType="begin"/>
      </w:r>
      <w:r w:rsidRPr="007B5057">
        <w:rPr>
          <w:iCs w:val="0"/>
        </w:rPr>
        <w:instrText xml:space="preserve"> SEQ Figure \* ARABIC </w:instrText>
      </w:r>
      <w:r>
        <w:fldChar w:fldCharType="separate"/>
      </w:r>
      <w:r w:rsidR="00FE1418">
        <w:rPr>
          <w:iCs w:val="0"/>
          <w:noProof/>
        </w:rPr>
        <w:t>34</w:t>
      </w:r>
      <w:r>
        <w:fldChar w:fldCharType="end"/>
      </w:r>
      <w:bookmarkEnd w:id="161"/>
      <w:r w:rsidRPr="007B5057">
        <w:t xml:space="preserve">: Expenditure </w:t>
      </w:r>
      <w:r w:rsidRPr="007B5057">
        <w:rPr>
          <w:iCs w:val="0"/>
        </w:rPr>
        <w:t xml:space="preserve">related to a one-off increase in </w:t>
      </w:r>
      <w:r w:rsidR="00BE7F7F">
        <w:rPr>
          <w:iCs w:val="0"/>
        </w:rPr>
        <w:t xml:space="preserve">benchmark and </w:t>
      </w:r>
      <w:r w:rsidRPr="007B5057">
        <w:rPr>
          <w:iCs w:val="0"/>
        </w:rPr>
        <w:t xml:space="preserve">premium </w:t>
      </w:r>
      <w:proofErr w:type="gramStart"/>
      <w:r w:rsidRPr="007B5057">
        <w:rPr>
          <w:iCs w:val="0"/>
        </w:rPr>
        <w:t>prices</w:t>
      </w:r>
      <w:bookmarkEnd w:id="162"/>
      <w:proofErr w:type="gramEnd"/>
      <w:r w:rsidRPr="007B5057">
        <w:rPr>
          <w:iCs w:val="0"/>
        </w:rPr>
        <w:t xml:space="preserve"> </w:t>
      </w:r>
    </w:p>
    <w:tbl>
      <w:tblPr>
        <w:tblStyle w:val="TableHealthConsultPurple"/>
        <w:tblpPr w:leftFromText="180" w:rightFromText="180" w:vertAnchor="text" w:horzAnchor="page" w:tblpX="8268" w:tblpY="229"/>
        <w:tblW w:w="2384" w:type="pct"/>
        <w:tblLayout w:type="fixed"/>
        <w:tblLook w:val="04A0" w:firstRow="1" w:lastRow="0" w:firstColumn="1" w:lastColumn="0" w:noHBand="0" w:noVBand="1"/>
      </w:tblPr>
      <w:tblGrid>
        <w:gridCol w:w="853"/>
        <w:gridCol w:w="3258"/>
        <w:gridCol w:w="2836"/>
      </w:tblGrid>
      <w:tr w:rsidR="007B5057" w:rsidRPr="007B5057" w14:paraId="47C00484" w14:textId="77777777" w:rsidTr="00EB7DB4">
        <w:trPr>
          <w:cnfStyle w:val="100000000000" w:firstRow="1" w:lastRow="0" w:firstColumn="0" w:lastColumn="0" w:oddVBand="0" w:evenVBand="0" w:oddHBand="0" w:evenHBand="0" w:firstRowFirstColumn="0" w:firstRowLastColumn="0" w:lastRowFirstColumn="0" w:lastRowLastColumn="0"/>
          <w:trHeight w:val="407"/>
        </w:trPr>
        <w:tc>
          <w:tcPr>
            <w:cnfStyle w:val="001000000100" w:firstRow="0" w:lastRow="0" w:firstColumn="1" w:lastColumn="0" w:oddVBand="0" w:evenVBand="0" w:oddHBand="0" w:evenHBand="0" w:firstRowFirstColumn="1" w:firstRowLastColumn="0" w:lastRowFirstColumn="0" w:lastRowLastColumn="0"/>
            <w:tcW w:w="2959" w:type="pct"/>
            <w:gridSpan w:val="2"/>
            <w:noWrap/>
            <w:hideMark/>
          </w:tcPr>
          <w:p w14:paraId="62B078FB" w14:textId="77777777" w:rsidR="007B5057" w:rsidRPr="000E7601" w:rsidRDefault="007B5057" w:rsidP="007B5057">
            <w:pPr>
              <w:keepNext w:val="0"/>
              <w:spacing w:before="120" w:after="120"/>
              <w:jc w:val="center"/>
              <w:rPr>
                <w:color w:val="auto"/>
                <w:sz w:val="16"/>
                <w:szCs w:val="16"/>
                <w:lang w:eastAsia="en-AU"/>
              </w:rPr>
            </w:pPr>
            <w:r w:rsidRPr="0033220D">
              <w:rPr>
                <w:sz w:val="16"/>
                <w:szCs w:val="16"/>
                <w:lang w:eastAsia="en-AU"/>
              </w:rPr>
              <w:t>Scenario:</w:t>
            </w:r>
          </w:p>
        </w:tc>
        <w:tc>
          <w:tcPr>
            <w:tcW w:w="2041" w:type="pct"/>
            <w:noWrap/>
            <w:hideMark/>
          </w:tcPr>
          <w:p w14:paraId="271E12B2" w14:textId="4629945E" w:rsidR="007B5057" w:rsidRPr="000E7601" w:rsidRDefault="007B5057" w:rsidP="007B5057">
            <w:pPr>
              <w:keepNext w:val="0"/>
              <w:spacing w:before="120" w:after="120"/>
              <w:cnfStyle w:val="100000000000" w:firstRow="1" w:lastRow="0" w:firstColumn="0" w:lastColumn="0" w:oddVBand="0" w:evenVBand="0" w:oddHBand="0" w:evenHBand="0" w:firstRowFirstColumn="0" w:firstRowLastColumn="0" w:lastRowFirstColumn="0" w:lastRowLastColumn="0"/>
              <w:rPr>
                <w:color w:val="auto"/>
                <w:sz w:val="16"/>
                <w:szCs w:val="16"/>
                <w:lang w:eastAsia="en-AU"/>
              </w:rPr>
            </w:pPr>
            <w:r w:rsidRPr="0033220D">
              <w:rPr>
                <w:sz w:val="16"/>
                <w:szCs w:val="16"/>
                <w:lang w:eastAsia="en-AU"/>
              </w:rPr>
              <w:t xml:space="preserve">One-off (10%) increase in </w:t>
            </w:r>
            <w:r w:rsidR="0033220D" w:rsidRPr="0033220D">
              <w:rPr>
                <w:sz w:val="16"/>
                <w:szCs w:val="16"/>
                <w:lang w:eastAsia="en-AU"/>
              </w:rPr>
              <w:t xml:space="preserve">benchmark and </w:t>
            </w:r>
            <w:r w:rsidRPr="0033220D">
              <w:rPr>
                <w:sz w:val="16"/>
                <w:szCs w:val="16"/>
                <w:lang w:eastAsia="en-AU"/>
              </w:rPr>
              <w:t>premium prices</w:t>
            </w:r>
          </w:p>
        </w:tc>
      </w:tr>
      <w:tr w:rsidR="00C9486C" w:rsidRPr="007B5057" w14:paraId="3EDF13FA" w14:textId="77777777" w:rsidTr="00EB7DB4">
        <w:trPr>
          <w:trHeight w:val="326"/>
        </w:trPr>
        <w:tc>
          <w:tcPr>
            <w:cnfStyle w:val="001000000000" w:firstRow="0" w:lastRow="0" w:firstColumn="1" w:lastColumn="0" w:oddVBand="0" w:evenVBand="0" w:oddHBand="0" w:evenHBand="0" w:firstRowFirstColumn="0" w:firstRowLastColumn="0" w:lastRowFirstColumn="0" w:lastRowLastColumn="0"/>
            <w:tcW w:w="614" w:type="pct"/>
            <w:vMerge w:val="restart"/>
          </w:tcPr>
          <w:p w14:paraId="2C7A0B3B" w14:textId="35BBCF08" w:rsidR="00C9486C" w:rsidRPr="007B5057" w:rsidRDefault="00C9486C" w:rsidP="00C9486C">
            <w:pPr>
              <w:spacing w:before="120" w:after="120"/>
              <w:rPr>
                <w:bCs/>
                <w:color w:val="auto"/>
                <w:sz w:val="16"/>
                <w:szCs w:val="16"/>
                <w:lang w:eastAsia="en-AU"/>
              </w:rPr>
            </w:pPr>
            <w:r w:rsidRPr="00473E7E">
              <w:rPr>
                <w:bCs/>
                <w:sz w:val="16"/>
                <w:szCs w:val="16"/>
                <w:lang w:eastAsia="en-AU"/>
              </w:rPr>
              <w:t>2023-24</w:t>
            </w:r>
          </w:p>
        </w:tc>
        <w:tc>
          <w:tcPr>
            <w:tcW w:w="2345" w:type="pct"/>
          </w:tcPr>
          <w:p w14:paraId="610D90A7" w14:textId="77777777" w:rsidR="00C9486C" w:rsidRPr="007B5057" w:rsidRDefault="00C9486C" w:rsidP="00C9486C">
            <w:pPr>
              <w:spacing w:before="120" w:after="120"/>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7B5057">
              <w:rPr>
                <w:b/>
                <w:bCs/>
                <w:sz w:val="16"/>
                <w:szCs w:val="16"/>
                <w:lang w:eastAsia="en-AU"/>
              </w:rPr>
              <w:t>Change in expenditure from current</w:t>
            </w:r>
          </w:p>
        </w:tc>
        <w:tc>
          <w:tcPr>
            <w:tcW w:w="2041" w:type="pct"/>
            <w:noWrap/>
            <w:vAlign w:val="center"/>
          </w:tcPr>
          <w:p w14:paraId="607335AD" w14:textId="4A3A70DE" w:rsidR="00C9486C" w:rsidRPr="00C9486C" w:rsidRDefault="00C9486C" w:rsidP="00C9486C">
            <w:pPr>
              <w:spacing w:before="120" w:after="120"/>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EB7DB4">
              <w:rPr>
                <w:rFonts w:ascii="Poppins" w:hAnsi="Poppins" w:cs="Poppins"/>
                <w:b/>
                <w:bCs/>
                <w:color w:val="000000"/>
                <w:sz w:val="16"/>
                <w:szCs w:val="16"/>
              </w:rPr>
              <w:t xml:space="preserve">$11,331,439 </w:t>
            </w:r>
          </w:p>
        </w:tc>
      </w:tr>
      <w:tr w:rsidR="00C9486C" w:rsidRPr="007B5057" w14:paraId="3D8B5DE7" w14:textId="77777777" w:rsidTr="00EB7DB4">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14" w:type="pct"/>
            <w:vMerge/>
          </w:tcPr>
          <w:p w14:paraId="0F0E2767" w14:textId="77777777" w:rsidR="00C9486C" w:rsidRPr="007B5057" w:rsidRDefault="00C9486C" w:rsidP="00C9486C">
            <w:pPr>
              <w:spacing w:before="120" w:after="120"/>
              <w:rPr>
                <w:bCs/>
                <w:color w:val="auto"/>
                <w:sz w:val="16"/>
                <w:szCs w:val="16"/>
                <w:lang w:eastAsia="en-AU"/>
              </w:rPr>
            </w:pPr>
          </w:p>
        </w:tc>
        <w:tc>
          <w:tcPr>
            <w:tcW w:w="2345" w:type="pct"/>
          </w:tcPr>
          <w:p w14:paraId="2D0A5C22" w14:textId="77777777" w:rsidR="00C9486C" w:rsidRPr="007B5057" w:rsidRDefault="00C9486C" w:rsidP="00C9486C">
            <w:pPr>
              <w:spacing w:before="120" w:after="120"/>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7B5057">
              <w:rPr>
                <w:bCs/>
                <w:sz w:val="16"/>
                <w:szCs w:val="16"/>
                <w:lang w:eastAsia="en-AU"/>
              </w:rPr>
              <w:t xml:space="preserve">Percentage change </w:t>
            </w:r>
          </w:p>
        </w:tc>
        <w:tc>
          <w:tcPr>
            <w:tcW w:w="2041" w:type="pct"/>
            <w:noWrap/>
            <w:vAlign w:val="center"/>
          </w:tcPr>
          <w:p w14:paraId="017D434C" w14:textId="3F08C8A5" w:rsidR="00C9486C" w:rsidRPr="00C9486C" w:rsidRDefault="00C9486C" w:rsidP="00C9486C">
            <w:pPr>
              <w:spacing w:before="120" w:after="120"/>
              <w:cnfStyle w:val="000000010000" w:firstRow="0" w:lastRow="0" w:firstColumn="0" w:lastColumn="0" w:oddVBand="0" w:evenVBand="0" w:oddHBand="0" w:evenHBand="1" w:firstRowFirstColumn="0" w:firstRowLastColumn="0" w:lastRowFirstColumn="0" w:lastRowLastColumn="0"/>
              <w:rPr>
                <w:color w:val="000000"/>
                <w:sz w:val="16"/>
                <w:szCs w:val="16"/>
              </w:rPr>
            </w:pPr>
            <w:r>
              <w:rPr>
                <w:rFonts w:ascii="Poppins" w:hAnsi="Poppins" w:cs="Poppins"/>
                <w:color w:val="000000"/>
                <w:sz w:val="16"/>
                <w:szCs w:val="16"/>
              </w:rPr>
              <w:t>+</w:t>
            </w:r>
            <w:r w:rsidRPr="00EB7DB4">
              <w:rPr>
                <w:rFonts w:ascii="Poppins" w:hAnsi="Poppins" w:cs="Poppins"/>
                <w:color w:val="000000"/>
                <w:sz w:val="16"/>
                <w:szCs w:val="16"/>
              </w:rPr>
              <w:t>9.82%</w:t>
            </w:r>
          </w:p>
        </w:tc>
      </w:tr>
      <w:tr w:rsidR="00C9486C" w:rsidRPr="007B5057" w14:paraId="26939A3B" w14:textId="77777777" w:rsidTr="00EB7DB4">
        <w:trPr>
          <w:trHeight w:val="326"/>
        </w:trPr>
        <w:tc>
          <w:tcPr>
            <w:cnfStyle w:val="001000000000" w:firstRow="0" w:lastRow="0" w:firstColumn="1" w:lastColumn="0" w:oddVBand="0" w:evenVBand="0" w:oddHBand="0" w:evenHBand="0" w:firstRowFirstColumn="0" w:firstRowLastColumn="0" w:lastRowFirstColumn="0" w:lastRowLastColumn="0"/>
            <w:tcW w:w="614" w:type="pct"/>
            <w:vMerge w:val="restart"/>
          </w:tcPr>
          <w:p w14:paraId="269E2F9A" w14:textId="4CA52775" w:rsidR="00C9486C" w:rsidRPr="007B5057" w:rsidRDefault="00C9486C" w:rsidP="00C9486C">
            <w:pPr>
              <w:spacing w:before="120" w:after="120"/>
              <w:rPr>
                <w:bCs/>
                <w:color w:val="auto"/>
                <w:sz w:val="16"/>
                <w:szCs w:val="16"/>
                <w:lang w:eastAsia="en-AU"/>
              </w:rPr>
            </w:pPr>
            <w:r w:rsidRPr="00473E7E">
              <w:rPr>
                <w:bCs/>
                <w:sz w:val="16"/>
                <w:szCs w:val="16"/>
                <w:lang w:eastAsia="en-AU"/>
              </w:rPr>
              <w:t>2024-25</w:t>
            </w:r>
          </w:p>
        </w:tc>
        <w:tc>
          <w:tcPr>
            <w:tcW w:w="2345" w:type="pct"/>
          </w:tcPr>
          <w:p w14:paraId="1D94ED3B" w14:textId="77777777" w:rsidR="00C9486C" w:rsidRPr="007B5057" w:rsidRDefault="00C9486C" w:rsidP="00C9486C">
            <w:pPr>
              <w:spacing w:before="120" w:after="120"/>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7B5057">
              <w:rPr>
                <w:b/>
                <w:bCs/>
                <w:sz w:val="16"/>
                <w:szCs w:val="16"/>
                <w:lang w:eastAsia="en-AU"/>
              </w:rPr>
              <w:t>Change in expenditure from current</w:t>
            </w:r>
          </w:p>
        </w:tc>
        <w:tc>
          <w:tcPr>
            <w:tcW w:w="2041" w:type="pct"/>
            <w:noWrap/>
            <w:vAlign w:val="center"/>
          </w:tcPr>
          <w:p w14:paraId="755DB271" w14:textId="4F062D2B" w:rsidR="00C9486C" w:rsidRPr="00C9486C" w:rsidRDefault="00C9486C" w:rsidP="00C9486C">
            <w:pPr>
              <w:spacing w:before="120" w:after="120"/>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EB7DB4">
              <w:rPr>
                <w:rFonts w:ascii="Poppins" w:hAnsi="Poppins" w:cs="Poppins"/>
                <w:b/>
                <w:bCs/>
                <w:color w:val="000000"/>
                <w:sz w:val="16"/>
                <w:szCs w:val="16"/>
              </w:rPr>
              <w:t xml:space="preserve">$11,922,395 </w:t>
            </w:r>
          </w:p>
        </w:tc>
      </w:tr>
      <w:tr w:rsidR="00C9486C" w:rsidRPr="007B5057" w14:paraId="38488390" w14:textId="77777777" w:rsidTr="00EB7DB4">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14" w:type="pct"/>
            <w:vMerge/>
          </w:tcPr>
          <w:p w14:paraId="0790829C" w14:textId="77777777" w:rsidR="00C9486C" w:rsidRPr="007B5057" w:rsidRDefault="00C9486C" w:rsidP="00C9486C">
            <w:pPr>
              <w:spacing w:before="120" w:after="120"/>
              <w:rPr>
                <w:bCs/>
                <w:color w:val="auto"/>
                <w:sz w:val="16"/>
                <w:szCs w:val="16"/>
                <w:lang w:eastAsia="en-AU"/>
              </w:rPr>
            </w:pPr>
          </w:p>
        </w:tc>
        <w:tc>
          <w:tcPr>
            <w:tcW w:w="2345" w:type="pct"/>
          </w:tcPr>
          <w:p w14:paraId="4DEF3E7D" w14:textId="77777777" w:rsidR="00C9486C" w:rsidRPr="007B5057" w:rsidRDefault="00C9486C" w:rsidP="00C9486C">
            <w:pPr>
              <w:spacing w:before="120" w:after="120"/>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7B5057">
              <w:rPr>
                <w:bCs/>
                <w:sz w:val="16"/>
                <w:szCs w:val="16"/>
                <w:lang w:eastAsia="en-AU"/>
              </w:rPr>
              <w:t xml:space="preserve">Percentage change </w:t>
            </w:r>
          </w:p>
        </w:tc>
        <w:tc>
          <w:tcPr>
            <w:tcW w:w="2041" w:type="pct"/>
            <w:noWrap/>
            <w:vAlign w:val="center"/>
          </w:tcPr>
          <w:p w14:paraId="6E3D1481" w14:textId="3AFFB28C" w:rsidR="00C9486C" w:rsidRPr="00C9486C" w:rsidRDefault="00C9486C" w:rsidP="00C9486C">
            <w:pPr>
              <w:spacing w:before="120" w:after="120"/>
              <w:cnfStyle w:val="000000010000" w:firstRow="0" w:lastRow="0" w:firstColumn="0" w:lastColumn="0" w:oddVBand="0" w:evenVBand="0" w:oddHBand="0" w:evenHBand="1" w:firstRowFirstColumn="0" w:firstRowLastColumn="0" w:lastRowFirstColumn="0" w:lastRowLastColumn="0"/>
              <w:rPr>
                <w:color w:val="000000"/>
                <w:sz w:val="16"/>
                <w:szCs w:val="16"/>
              </w:rPr>
            </w:pPr>
            <w:r>
              <w:rPr>
                <w:rFonts w:ascii="Poppins" w:hAnsi="Poppins" w:cs="Poppins"/>
                <w:color w:val="000000"/>
                <w:sz w:val="16"/>
                <w:szCs w:val="16"/>
              </w:rPr>
              <w:t>+</w:t>
            </w:r>
            <w:r w:rsidRPr="00EB7DB4">
              <w:rPr>
                <w:rFonts w:ascii="Poppins" w:hAnsi="Poppins" w:cs="Poppins"/>
                <w:color w:val="000000"/>
                <w:sz w:val="16"/>
                <w:szCs w:val="16"/>
              </w:rPr>
              <w:t>9.85%</w:t>
            </w:r>
          </w:p>
        </w:tc>
      </w:tr>
      <w:tr w:rsidR="00C9486C" w:rsidRPr="007B5057" w14:paraId="1D7DA9AD" w14:textId="77777777" w:rsidTr="00EB7DB4">
        <w:trPr>
          <w:trHeight w:val="326"/>
        </w:trPr>
        <w:tc>
          <w:tcPr>
            <w:cnfStyle w:val="001000000000" w:firstRow="0" w:lastRow="0" w:firstColumn="1" w:lastColumn="0" w:oddVBand="0" w:evenVBand="0" w:oddHBand="0" w:evenHBand="0" w:firstRowFirstColumn="0" w:firstRowLastColumn="0" w:lastRowFirstColumn="0" w:lastRowLastColumn="0"/>
            <w:tcW w:w="614" w:type="pct"/>
            <w:vMerge w:val="restart"/>
          </w:tcPr>
          <w:p w14:paraId="50EBF7F7" w14:textId="2CBBBF62" w:rsidR="00C9486C" w:rsidRPr="007B5057" w:rsidRDefault="00C9486C" w:rsidP="00C9486C">
            <w:pPr>
              <w:spacing w:before="120" w:after="120"/>
              <w:rPr>
                <w:bCs/>
                <w:color w:val="auto"/>
                <w:sz w:val="16"/>
                <w:szCs w:val="16"/>
                <w:lang w:eastAsia="en-AU"/>
              </w:rPr>
            </w:pPr>
            <w:r w:rsidRPr="00473E7E">
              <w:rPr>
                <w:bCs/>
                <w:sz w:val="16"/>
                <w:szCs w:val="16"/>
                <w:lang w:eastAsia="en-AU"/>
              </w:rPr>
              <w:t>2025-26</w:t>
            </w:r>
          </w:p>
        </w:tc>
        <w:tc>
          <w:tcPr>
            <w:tcW w:w="2345" w:type="pct"/>
          </w:tcPr>
          <w:p w14:paraId="0794919B" w14:textId="77777777" w:rsidR="00C9486C" w:rsidRPr="007B5057" w:rsidRDefault="00C9486C" w:rsidP="00C9486C">
            <w:pPr>
              <w:spacing w:before="120" w:after="120"/>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7B5057">
              <w:rPr>
                <w:b/>
                <w:bCs/>
                <w:sz w:val="16"/>
                <w:szCs w:val="16"/>
                <w:lang w:eastAsia="en-AU"/>
              </w:rPr>
              <w:t>Change in expenditure from current</w:t>
            </w:r>
          </w:p>
        </w:tc>
        <w:tc>
          <w:tcPr>
            <w:tcW w:w="2041" w:type="pct"/>
            <w:noWrap/>
            <w:vAlign w:val="center"/>
          </w:tcPr>
          <w:p w14:paraId="69A296BC" w14:textId="7E717C39" w:rsidR="00C9486C" w:rsidRPr="00C9486C" w:rsidRDefault="00C9486C" w:rsidP="00C9486C">
            <w:pPr>
              <w:spacing w:before="120" w:after="120"/>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EB7DB4">
              <w:rPr>
                <w:rFonts w:ascii="Poppins" w:hAnsi="Poppins" w:cs="Poppins"/>
                <w:b/>
                <w:bCs/>
                <w:color w:val="000000"/>
                <w:sz w:val="16"/>
                <w:szCs w:val="16"/>
              </w:rPr>
              <w:t xml:space="preserve">$12,539,737 </w:t>
            </w:r>
          </w:p>
        </w:tc>
      </w:tr>
      <w:tr w:rsidR="00C9486C" w:rsidRPr="007B5057" w14:paraId="0AA27FE2" w14:textId="77777777" w:rsidTr="00EB7DB4">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614" w:type="pct"/>
            <w:vMerge/>
          </w:tcPr>
          <w:p w14:paraId="78E32397" w14:textId="77777777" w:rsidR="00C9486C" w:rsidRPr="007B5057" w:rsidRDefault="00C9486C" w:rsidP="00C9486C">
            <w:pPr>
              <w:spacing w:before="120" w:after="120"/>
              <w:rPr>
                <w:bCs/>
                <w:color w:val="auto"/>
                <w:sz w:val="16"/>
                <w:szCs w:val="16"/>
                <w:lang w:eastAsia="en-AU"/>
              </w:rPr>
            </w:pPr>
          </w:p>
        </w:tc>
        <w:tc>
          <w:tcPr>
            <w:tcW w:w="2345" w:type="pct"/>
          </w:tcPr>
          <w:p w14:paraId="3CD95E94" w14:textId="77777777" w:rsidR="00C9486C" w:rsidRPr="007B5057" w:rsidRDefault="00C9486C" w:rsidP="00C9486C">
            <w:pPr>
              <w:spacing w:before="120" w:after="120"/>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7B5057">
              <w:rPr>
                <w:bCs/>
                <w:sz w:val="16"/>
                <w:szCs w:val="16"/>
                <w:lang w:eastAsia="en-AU"/>
              </w:rPr>
              <w:t xml:space="preserve">Percentage change </w:t>
            </w:r>
          </w:p>
        </w:tc>
        <w:tc>
          <w:tcPr>
            <w:tcW w:w="2041" w:type="pct"/>
            <w:noWrap/>
            <w:vAlign w:val="center"/>
          </w:tcPr>
          <w:p w14:paraId="7A0E1E04" w14:textId="62B78EF7" w:rsidR="00C9486C" w:rsidRPr="00C9486C" w:rsidRDefault="00C9486C" w:rsidP="00C9486C">
            <w:pPr>
              <w:spacing w:before="120" w:after="120"/>
              <w:cnfStyle w:val="000000010000" w:firstRow="0" w:lastRow="0" w:firstColumn="0" w:lastColumn="0" w:oddVBand="0" w:evenVBand="0" w:oddHBand="0" w:evenHBand="1" w:firstRowFirstColumn="0" w:firstRowLastColumn="0" w:lastRowFirstColumn="0" w:lastRowLastColumn="0"/>
              <w:rPr>
                <w:color w:val="000000"/>
                <w:sz w:val="16"/>
                <w:szCs w:val="16"/>
              </w:rPr>
            </w:pPr>
            <w:r>
              <w:rPr>
                <w:rFonts w:ascii="Poppins" w:hAnsi="Poppins" w:cs="Poppins"/>
                <w:color w:val="000000"/>
                <w:sz w:val="16"/>
                <w:szCs w:val="16"/>
              </w:rPr>
              <w:t>+</w:t>
            </w:r>
            <w:r w:rsidRPr="00EB7DB4">
              <w:rPr>
                <w:rFonts w:ascii="Poppins" w:hAnsi="Poppins" w:cs="Poppins"/>
                <w:color w:val="000000"/>
                <w:sz w:val="16"/>
                <w:szCs w:val="16"/>
              </w:rPr>
              <w:t>9.89%</w:t>
            </w:r>
          </w:p>
        </w:tc>
      </w:tr>
    </w:tbl>
    <w:p w14:paraId="1710C178" w14:textId="412F8E10" w:rsidR="007B5057" w:rsidRPr="007B5057" w:rsidRDefault="00DB7EA6" w:rsidP="007B5057">
      <w:pPr>
        <w:rPr>
          <w:b/>
          <w:bCs/>
        </w:rPr>
        <w:sectPr w:rsidR="007B5057" w:rsidRPr="007B5057" w:rsidSect="00361225">
          <w:pgSz w:w="16838" w:h="11906" w:orient="landscape" w:code="9"/>
          <w:pgMar w:top="1134" w:right="1134" w:bottom="1134" w:left="1134" w:header="709" w:footer="454" w:gutter="0"/>
          <w:cols w:space="708"/>
          <w:docGrid w:linePitch="360"/>
        </w:sectPr>
      </w:pPr>
      <w:r>
        <w:rPr>
          <w:b/>
          <w:bCs/>
          <w:noProof/>
        </w:rPr>
        <w:drawing>
          <wp:inline distT="0" distB="0" distL="0" distR="0" wp14:anchorId="1808A194" wp14:editId="42BE164D">
            <wp:extent cx="4026090" cy="2730212"/>
            <wp:effectExtent l="0" t="0" r="0" b="0"/>
            <wp:docPr id="2084994227" name="Picture 3" descr="Figure 34: Expenditure related to a one-off increase in benchmark and premium pr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94227" name="Picture 3" descr="Figure 34: Expenditure related to a one-off increase in benchmark and premium prices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33050" cy="2734932"/>
                    </a:xfrm>
                    <a:prstGeom prst="rect">
                      <a:avLst/>
                    </a:prstGeom>
                    <a:noFill/>
                  </pic:spPr>
                </pic:pic>
              </a:graphicData>
            </a:graphic>
          </wp:inline>
        </w:drawing>
      </w:r>
    </w:p>
    <w:p w14:paraId="2D7406AB" w14:textId="36F4881A" w:rsidR="00497739" w:rsidRPr="007B5057" w:rsidRDefault="00497739" w:rsidP="00497739">
      <w:pPr>
        <w:keepNext/>
        <w:keepLines/>
        <w:spacing w:before="300" w:after="200" w:line="240" w:lineRule="atLeast"/>
        <w:outlineLvl w:val="2"/>
        <w:rPr>
          <w:rFonts w:asciiTheme="majorHAnsi" w:eastAsiaTheme="majorEastAsia" w:hAnsiTheme="majorHAnsi" w:cstheme="majorBidi"/>
          <w:b/>
          <w:color w:val="C60C30" w:themeColor="accent2"/>
          <w:spacing w:val="4"/>
          <w:sz w:val="22"/>
          <w:szCs w:val="28"/>
        </w:rPr>
      </w:pPr>
      <w:r w:rsidRPr="007B5057">
        <w:rPr>
          <w:rFonts w:asciiTheme="majorHAnsi" w:eastAsiaTheme="majorEastAsia" w:hAnsiTheme="majorHAnsi" w:cstheme="majorBidi"/>
          <w:b/>
          <w:color w:val="C60C30" w:themeColor="accent2"/>
          <w:spacing w:val="4"/>
          <w:sz w:val="22"/>
          <w:szCs w:val="28"/>
        </w:rPr>
        <w:lastRenderedPageBreak/>
        <w:t>Scenario 1</w:t>
      </w:r>
      <w:r w:rsidR="004A7112">
        <w:rPr>
          <w:rFonts w:asciiTheme="majorHAnsi" w:eastAsiaTheme="majorEastAsia" w:hAnsiTheme="majorHAnsi" w:cstheme="majorBidi"/>
          <w:b/>
          <w:color w:val="C60C30" w:themeColor="accent2"/>
          <w:spacing w:val="4"/>
          <w:sz w:val="22"/>
          <w:szCs w:val="28"/>
        </w:rPr>
        <w:t>8</w:t>
      </w:r>
      <w:r w:rsidRPr="007B5057">
        <w:rPr>
          <w:rFonts w:asciiTheme="majorHAnsi" w:eastAsiaTheme="majorEastAsia" w:hAnsiTheme="majorHAnsi" w:cstheme="majorBidi"/>
          <w:b/>
          <w:color w:val="C60C30" w:themeColor="accent2"/>
          <w:spacing w:val="4"/>
          <w:sz w:val="22"/>
          <w:szCs w:val="28"/>
        </w:rPr>
        <w:t xml:space="preserve">: Changes in </w:t>
      </w:r>
      <w:r>
        <w:rPr>
          <w:rFonts w:asciiTheme="majorHAnsi" w:eastAsiaTheme="majorEastAsia" w:hAnsiTheme="majorHAnsi" w:cstheme="majorBidi"/>
          <w:b/>
          <w:color w:val="C60C30" w:themeColor="accent2"/>
          <w:spacing w:val="4"/>
          <w:sz w:val="22"/>
          <w:szCs w:val="28"/>
        </w:rPr>
        <w:t>benchmark</w:t>
      </w:r>
      <w:r w:rsidRPr="007B5057">
        <w:rPr>
          <w:rFonts w:asciiTheme="majorHAnsi" w:eastAsiaTheme="majorEastAsia" w:hAnsiTheme="majorHAnsi" w:cstheme="majorBidi"/>
          <w:b/>
          <w:color w:val="C60C30" w:themeColor="accent2"/>
          <w:spacing w:val="4"/>
          <w:sz w:val="22"/>
          <w:szCs w:val="28"/>
        </w:rPr>
        <w:t xml:space="preserve"> </w:t>
      </w:r>
      <w:r>
        <w:rPr>
          <w:rFonts w:asciiTheme="majorHAnsi" w:eastAsiaTheme="majorEastAsia" w:hAnsiTheme="majorHAnsi" w:cstheme="majorBidi"/>
          <w:b/>
          <w:color w:val="C60C30" w:themeColor="accent2"/>
          <w:spacing w:val="4"/>
          <w:sz w:val="22"/>
          <w:szCs w:val="28"/>
        </w:rPr>
        <w:t xml:space="preserve">pricing and </w:t>
      </w:r>
      <w:r w:rsidR="00A871E1">
        <w:rPr>
          <w:rFonts w:asciiTheme="majorHAnsi" w:eastAsiaTheme="majorEastAsia" w:hAnsiTheme="majorHAnsi" w:cstheme="majorBidi"/>
          <w:b/>
          <w:color w:val="C60C30" w:themeColor="accent2"/>
          <w:spacing w:val="4"/>
          <w:sz w:val="22"/>
          <w:szCs w:val="28"/>
        </w:rPr>
        <w:t>ongoing annual indexation</w:t>
      </w:r>
    </w:p>
    <w:p w14:paraId="5730A569" w14:textId="4D6ECB50" w:rsidR="00497739" w:rsidRPr="007B5057" w:rsidRDefault="00201363" w:rsidP="00497739">
      <w:r w:rsidRPr="00201363">
        <w:t xml:space="preserve">This Scenario was modelled by taking </w:t>
      </w:r>
      <w:r w:rsidR="00C9486C">
        <w:t>a</w:t>
      </w:r>
      <w:r w:rsidR="00C9486C" w:rsidRPr="00201363">
        <w:t xml:space="preserve"> </w:t>
      </w:r>
      <w:r w:rsidRPr="00201363">
        <w:t>one-off benchmark</w:t>
      </w:r>
      <w:r w:rsidR="00C9486C">
        <w:t xml:space="preserve"> and premium</w:t>
      </w:r>
      <w:r w:rsidRPr="00201363">
        <w:t xml:space="preserve"> increased price </w:t>
      </w:r>
      <w:r w:rsidR="00C9486C">
        <w:t>in</w:t>
      </w:r>
      <w:r w:rsidR="00C9486C" w:rsidRPr="00201363">
        <w:t xml:space="preserve"> </w:t>
      </w:r>
      <w:r w:rsidRPr="00201363">
        <w:t>202</w:t>
      </w:r>
      <w:r w:rsidR="00C9486C">
        <w:t>3</w:t>
      </w:r>
      <w:r w:rsidRPr="00201363">
        <w:t>-2</w:t>
      </w:r>
      <w:r w:rsidR="00C9486C">
        <w:t>4</w:t>
      </w:r>
      <w:r w:rsidRPr="00201363">
        <w:t xml:space="preserve">, and then applying the </w:t>
      </w:r>
      <w:r w:rsidR="00024659">
        <w:t>five</w:t>
      </w:r>
      <w:r w:rsidRPr="00201363">
        <w:t>-year average June CPI with annual compounding</w:t>
      </w:r>
      <w:r w:rsidR="00583872">
        <w:t xml:space="preserve"> from 202</w:t>
      </w:r>
      <w:r w:rsidR="00C9486C">
        <w:t>4</w:t>
      </w:r>
      <w:r w:rsidR="00583872">
        <w:t>-2</w:t>
      </w:r>
      <w:r w:rsidR="00C9486C">
        <w:t>5</w:t>
      </w:r>
      <w:r w:rsidR="00583872">
        <w:t xml:space="preserve"> onwards. </w:t>
      </w:r>
    </w:p>
    <w:p w14:paraId="00469E71" w14:textId="324FA309" w:rsidR="00497739" w:rsidRPr="007B5057" w:rsidRDefault="00497739" w:rsidP="00497739">
      <w:r w:rsidRPr="007B5057">
        <w:t xml:space="preserve">It was found that this scenario would result in additional cost of </w:t>
      </w:r>
      <w:r w:rsidR="00A423DB" w:rsidRPr="00A423DB">
        <w:rPr>
          <w:b/>
          <w:bCs/>
        </w:rPr>
        <w:t xml:space="preserve">$22,290,678 </w:t>
      </w:r>
      <w:r w:rsidRPr="007B5057">
        <w:rPr>
          <w:b/>
          <w:bCs/>
        </w:rPr>
        <w:t>in FY2</w:t>
      </w:r>
      <w:r>
        <w:rPr>
          <w:b/>
          <w:bCs/>
        </w:rPr>
        <w:t>5</w:t>
      </w:r>
      <w:r w:rsidRPr="007B5057">
        <w:rPr>
          <w:b/>
          <w:bCs/>
        </w:rPr>
        <w:t>-2</w:t>
      </w:r>
      <w:r>
        <w:rPr>
          <w:b/>
          <w:bCs/>
        </w:rPr>
        <w:t>6</w:t>
      </w:r>
      <w:r w:rsidRPr="007B5057">
        <w:rPr>
          <w:b/>
          <w:bCs/>
        </w:rPr>
        <w:t xml:space="preserve"> (a </w:t>
      </w:r>
      <w:r w:rsidR="00A423DB" w:rsidRPr="00A423DB">
        <w:rPr>
          <w:b/>
          <w:bCs/>
        </w:rPr>
        <w:t>17.58%</w:t>
      </w:r>
      <w:r w:rsidR="00A423DB" w:rsidRPr="00A423DB" w:rsidDel="00A423DB">
        <w:rPr>
          <w:b/>
          <w:bCs/>
        </w:rPr>
        <w:t xml:space="preserve"> </w:t>
      </w:r>
      <w:r w:rsidRPr="007B5057">
        <w:rPr>
          <w:b/>
          <w:bCs/>
        </w:rPr>
        <w:t xml:space="preserve">increase in </w:t>
      </w:r>
      <w:r w:rsidR="007C4208">
        <w:rPr>
          <w:b/>
          <w:bCs/>
        </w:rPr>
        <w:t xml:space="preserve">predicted </w:t>
      </w:r>
      <w:r w:rsidRPr="007B5057">
        <w:rPr>
          <w:b/>
          <w:bCs/>
        </w:rPr>
        <w:t>expenditure for the Scheme</w:t>
      </w:r>
      <w:r w:rsidR="007C4208">
        <w:rPr>
          <w:b/>
          <w:bCs/>
        </w:rPr>
        <w:t xml:space="preserve"> without the </w:t>
      </w:r>
      <w:r w:rsidR="00A423DB">
        <w:rPr>
          <w:b/>
          <w:bCs/>
        </w:rPr>
        <w:t xml:space="preserve">one-off </w:t>
      </w:r>
      <w:r w:rsidR="007C4208">
        <w:rPr>
          <w:b/>
          <w:bCs/>
        </w:rPr>
        <w:t>increase and indexation</w:t>
      </w:r>
      <w:r w:rsidRPr="007B5057">
        <w:rPr>
          <w:b/>
          <w:bCs/>
        </w:rPr>
        <w:t>).</w:t>
      </w:r>
      <w:r w:rsidRPr="007B5057">
        <w:t xml:space="preserve"> </w:t>
      </w:r>
      <w:r w:rsidR="00310059">
        <w:fldChar w:fldCharType="begin"/>
      </w:r>
      <w:r w:rsidR="00310059">
        <w:instrText xml:space="preserve"> REF _Ref159856159 \h  \* MERGEFORMAT </w:instrText>
      </w:r>
      <w:r w:rsidR="00310059">
        <w:fldChar w:fldCharType="separate"/>
      </w:r>
      <w:r w:rsidR="00FE1418" w:rsidRPr="00FE1418">
        <w:t>Figure 35</w:t>
      </w:r>
      <w:r w:rsidR="00310059">
        <w:fldChar w:fldCharType="end"/>
      </w:r>
      <w:r w:rsidRPr="007B5057">
        <w:t xml:space="preserve"> provides three years of </w:t>
      </w:r>
      <w:r>
        <w:t xml:space="preserve">forecast </w:t>
      </w:r>
      <w:r w:rsidRPr="007B5057">
        <w:t>expenditure related to this scenario.</w:t>
      </w:r>
    </w:p>
    <w:p w14:paraId="3038FABE" w14:textId="4ED59345" w:rsidR="00497739" w:rsidRPr="007B5057" w:rsidRDefault="00497739" w:rsidP="00497739">
      <w:pPr>
        <w:keepNext/>
        <w:keepLines/>
        <w:spacing w:before="240" w:after="160" w:line="276" w:lineRule="auto"/>
        <w:jc w:val="center"/>
        <w:rPr>
          <w:rFonts w:asciiTheme="majorHAnsi" w:hAnsiTheme="majorHAnsi"/>
          <w:b/>
          <w:iCs/>
          <w:color w:val="3B0083" w:themeColor="accent1"/>
          <w:sz w:val="18"/>
        </w:rPr>
      </w:pPr>
      <w:bookmarkStart w:id="163" w:name="_Ref159856159"/>
      <w:bookmarkStart w:id="164" w:name="_Toc161743159"/>
      <w:r w:rsidRPr="007B5057">
        <w:rPr>
          <w:rFonts w:asciiTheme="majorHAnsi" w:hAnsiTheme="majorHAnsi"/>
          <w:iCs/>
          <w:color w:val="3B0083" w:themeColor="accent1"/>
          <w:sz w:val="18"/>
        </w:rPr>
        <w:t xml:space="preserve">Figure </w:t>
      </w:r>
      <w:r w:rsidRPr="007B5057">
        <w:rPr>
          <w:rFonts w:asciiTheme="majorHAnsi" w:hAnsiTheme="majorHAnsi"/>
          <w:iCs/>
          <w:color w:val="3B0083" w:themeColor="accent1"/>
          <w:sz w:val="18"/>
        </w:rPr>
        <w:fldChar w:fldCharType="begin"/>
      </w:r>
      <w:r w:rsidRPr="007B5057">
        <w:rPr>
          <w:rFonts w:asciiTheme="majorHAnsi" w:hAnsiTheme="majorHAnsi"/>
          <w:iCs/>
          <w:color w:val="3B0083" w:themeColor="accent1"/>
          <w:sz w:val="18"/>
        </w:rPr>
        <w:instrText xml:space="preserve"> SEQ Figure \* ARABIC </w:instrText>
      </w:r>
      <w:r w:rsidRPr="007B5057">
        <w:rPr>
          <w:rFonts w:asciiTheme="majorHAnsi" w:hAnsiTheme="majorHAnsi"/>
          <w:iCs/>
          <w:color w:val="3B0083" w:themeColor="accent1"/>
          <w:sz w:val="18"/>
        </w:rPr>
        <w:fldChar w:fldCharType="separate"/>
      </w:r>
      <w:r w:rsidR="00FE1418">
        <w:rPr>
          <w:rFonts w:asciiTheme="majorHAnsi" w:hAnsiTheme="majorHAnsi"/>
          <w:iCs/>
          <w:noProof/>
          <w:color w:val="3B0083" w:themeColor="accent1"/>
          <w:sz w:val="18"/>
        </w:rPr>
        <w:t>35</w:t>
      </w:r>
      <w:r w:rsidRPr="007B5057">
        <w:rPr>
          <w:rFonts w:asciiTheme="majorHAnsi" w:hAnsiTheme="majorHAnsi"/>
          <w:iCs/>
          <w:noProof/>
          <w:color w:val="3B0083" w:themeColor="accent1"/>
          <w:sz w:val="18"/>
        </w:rPr>
        <w:fldChar w:fldCharType="end"/>
      </w:r>
      <w:bookmarkEnd w:id="163"/>
      <w:r w:rsidRPr="007B5057">
        <w:rPr>
          <w:rFonts w:asciiTheme="majorHAnsi" w:hAnsiTheme="majorHAnsi"/>
          <w:iCs/>
          <w:color w:val="3B0083" w:themeColor="accent1"/>
          <w:sz w:val="18"/>
        </w:rPr>
        <w:t xml:space="preserve">: Expenditure related to a one-off increase in </w:t>
      </w:r>
      <w:r>
        <w:rPr>
          <w:rFonts w:asciiTheme="majorHAnsi" w:hAnsiTheme="majorHAnsi"/>
          <w:iCs/>
          <w:color w:val="3B0083" w:themeColor="accent1"/>
          <w:sz w:val="18"/>
        </w:rPr>
        <w:t xml:space="preserve">benchmark and </w:t>
      </w:r>
      <w:r w:rsidRPr="007B5057">
        <w:rPr>
          <w:rFonts w:asciiTheme="majorHAnsi" w:hAnsiTheme="majorHAnsi"/>
          <w:iCs/>
          <w:color w:val="3B0083" w:themeColor="accent1"/>
          <w:sz w:val="18"/>
        </w:rPr>
        <w:t xml:space="preserve">premium prices </w:t>
      </w:r>
      <w:r w:rsidR="00A423DB">
        <w:rPr>
          <w:rFonts w:asciiTheme="majorHAnsi" w:hAnsiTheme="majorHAnsi"/>
          <w:iCs/>
          <w:color w:val="3B0083" w:themeColor="accent1"/>
          <w:sz w:val="18"/>
        </w:rPr>
        <w:t xml:space="preserve">followed by annual </w:t>
      </w:r>
      <w:proofErr w:type="gramStart"/>
      <w:r w:rsidR="00A423DB">
        <w:rPr>
          <w:rFonts w:asciiTheme="majorHAnsi" w:hAnsiTheme="majorHAnsi"/>
          <w:iCs/>
          <w:color w:val="3B0083" w:themeColor="accent1"/>
          <w:sz w:val="18"/>
        </w:rPr>
        <w:t>indexation</w:t>
      </w:r>
      <w:bookmarkEnd w:id="164"/>
      <w:proofErr w:type="gramEnd"/>
    </w:p>
    <w:tbl>
      <w:tblPr>
        <w:tblStyle w:val="TableHealthConsultPurple"/>
        <w:tblpPr w:leftFromText="180" w:rightFromText="180" w:vertAnchor="text" w:horzAnchor="page" w:tblpX="8268" w:tblpY="229"/>
        <w:tblW w:w="2352" w:type="pct"/>
        <w:tblLayout w:type="fixed"/>
        <w:tblLook w:val="04A0" w:firstRow="1" w:lastRow="0" w:firstColumn="1" w:lastColumn="0" w:noHBand="0" w:noVBand="1"/>
      </w:tblPr>
      <w:tblGrid>
        <w:gridCol w:w="979"/>
        <w:gridCol w:w="3109"/>
        <w:gridCol w:w="23"/>
        <w:gridCol w:w="2743"/>
      </w:tblGrid>
      <w:tr w:rsidR="00497739" w:rsidRPr="007B5057" w14:paraId="54872019" w14:textId="77777777">
        <w:trPr>
          <w:cnfStyle w:val="100000000000" w:firstRow="1" w:lastRow="0" w:firstColumn="0" w:lastColumn="0" w:oddVBand="0" w:evenVBand="0" w:oddHBand="0" w:evenHBand="0" w:firstRowFirstColumn="0" w:firstRowLastColumn="0" w:lastRowFirstColumn="0" w:lastRowLastColumn="0"/>
          <w:trHeight w:val="407"/>
        </w:trPr>
        <w:tc>
          <w:tcPr>
            <w:cnfStyle w:val="001000000100" w:firstRow="0" w:lastRow="0" w:firstColumn="1" w:lastColumn="0" w:oddVBand="0" w:evenVBand="0" w:oddHBand="0" w:evenHBand="0" w:firstRowFirstColumn="1" w:firstRowLastColumn="0" w:lastRowFirstColumn="0" w:lastRowLastColumn="0"/>
            <w:tcW w:w="2999" w:type="pct"/>
            <w:gridSpan w:val="3"/>
            <w:noWrap/>
            <w:hideMark/>
          </w:tcPr>
          <w:p w14:paraId="14F80C84" w14:textId="77777777" w:rsidR="00497739" w:rsidRPr="00E91AD9" w:rsidRDefault="00497739">
            <w:pPr>
              <w:keepNext w:val="0"/>
              <w:spacing w:before="120" w:after="120"/>
              <w:jc w:val="center"/>
              <w:rPr>
                <w:bCs/>
                <w:color w:val="auto"/>
                <w:sz w:val="16"/>
                <w:szCs w:val="16"/>
                <w:lang w:eastAsia="en-AU"/>
              </w:rPr>
            </w:pPr>
            <w:r w:rsidRPr="00E91AD9">
              <w:rPr>
                <w:bCs/>
                <w:color w:val="auto"/>
                <w:sz w:val="16"/>
                <w:szCs w:val="16"/>
                <w:lang w:eastAsia="en-AU"/>
              </w:rPr>
              <w:t>Scenario:</w:t>
            </w:r>
          </w:p>
        </w:tc>
        <w:tc>
          <w:tcPr>
            <w:tcW w:w="2001" w:type="pct"/>
            <w:noWrap/>
            <w:hideMark/>
          </w:tcPr>
          <w:p w14:paraId="0B04DC61" w14:textId="7041645C" w:rsidR="00497739" w:rsidRPr="00E91AD9" w:rsidRDefault="00497739">
            <w:pPr>
              <w:keepNext w:val="0"/>
              <w:spacing w:before="120" w:after="120"/>
              <w:cnfStyle w:val="100000000000" w:firstRow="1" w:lastRow="0" w:firstColumn="0" w:lastColumn="0" w:oddVBand="0" w:evenVBand="0" w:oddHBand="0" w:evenHBand="0" w:firstRowFirstColumn="0" w:firstRowLastColumn="0" w:lastRowFirstColumn="0" w:lastRowLastColumn="0"/>
              <w:rPr>
                <w:bCs/>
                <w:color w:val="auto"/>
                <w:sz w:val="16"/>
                <w:szCs w:val="16"/>
                <w:lang w:eastAsia="en-AU"/>
              </w:rPr>
            </w:pPr>
            <w:r w:rsidRPr="00E91AD9">
              <w:rPr>
                <w:bCs/>
                <w:color w:val="auto"/>
                <w:sz w:val="16"/>
                <w:szCs w:val="16"/>
                <w:lang w:eastAsia="en-AU"/>
              </w:rPr>
              <w:t>One-off (10%) increase in benchmark and premium prices</w:t>
            </w:r>
            <w:r w:rsidR="00C729B3">
              <w:rPr>
                <w:bCs/>
                <w:color w:val="auto"/>
                <w:sz w:val="16"/>
                <w:szCs w:val="16"/>
                <w:lang w:eastAsia="en-AU"/>
              </w:rPr>
              <w:t xml:space="preserve"> and inde</w:t>
            </w:r>
            <w:r w:rsidR="00C729B3">
              <w:rPr>
                <w:bCs/>
                <w:sz w:val="16"/>
                <w:szCs w:val="16"/>
                <w:lang w:eastAsia="en-AU"/>
              </w:rPr>
              <w:t>xation</w:t>
            </w:r>
          </w:p>
        </w:tc>
      </w:tr>
      <w:tr w:rsidR="00EA59C5" w:rsidRPr="007B5057" w14:paraId="242D6DAB" w14:textId="77777777">
        <w:trPr>
          <w:trHeight w:val="326"/>
        </w:trPr>
        <w:tc>
          <w:tcPr>
            <w:cnfStyle w:val="001000000000" w:firstRow="0" w:lastRow="0" w:firstColumn="1" w:lastColumn="0" w:oddVBand="0" w:evenVBand="0" w:oddHBand="0" w:evenHBand="0" w:firstRowFirstColumn="0" w:firstRowLastColumn="0" w:lastRowFirstColumn="0" w:lastRowLastColumn="0"/>
            <w:tcW w:w="714" w:type="pct"/>
            <w:vMerge w:val="restart"/>
          </w:tcPr>
          <w:p w14:paraId="5EE73506" w14:textId="77777777" w:rsidR="00EA59C5" w:rsidRPr="007B5057" w:rsidRDefault="00EA59C5" w:rsidP="00EA59C5">
            <w:pPr>
              <w:spacing w:before="120" w:after="120"/>
              <w:rPr>
                <w:bCs/>
                <w:color w:val="auto"/>
                <w:sz w:val="16"/>
                <w:szCs w:val="16"/>
                <w:lang w:eastAsia="en-AU"/>
              </w:rPr>
            </w:pPr>
            <w:r w:rsidRPr="00473E7E">
              <w:rPr>
                <w:bCs/>
                <w:sz w:val="16"/>
                <w:szCs w:val="16"/>
                <w:lang w:eastAsia="en-AU"/>
              </w:rPr>
              <w:t>2023-24</w:t>
            </w:r>
          </w:p>
        </w:tc>
        <w:tc>
          <w:tcPr>
            <w:tcW w:w="2268" w:type="pct"/>
          </w:tcPr>
          <w:p w14:paraId="66EA0E21" w14:textId="77777777" w:rsidR="00EA59C5" w:rsidRPr="000B3010" w:rsidRDefault="00EA59C5" w:rsidP="00EA59C5">
            <w:pPr>
              <w:spacing w:before="120" w:after="120"/>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0B3010">
              <w:rPr>
                <w:b/>
                <w:bCs/>
                <w:sz w:val="16"/>
                <w:szCs w:val="16"/>
                <w:lang w:eastAsia="en-AU"/>
              </w:rPr>
              <w:t>Change in expenditure from current</w:t>
            </w:r>
          </w:p>
        </w:tc>
        <w:tc>
          <w:tcPr>
            <w:tcW w:w="2018" w:type="pct"/>
            <w:gridSpan w:val="2"/>
            <w:noWrap/>
            <w:vAlign w:val="center"/>
          </w:tcPr>
          <w:p w14:paraId="3C2CF7DB" w14:textId="50A7340F" w:rsidR="00EA59C5" w:rsidRPr="00EA59C5" w:rsidRDefault="00EA59C5" w:rsidP="00EA59C5">
            <w:pPr>
              <w:spacing w:before="120" w:after="120"/>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C729B3">
              <w:rPr>
                <w:rFonts w:ascii="Poppins" w:hAnsi="Poppins" w:cs="Poppins"/>
                <w:b/>
                <w:bCs/>
                <w:color w:val="000000"/>
                <w:sz w:val="16"/>
                <w:szCs w:val="16"/>
              </w:rPr>
              <w:t>$11,331,439</w:t>
            </w:r>
            <w:r w:rsidRPr="00C729B3">
              <w:rPr>
                <w:rFonts w:ascii="Poppins" w:hAnsi="Poppins" w:cs="Poppins"/>
                <w:color w:val="000000"/>
                <w:sz w:val="16"/>
                <w:szCs w:val="16"/>
              </w:rPr>
              <w:t xml:space="preserve"> </w:t>
            </w:r>
          </w:p>
        </w:tc>
      </w:tr>
      <w:tr w:rsidR="00EA59C5" w:rsidRPr="007B5057" w14:paraId="004F4C96" w14:textId="77777777">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14" w:type="pct"/>
            <w:vMerge/>
          </w:tcPr>
          <w:p w14:paraId="7DD4FC2E" w14:textId="77777777" w:rsidR="00EA59C5" w:rsidRPr="007B5057" w:rsidRDefault="00EA59C5" w:rsidP="00EA59C5">
            <w:pPr>
              <w:spacing w:before="120" w:after="120"/>
              <w:rPr>
                <w:bCs/>
                <w:color w:val="auto"/>
                <w:sz w:val="16"/>
                <w:szCs w:val="16"/>
                <w:lang w:eastAsia="en-AU"/>
              </w:rPr>
            </w:pPr>
          </w:p>
        </w:tc>
        <w:tc>
          <w:tcPr>
            <w:tcW w:w="2268" w:type="pct"/>
          </w:tcPr>
          <w:p w14:paraId="6EDB605A" w14:textId="77777777" w:rsidR="00EA59C5" w:rsidRPr="007B5057" w:rsidRDefault="00EA59C5" w:rsidP="00EA59C5">
            <w:pPr>
              <w:spacing w:before="120" w:after="120"/>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7B5057">
              <w:rPr>
                <w:bCs/>
                <w:sz w:val="16"/>
                <w:szCs w:val="16"/>
                <w:lang w:eastAsia="en-AU"/>
              </w:rPr>
              <w:t xml:space="preserve">Percentage change </w:t>
            </w:r>
          </w:p>
        </w:tc>
        <w:tc>
          <w:tcPr>
            <w:tcW w:w="2018" w:type="pct"/>
            <w:gridSpan w:val="2"/>
            <w:noWrap/>
            <w:vAlign w:val="center"/>
          </w:tcPr>
          <w:p w14:paraId="710C4F68" w14:textId="39850F32" w:rsidR="00EA59C5" w:rsidRPr="00EA59C5" w:rsidRDefault="00EA59C5" w:rsidP="00EA59C5">
            <w:pPr>
              <w:spacing w:before="120" w:after="120"/>
              <w:cnfStyle w:val="000000010000" w:firstRow="0" w:lastRow="0" w:firstColumn="0" w:lastColumn="0" w:oddVBand="0" w:evenVBand="0" w:oddHBand="0" w:evenHBand="1" w:firstRowFirstColumn="0" w:firstRowLastColumn="0" w:lastRowFirstColumn="0" w:lastRowLastColumn="0"/>
              <w:rPr>
                <w:color w:val="000000"/>
                <w:sz w:val="16"/>
                <w:szCs w:val="16"/>
              </w:rPr>
            </w:pPr>
            <w:r>
              <w:rPr>
                <w:rFonts w:ascii="Poppins" w:hAnsi="Poppins" w:cs="Poppins"/>
                <w:color w:val="000000"/>
                <w:sz w:val="16"/>
                <w:szCs w:val="16"/>
              </w:rPr>
              <w:t>+</w:t>
            </w:r>
            <w:r w:rsidRPr="00C729B3">
              <w:rPr>
                <w:rFonts w:ascii="Poppins" w:hAnsi="Poppins" w:cs="Poppins"/>
                <w:color w:val="000000"/>
                <w:sz w:val="16"/>
                <w:szCs w:val="16"/>
              </w:rPr>
              <w:t>9.82%</w:t>
            </w:r>
          </w:p>
        </w:tc>
      </w:tr>
      <w:tr w:rsidR="00EA59C5" w:rsidRPr="007B5057" w14:paraId="4888E184" w14:textId="77777777">
        <w:trPr>
          <w:trHeight w:val="326"/>
        </w:trPr>
        <w:tc>
          <w:tcPr>
            <w:cnfStyle w:val="001000000000" w:firstRow="0" w:lastRow="0" w:firstColumn="1" w:lastColumn="0" w:oddVBand="0" w:evenVBand="0" w:oddHBand="0" w:evenHBand="0" w:firstRowFirstColumn="0" w:firstRowLastColumn="0" w:lastRowFirstColumn="0" w:lastRowLastColumn="0"/>
            <w:tcW w:w="714" w:type="pct"/>
            <w:vMerge w:val="restart"/>
          </w:tcPr>
          <w:p w14:paraId="7D39B715" w14:textId="77777777" w:rsidR="00EA59C5" w:rsidRPr="007B5057" w:rsidRDefault="00EA59C5" w:rsidP="00EA59C5">
            <w:pPr>
              <w:spacing w:before="120" w:after="120"/>
              <w:rPr>
                <w:bCs/>
                <w:color w:val="auto"/>
                <w:sz w:val="16"/>
                <w:szCs w:val="16"/>
                <w:lang w:eastAsia="en-AU"/>
              </w:rPr>
            </w:pPr>
            <w:r w:rsidRPr="00473E7E">
              <w:rPr>
                <w:bCs/>
                <w:sz w:val="16"/>
                <w:szCs w:val="16"/>
                <w:lang w:eastAsia="en-AU"/>
              </w:rPr>
              <w:t>2024-25</w:t>
            </w:r>
          </w:p>
        </w:tc>
        <w:tc>
          <w:tcPr>
            <w:tcW w:w="2268" w:type="pct"/>
          </w:tcPr>
          <w:p w14:paraId="2A31A15C" w14:textId="77777777" w:rsidR="00EA59C5" w:rsidRPr="007B5057" w:rsidRDefault="00EA59C5" w:rsidP="00EA59C5">
            <w:pPr>
              <w:spacing w:before="120" w:after="120"/>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7B5057">
              <w:rPr>
                <w:b/>
                <w:bCs/>
                <w:sz w:val="16"/>
                <w:szCs w:val="16"/>
                <w:lang w:eastAsia="en-AU"/>
              </w:rPr>
              <w:t>Change in expenditure from current</w:t>
            </w:r>
          </w:p>
        </w:tc>
        <w:tc>
          <w:tcPr>
            <w:tcW w:w="2018" w:type="pct"/>
            <w:gridSpan w:val="2"/>
            <w:noWrap/>
            <w:vAlign w:val="center"/>
          </w:tcPr>
          <w:p w14:paraId="4D080A88" w14:textId="40A4D2A5" w:rsidR="00EA59C5" w:rsidRPr="00EA59C5" w:rsidRDefault="00EA59C5" w:rsidP="00EA59C5">
            <w:pPr>
              <w:spacing w:before="120" w:after="120"/>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C729B3">
              <w:rPr>
                <w:rFonts w:ascii="Poppins" w:hAnsi="Poppins" w:cs="Poppins"/>
                <w:b/>
                <w:bCs/>
                <w:color w:val="000000"/>
                <w:sz w:val="16"/>
                <w:szCs w:val="16"/>
              </w:rPr>
              <w:t xml:space="preserve">$16,494,403 </w:t>
            </w:r>
          </w:p>
        </w:tc>
      </w:tr>
      <w:tr w:rsidR="00EA59C5" w:rsidRPr="007B5057" w14:paraId="12453C2B" w14:textId="77777777">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14" w:type="pct"/>
            <w:vMerge/>
          </w:tcPr>
          <w:p w14:paraId="46406430" w14:textId="77777777" w:rsidR="00EA59C5" w:rsidRPr="007B5057" w:rsidRDefault="00EA59C5" w:rsidP="00EA59C5">
            <w:pPr>
              <w:spacing w:before="120" w:after="120"/>
              <w:rPr>
                <w:bCs/>
                <w:color w:val="auto"/>
                <w:sz w:val="16"/>
                <w:szCs w:val="16"/>
                <w:lang w:eastAsia="en-AU"/>
              </w:rPr>
            </w:pPr>
          </w:p>
        </w:tc>
        <w:tc>
          <w:tcPr>
            <w:tcW w:w="2268" w:type="pct"/>
          </w:tcPr>
          <w:p w14:paraId="2F505A1C" w14:textId="77777777" w:rsidR="00EA59C5" w:rsidRPr="007B5057" w:rsidRDefault="00EA59C5" w:rsidP="00EA59C5">
            <w:pPr>
              <w:spacing w:before="120" w:after="120"/>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7B5057">
              <w:rPr>
                <w:bCs/>
                <w:sz w:val="16"/>
                <w:szCs w:val="16"/>
                <w:lang w:eastAsia="en-AU"/>
              </w:rPr>
              <w:t xml:space="preserve">Percentage change </w:t>
            </w:r>
          </w:p>
        </w:tc>
        <w:tc>
          <w:tcPr>
            <w:tcW w:w="2018" w:type="pct"/>
            <w:gridSpan w:val="2"/>
            <w:noWrap/>
            <w:vAlign w:val="center"/>
          </w:tcPr>
          <w:p w14:paraId="389DA164" w14:textId="0E31E9D9" w:rsidR="00EA59C5" w:rsidRPr="00EA59C5" w:rsidRDefault="00EA59C5" w:rsidP="00EA59C5">
            <w:pPr>
              <w:spacing w:before="120" w:after="120"/>
              <w:cnfStyle w:val="000000010000" w:firstRow="0" w:lastRow="0" w:firstColumn="0" w:lastColumn="0" w:oddVBand="0" w:evenVBand="0" w:oddHBand="0" w:evenHBand="1" w:firstRowFirstColumn="0" w:firstRowLastColumn="0" w:lastRowFirstColumn="0" w:lastRowLastColumn="0"/>
              <w:rPr>
                <w:color w:val="000000"/>
                <w:sz w:val="16"/>
                <w:szCs w:val="16"/>
              </w:rPr>
            </w:pPr>
            <w:r>
              <w:rPr>
                <w:rFonts w:ascii="Poppins" w:hAnsi="Poppins" w:cs="Poppins"/>
                <w:color w:val="000000"/>
                <w:sz w:val="16"/>
                <w:szCs w:val="16"/>
              </w:rPr>
              <w:t>+</w:t>
            </w:r>
            <w:r w:rsidRPr="00C729B3">
              <w:rPr>
                <w:rFonts w:ascii="Poppins" w:hAnsi="Poppins" w:cs="Poppins"/>
                <w:color w:val="000000"/>
                <w:sz w:val="16"/>
                <w:szCs w:val="16"/>
              </w:rPr>
              <w:t>13.63%</w:t>
            </w:r>
          </w:p>
        </w:tc>
      </w:tr>
      <w:tr w:rsidR="00EA59C5" w:rsidRPr="007B5057" w14:paraId="7F613B85" w14:textId="77777777">
        <w:trPr>
          <w:trHeight w:val="326"/>
        </w:trPr>
        <w:tc>
          <w:tcPr>
            <w:cnfStyle w:val="001000000000" w:firstRow="0" w:lastRow="0" w:firstColumn="1" w:lastColumn="0" w:oddVBand="0" w:evenVBand="0" w:oddHBand="0" w:evenHBand="0" w:firstRowFirstColumn="0" w:firstRowLastColumn="0" w:lastRowFirstColumn="0" w:lastRowLastColumn="0"/>
            <w:tcW w:w="714" w:type="pct"/>
            <w:vMerge w:val="restart"/>
          </w:tcPr>
          <w:p w14:paraId="0521F200" w14:textId="77777777" w:rsidR="00EA59C5" w:rsidRPr="007B5057" w:rsidRDefault="00EA59C5" w:rsidP="00EA59C5">
            <w:pPr>
              <w:spacing w:before="120" w:after="120"/>
              <w:rPr>
                <w:bCs/>
                <w:color w:val="auto"/>
                <w:sz w:val="16"/>
                <w:szCs w:val="16"/>
                <w:lang w:eastAsia="en-AU"/>
              </w:rPr>
            </w:pPr>
            <w:r w:rsidRPr="00473E7E">
              <w:rPr>
                <w:bCs/>
                <w:sz w:val="16"/>
                <w:szCs w:val="16"/>
                <w:lang w:eastAsia="en-AU"/>
              </w:rPr>
              <w:t>2025-26</w:t>
            </w:r>
          </w:p>
        </w:tc>
        <w:tc>
          <w:tcPr>
            <w:tcW w:w="2268" w:type="pct"/>
          </w:tcPr>
          <w:p w14:paraId="024D9C35" w14:textId="77777777" w:rsidR="00EA59C5" w:rsidRPr="000B3010" w:rsidRDefault="00EA59C5" w:rsidP="00EA59C5">
            <w:pPr>
              <w:spacing w:before="120" w:after="120"/>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0B3010">
              <w:rPr>
                <w:b/>
                <w:bCs/>
                <w:sz w:val="16"/>
                <w:szCs w:val="16"/>
                <w:lang w:eastAsia="en-AU"/>
              </w:rPr>
              <w:t>Change in expenditure from current</w:t>
            </w:r>
          </w:p>
        </w:tc>
        <w:tc>
          <w:tcPr>
            <w:tcW w:w="2018" w:type="pct"/>
            <w:gridSpan w:val="2"/>
            <w:noWrap/>
            <w:vAlign w:val="center"/>
          </w:tcPr>
          <w:p w14:paraId="766E4530" w14:textId="2BE4DE82" w:rsidR="00EA59C5" w:rsidRPr="00EA59C5" w:rsidRDefault="00EA59C5" w:rsidP="00EA59C5">
            <w:pPr>
              <w:spacing w:before="120" w:after="120"/>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C729B3">
              <w:rPr>
                <w:rFonts w:ascii="Poppins" w:hAnsi="Poppins" w:cs="Poppins"/>
                <w:b/>
                <w:bCs/>
                <w:color w:val="000000"/>
                <w:sz w:val="16"/>
                <w:szCs w:val="16"/>
              </w:rPr>
              <w:t xml:space="preserve">$22,290,678 </w:t>
            </w:r>
          </w:p>
        </w:tc>
      </w:tr>
      <w:tr w:rsidR="00EA59C5" w:rsidRPr="007B5057" w14:paraId="3772AEE1" w14:textId="77777777">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714" w:type="pct"/>
            <w:vMerge/>
          </w:tcPr>
          <w:p w14:paraId="5035629D" w14:textId="77777777" w:rsidR="00EA59C5" w:rsidRPr="007B5057" w:rsidRDefault="00EA59C5" w:rsidP="00EA59C5">
            <w:pPr>
              <w:spacing w:before="120" w:after="120"/>
              <w:rPr>
                <w:bCs/>
                <w:color w:val="auto"/>
                <w:sz w:val="16"/>
                <w:szCs w:val="16"/>
                <w:lang w:eastAsia="en-AU"/>
              </w:rPr>
            </w:pPr>
          </w:p>
        </w:tc>
        <w:tc>
          <w:tcPr>
            <w:tcW w:w="2268" w:type="pct"/>
          </w:tcPr>
          <w:p w14:paraId="2B150045" w14:textId="77777777" w:rsidR="00EA59C5" w:rsidRPr="007B5057" w:rsidRDefault="00EA59C5" w:rsidP="00EA59C5">
            <w:pPr>
              <w:spacing w:before="120" w:after="120"/>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7B5057">
              <w:rPr>
                <w:bCs/>
                <w:sz w:val="16"/>
                <w:szCs w:val="16"/>
                <w:lang w:eastAsia="en-AU"/>
              </w:rPr>
              <w:t xml:space="preserve">Percentage change </w:t>
            </w:r>
          </w:p>
        </w:tc>
        <w:tc>
          <w:tcPr>
            <w:tcW w:w="2018" w:type="pct"/>
            <w:gridSpan w:val="2"/>
            <w:noWrap/>
            <w:vAlign w:val="center"/>
          </w:tcPr>
          <w:p w14:paraId="5FB82BBC" w14:textId="0638EF4E" w:rsidR="00EA59C5" w:rsidRPr="00EA59C5" w:rsidRDefault="00EA59C5" w:rsidP="00EA59C5">
            <w:pPr>
              <w:spacing w:before="120" w:after="120"/>
              <w:cnfStyle w:val="000000010000" w:firstRow="0" w:lastRow="0" w:firstColumn="0" w:lastColumn="0" w:oddVBand="0" w:evenVBand="0" w:oddHBand="0" w:evenHBand="1" w:firstRowFirstColumn="0" w:firstRowLastColumn="0" w:lastRowFirstColumn="0" w:lastRowLastColumn="0"/>
              <w:rPr>
                <w:color w:val="000000"/>
                <w:sz w:val="16"/>
                <w:szCs w:val="16"/>
              </w:rPr>
            </w:pPr>
            <w:r>
              <w:rPr>
                <w:rFonts w:ascii="Poppins" w:hAnsi="Poppins" w:cs="Poppins"/>
                <w:color w:val="000000"/>
                <w:sz w:val="16"/>
                <w:szCs w:val="16"/>
              </w:rPr>
              <w:t>+</w:t>
            </w:r>
            <w:r w:rsidRPr="00C729B3">
              <w:rPr>
                <w:rFonts w:ascii="Poppins" w:hAnsi="Poppins" w:cs="Poppins"/>
                <w:color w:val="000000"/>
                <w:sz w:val="16"/>
                <w:szCs w:val="16"/>
              </w:rPr>
              <w:t>17.58%</w:t>
            </w:r>
          </w:p>
        </w:tc>
      </w:tr>
    </w:tbl>
    <w:p w14:paraId="45ABB093" w14:textId="30AC02AE" w:rsidR="00497739" w:rsidRPr="007B5057" w:rsidRDefault="00A871E1" w:rsidP="00497739">
      <w:pPr>
        <w:rPr>
          <w:b/>
          <w:bCs/>
        </w:rPr>
        <w:sectPr w:rsidR="00497739" w:rsidRPr="007B5057" w:rsidSect="00361225">
          <w:pgSz w:w="16838" w:h="11906" w:orient="landscape" w:code="9"/>
          <w:pgMar w:top="1134" w:right="1134" w:bottom="1134" w:left="1134" w:header="709" w:footer="454" w:gutter="0"/>
          <w:cols w:space="708"/>
          <w:docGrid w:linePitch="360"/>
        </w:sectPr>
      </w:pPr>
      <w:r>
        <w:rPr>
          <w:b/>
          <w:bCs/>
          <w:noProof/>
        </w:rPr>
        <w:drawing>
          <wp:inline distT="0" distB="0" distL="0" distR="0" wp14:anchorId="2613EDB9" wp14:editId="49F81C13">
            <wp:extent cx="3942272" cy="2926032"/>
            <wp:effectExtent l="0" t="0" r="1270" b="8255"/>
            <wp:docPr id="146144881" name="Picture 4" descr="Figure 35: Expenditure related to a one-off increase in benchmark and premium prices followed by annual index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4881" name="Picture 4" descr="Figure 35: Expenditure related to a one-off increase in benchmark and premium prices followed by annual indexation "/>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50228" cy="2931937"/>
                    </a:xfrm>
                    <a:prstGeom prst="rect">
                      <a:avLst/>
                    </a:prstGeom>
                    <a:noFill/>
                  </pic:spPr>
                </pic:pic>
              </a:graphicData>
            </a:graphic>
          </wp:inline>
        </w:drawing>
      </w:r>
    </w:p>
    <w:p w14:paraId="675B6C2E" w14:textId="7A50E0DD" w:rsidR="00216F5E" w:rsidRPr="00A55522" w:rsidRDefault="0067259E" w:rsidP="007623F8">
      <w:pPr>
        <w:pStyle w:val="Heading7"/>
        <w:rPr>
          <w:color w:val="C60C30" w:themeColor="accent2"/>
        </w:rPr>
      </w:pPr>
      <w:bookmarkStart w:id="165" w:name="_Toc161743103"/>
      <w:r w:rsidRPr="00A55522">
        <w:rPr>
          <w:color w:val="C60C30" w:themeColor="accent2"/>
        </w:rPr>
        <w:lastRenderedPageBreak/>
        <w:t xml:space="preserve">Budgetary </w:t>
      </w:r>
      <w:r w:rsidR="00F725F0">
        <w:rPr>
          <w:color w:val="C60C30" w:themeColor="accent2"/>
        </w:rPr>
        <w:t>I</w:t>
      </w:r>
      <w:r w:rsidRPr="00A55522">
        <w:rPr>
          <w:color w:val="C60C30" w:themeColor="accent2"/>
        </w:rPr>
        <w:t xml:space="preserve">mplications of </w:t>
      </w:r>
      <w:r w:rsidR="00F725F0">
        <w:rPr>
          <w:color w:val="C60C30" w:themeColor="accent2"/>
        </w:rPr>
        <w:t>T</w:t>
      </w:r>
      <w:r w:rsidR="007623F8" w:rsidRPr="00A55522">
        <w:rPr>
          <w:color w:val="C60C30" w:themeColor="accent2"/>
        </w:rPr>
        <w:t xml:space="preserve">ime </w:t>
      </w:r>
      <w:r w:rsidR="00F725F0">
        <w:rPr>
          <w:color w:val="C60C30" w:themeColor="accent2"/>
        </w:rPr>
        <w:t>C</w:t>
      </w:r>
      <w:r w:rsidR="007623F8" w:rsidRPr="00A55522">
        <w:rPr>
          <w:color w:val="C60C30" w:themeColor="accent2"/>
        </w:rPr>
        <w:t>omponents</w:t>
      </w:r>
      <w:bookmarkEnd w:id="165"/>
    </w:p>
    <w:p w14:paraId="589DC088" w14:textId="51414127" w:rsidR="0067259E" w:rsidRDefault="0067259E" w:rsidP="006261FB">
      <w:pPr>
        <w:pStyle w:val="AltHeading3"/>
      </w:pPr>
      <w:r>
        <w:t>Scenario 1</w:t>
      </w:r>
      <w:r w:rsidR="004A7112">
        <w:t>9</w:t>
      </w:r>
      <w:r>
        <w:t xml:space="preserve">: Increase in ostomates in line with population </w:t>
      </w:r>
      <w:proofErr w:type="gramStart"/>
      <w:r>
        <w:t>growth</w:t>
      </w:r>
      <w:proofErr w:type="gramEnd"/>
    </w:p>
    <w:p w14:paraId="36EFF926" w14:textId="3C279E6C" w:rsidR="0067259E" w:rsidRDefault="0067259E" w:rsidP="0067259E">
      <w:r>
        <w:t>This scenario tests the predicted increases in expenditure if the number of ostomates increased in line with population growth. Notably, the PBS data on the overall number of ostomates was not cleansed until 2023 and the Department advised of some potential double counting. In consultation with stakeholders the number of ostomates in 2022-2023 (48,770) was deemed a good approximation and was used as a proxy for the number of ostomates in 2020-21 and 2021-22. The average expenditure per ostomate based on this figure was found and forecast three years into the future. This forecast was then multiplied by the number of ostomates expected in the next three FYs if the number grew in line with projected population.</w:t>
      </w:r>
    </w:p>
    <w:p w14:paraId="2F35F52E" w14:textId="326B27B5" w:rsidR="0067259E" w:rsidRDefault="0067259E" w:rsidP="0067259E">
      <w:r w:rsidRPr="0016467D">
        <w:t xml:space="preserve">It was found that </w:t>
      </w:r>
      <w:r>
        <w:t>this scenario</w:t>
      </w:r>
      <w:r w:rsidRPr="0016467D">
        <w:t xml:space="preserve"> </w:t>
      </w:r>
      <w:r w:rsidRPr="00B63E1C">
        <w:t>would result in a</w:t>
      </w:r>
      <w:r>
        <w:t>dditional</w:t>
      </w:r>
      <w:r w:rsidRPr="00B63E1C">
        <w:t xml:space="preserve"> </w:t>
      </w:r>
      <w:r>
        <w:t xml:space="preserve">projected </w:t>
      </w:r>
      <w:r w:rsidRPr="00B63E1C">
        <w:t>cost of</w:t>
      </w:r>
      <w:r>
        <w:t xml:space="preserve"> </w:t>
      </w:r>
      <w:r w:rsidRPr="00B10000">
        <w:rPr>
          <w:b/>
          <w:bCs/>
        </w:rPr>
        <w:t>$</w:t>
      </w:r>
      <w:r>
        <w:rPr>
          <w:b/>
          <w:bCs/>
        </w:rPr>
        <w:t>3,378,739</w:t>
      </w:r>
      <w:r w:rsidRPr="00B10000">
        <w:rPr>
          <w:b/>
          <w:bCs/>
        </w:rPr>
        <w:t xml:space="preserve"> in FY2</w:t>
      </w:r>
      <w:r>
        <w:rPr>
          <w:b/>
          <w:bCs/>
        </w:rPr>
        <w:t>5</w:t>
      </w:r>
      <w:r w:rsidRPr="00B10000">
        <w:rPr>
          <w:b/>
          <w:bCs/>
        </w:rPr>
        <w:t>-2</w:t>
      </w:r>
      <w:r>
        <w:rPr>
          <w:b/>
          <w:bCs/>
        </w:rPr>
        <w:t>6</w:t>
      </w:r>
      <w:r w:rsidRPr="00B10000">
        <w:rPr>
          <w:b/>
          <w:bCs/>
        </w:rPr>
        <w:t xml:space="preserve"> </w:t>
      </w:r>
      <w:r>
        <w:rPr>
          <w:b/>
          <w:bCs/>
        </w:rPr>
        <w:t xml:space="preserve">compared to the predicted expenditure </w:t>
      </w:r>
      <w:r w:rsidRPr="00B10000">
        <w:rPr>
          <w:b/>
          <w:bCs/>
        </w:rPr>
        <w:t>(</w:t>
      </w:r>
      <w:r>
        <w:rPr>
          <w:b/>
          <w:bCs/>
        </w:rPr>
        <w:t>a 2.66</w:t>
      </w:r>
      <w:r w:rsidRPr="00B10000">
        <w:rPr>
          <w:b/>
          <w:bCs/>
        </w:rPr>
        <w:t>% increase in expenditure for the Scheme).</w:t>
      </w:r>
      <w:r>
        <w:t xml:space="preserve"> </w:t>
      </w:r>
      <w:r>
        <w:fldChar w:fldCharType="begin"/>
      </w:r>
      <w:r>
        <w:instrText xml:space="preserve"> REF _Ref157433681 \h </w:instrText>
      </w:r>
      <w:r>
        <w:fldChar w:fldCharType="separate"/>
      </w:r>
      <w:r w:rsidR="00FE1418">
        <w:t xml:space="preserve">Figure </w:t>
      </w:r>
      <w:r w:rsidR="00FE1418">
        <w:rPr>
          <w:noProof/>
        </w:rPr>
        <w:t>36</w:t>
      </w:r>
      <w:r>
        <w:fldChar w:fldCharType="end"/>
      </w:r>
      <w:r>
        <w:t xml:space="preserve"> </w:t>
      </w:r>
      <w:r w:rsidRPr="0016467D">
        <w:t xml:space="preserve">provides the </w:t>
      </w:r>
      <w:r>
        <w:t>projected</w:t>
      </w:r>
      <w:r w:rsidRPr="0016467D">
        <w:t xml:space="preserve"> three years </w:t>
      </w:r>
      <w:r>
        <w:t xml:space="preserve">of expenditure </w:t>
      </w:r>
      <w:r w:rsidRPr="0016467D">
        <w:t>related to this scenario</w:t>
      </w:r>
      <w:r>
        <w:t>.</w:t>
      </w:r>
    </w:p>
    <w:p w14:paraId="440BBF66" w14:textId="3B5D15BE" w:rsidR="0067259E" w:rsidRDefault="0067259E" w:rsidP="0067259E">
      <w:pPr>
        <w:pStyle w:val="Caption"/>
      </w:pPr>
      <w:bookmarkStart w:id="166" w:name="_Ref157433681"/>
      <w:bookmarkStart w:id="167" w:name="_Toc161743160"/>
      <w:r>
        <w:t xml:space="preserve">Figure </w:t>
      </w:r>
      <w:r>
        <w:fldChar w:fldCharType="begin"/>
      </w:r>
      <w:r>
        <w:instrText xml:space="preserve"> SEQ Figure \* ARABIC </w:instrText>
      </w:r>
      <w:r>
        <w:fldChar w:fldCharType="separate"/>
      </w:r>
      <w:r w:rsidR="00FE1418">
        <w:rPr>
          <w:noProof/>
        </w:rPr>
        <w:t>36</w:t>
      </w:r>
      <w:r>
        <w:rPr>
          <w:noProof/>
        </w:rPr>
        <w:fldChar w:fldCharType="end"/>
      </w:r>
      <w:bookmarkEnd w:id="166"/>
      <w:r>
        <w:t>: Expenditure related to increases in ostomate numbers on the Scheme</w:t>
      </w:r>
      <w:bookmarkEnd w:id="167"/>
    </w:p>
    <w:tbl>
      <w:tblPr>
        <w:tblStyle w:val="TableHealthConsultPurple"/>
        <w:tblpPr w:leftFromText="180" w:rightFromText="180" w:vertAnchor="text" w:horzAnchor="page" w:tblpX="8016" w:tblpY="137"/>
        <w:tblW w:w="2445" w:type="pct"/>
        <w:tblLayout w:type="fixed"/>
        <w:tblLook w:val="04A0" w:firstRow="1" w:lastRow="0" w:firstColumn="1" w:lastColumn="0" w:noHBand="0" w:noVBand="1"/>
      </w:tblPr>
      <w:tblGrid>
        <w:gridCol w:w="990"/>
        <w:gridCol w:w="3403"/>
        <w:gridCol w:w="2695"/>
        <w:gridCol w:w="37"/>
      </w:tblGrid>
      <w:tr w:rsidR="0067259E" w:rsidRPr="00FC1169" w14:paraId="61CD4C2D" w14:textId="77777777" w:rsidTr="00204561">
        <w:trPr>
          <w:cnfStyle w:val="100000000000" w:firstRow="1" w:lastRow="0" w:firstColumn="0" w:lastColumn="0" w:oddVBand="0" w:evenVBand="0" w:oddHBand="0" w:evenHBand="0" w:firstRowFirstColumn="0" w:firstRowLastColumn="0" w:lastRowFirstColumn="0" w:lastRowLastColumn="0"/>
          <w:trHeight w:val="505"/>
        </w:trPr>
        <w:tc>
          <w:tcPr>
            <w:cnfStyle w:val="001000000100" w:firstRow="0" w:lastRow="0" w:firstColumn="1" w:lastColumn="0" w:oddVBand="0" w:evenVBand="0" w:oddHBand="0" w:evenHBand="0" w:firstRowFirstColumn="1" w:firstRowLastColumn="0" w:lastRowFirstColumn="0" w:lastRowLastColumn="0"/>
            <w:tcW w:w="3083" w:type="pct"/>
            <w:gridSpan w:val="2"/>
            <w:noWrap/>
            <w:hideMark/>
          </w:tcPr>
          <w:p w14:paraId="2D5A5AB6" w14:textId="77777777" w:rsidR="0067259E" w:rsidRPr="00FC1169" w:rsidRDefault="0067259E" w:rsidP="005C7AC1">
            <w:pPr>
              <w:pStyle w:val="BodyText"/>
              <w:jc w:val="center"/>
              <w:rPr>
                <w:sz w:val="16"/>
                <w:szCs w:val="16"/>
                <w:lang w:eastAsia="en-AU"/>
              </w:rPr>
            </w:pPr>
            <w:r w:rsidRPr="00FC1169">
              <w:rPr>
                <w:sz w:val="16"/>
                <w:szCs w:val="16"/>
                <w:lang w:eastAsia="en-AU"/>
              </w:rPr>
              <w:t>Scenario</w:t>
            </w:r>
            <w:r>
              <w:rPr>
                <w:sz w:val="16"/>
                <w:szCs w:val="16"/>
                <w:lang w:eastAsia="en-AU"/>
              </w:rPr>
              <w:t>:</w:t>
            </w:r>
          </w:p>
        </w:tc>
        <w:tc>
          <w:tcPr>
            <w:tcW w:w="1917" w:type="pct"/>
            <w:gridSpan w:val="2"/>
            <w:noWrap/>
            <w:hideMark/>
          </w:tcPr>
          <w:p w14:paraId="7E56C4EA" w14:textId="77777777" w:rsidR="0067259E" w:rsidRPr="00FC1169" w:rsidRDefault="0067259E" w:rsidP="005C7AC1">
            <w:pPr>
              <w:pStyle w:val="BodyText"/>
              <w:cnfStyle w:val="100000000000" w:firstRow="1" w:lastRow="0" w:firstColumn="0" w:lastColumn="0" w:oddVBand="0" w:evenVBand="0" w:oddHBand="0" w:evenHBand="0" w:firstRowFirstColumn="0" w:firstRowLastColumn="0" w:lastRowFirstColumn="0" w:lastRowLastColumn="0"/>
              <w:rPr>
                <w:bCs/>
                <w:sz w:val="16"/>
                <w:szCs w:val="16"/>
                <w:lang w:eastAsia="en-AU"/>
              </w:rPr>
            </w:pPr>
            <w:r w:rsidRPr="00FC1169">
              <w:rPr>
                <w:bCs/>
                <w:sz w:val="16"/>
                <w:szCs w:val="16"/>
                <w:lang w:eastAsia="en-AU"/>
              </w:rPr>
              <w:t>Increase in ostomates in line with population growth</w:t>
            </w:r>
          </w:p>
        </w:tc>
      </w:tr>
      <w:tr w:rsidR="0067259E" w:rsidRPr="00FC1169" w14:paraId="49F0C72D" w14:textId="77777777" w:rsidTr="00D70686">
        <w:trPr>
          <w:gridAfter w:val="1"/>
          <w:wAfter w:w="26" w:type="pct"/>
          <w:trHeight w:val="405"/>
        </w:trPr>
        <w:tc>
          <w:tcPr>
            <w:cnfStyle w:val="001000000000" w:firstRow="0" w:lastRow="0" w:firstColumn="1" w:lastColumn="0" w:oddVBand="0" w:evenVBand="0" w:oddHBand="0" w:evenHBand="0" w:firstRowFirstColumn="0" w:firstRowLastColumn="0" w:lastRowFirstColumn="0" w:lastRowLastColumn="0"/>
            <w:tcW w:w="695" w:type="pct"/>
            <w:vMerge w:val="restart"/>
            <w:hideMark/>
          </w:tcPr>
          <w:p w14:paraId="1BF04E44" w14:textId="77777777" w:rsidR="0067259E" w:rsidRPr="00FC1169" w:rsidRDefault="0067259E" w:rsidP="005C7AC1">
            <w:pPr>
              <w:pStyle w:val="BodyText"/>
              <w:rPr>
                <w:b w:val="0"/>
                <w:bCs/>
                <w:sz w:val="16"/>
                <w:szCs w:val="16"/>
                <w:lang w:eastAsia="en-AU"/>
              </w:rPr>
            </w:pPr>
            <w:r w:rsidRPr="00FC1169">
              <w:rPr>
                <w:bCs/>
                <w:sz w:val="16"/>
                <w:szCs w:val="16"/>
                <w:lang w:eastAsia="en-AU"/>
              </w:rPr>
              <w:t>2023-24</w:t>
            </w:r>
          </w:p>
        </w:tc>
        <w:tc>
          <w:tcPr>
            <w:tcW w:w="2388" w:type="pct"/>
            <w:hideMark/>
          </w:tcPr>
          <w:p w14:paraId="6CF73A1A" w14:textId="77777777" w:rsidR="0067259E" w:rsidRPr="00B11298" w:rsidRDefault="0067259E" w:rsidP="005C7AC1">
            <w:pPr>
              <w:pStyle w:val="BodyText"/>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B11298">
              <w:rPr>
                <w:b/>
                <w:bCs/>
                <w:sz w:val="16"/>
                <w:szCs w:val="16"/>
                <w:lang w:eastAsia="en-AU"/>
              </w:rPr>
              <w:t>Change in expenditure from predicted</w:t>
            </w:r>
          </w:p>
        </w:tc>
        <w:tc>
          <w:tcPr>
            <w:tcW w:w="1891" w:type="pct"/>
            <w:noWrap/>
            <w:hideMark/>
          </w:tcPr>
          <w:p w14:paraId="637CE883" w14:textId="77777777" w:rsidR="0067259E" w:rsidRPr="00B11298" w:rsidRDefault="0067259E" w:rsidP="005C7AC1">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B11298">
              <w:rPr>
                <w:b/>
                <w:bCs/>
                <w:color w:val="000000"/>
                <w:sz w:val="16"/>
                <w:szCs w:val="16"/>
              </w:rPr>
              <w:t xml:space="preserve">$1,345,479 </w:t>
            </w:r>
          </w:p>
        </w:tc>
      </w:tr>
      <w:tr w:rsidR="0067259E" w:rsidRPr="00FC1169" w14:paraId="1CAF2DF4" w14:textId="77777777" w:rsidTr="00D70686">
        <w:trPr>
          <w:gridAfter w:val="1"/>
          <w:cnfStyle w:val="000000010000" w:firstRow="0" w:lastRow="0" w:firstColumn="0" w:lastColumn="0" w:oddVBand="0" w:evenVBand="0" w:oddHBand="0" w:evenHBand="1" w:firstRowFirstColumn="0" w:firstRowLastColumn="0" w:lastRowFirstColumn="0" w:lastRowLastColumn="0"/>
          <w:wAfter w:w="26" w:type="pct"/>
          <w:trHeight w:val="405"/>
        </w:trPr>
        <w:tc>
          <w:tcPr>
            <w:cnfStyle w:val="001000000000" w:firstRow="0" w:lastRow="0" w:firstColumn="1" w:lastColumn="0" w:oddVBand="0" w:evenVBand="0" w:oddHBand="0" w:evenHBand="0" w:firstRowFirstColumn="0" w:firstRowLastColumn="0" w:lastRowFirstColumn="0" w:lastRowLastColumn="0"/>
            <w:tcW w:w="695" w:type="pct"/>
            <w:vMerge/>
            <w:hideMark/>
          </w:tcPr>
          <w:p w14:paraId="3515DE2B" w14:textId="77777777" w:rsidR="0067259E" w:rsidRPr="00FC1169" w:rsidRDefault="0067259E" w:rsidP="005C7AC1">
            <w:pPr>
              <w:pStyle w:val="BodyText"/>
              <w:rPr>
                <w:bCs/>
                <w:sz w:val="16"/>
                <w:szCs w:val="16"/>
                <w:lang w:eastAsia="en-AU"/>
              </w:rPr>
            </w:pPr>
          </w:p>
        </w:tc>
        <w:tc>
          <w:tcPr>
            <w:tcW w:w="2388" w:type="pct"/>
            <w:hideMark/>
          </w:tcPr>
          <w:p w14:paraId="22F8E2C7" w14:textId="77777777" w:rsidR="0067259E" w:rsidRPr="00FC1169" w:rsidRDefault="0067259E" w:rsidP="005C7AC1">
            <w:pPr>
              <w:pStyle w:val="BodyText"/>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FC1169">
              <w:rPr>
                <w:bCs/>
                <w:sz w:val="16"/>
                <w:szCs w:val="16"/>
                <w:lang w:eastAsia="en-AU"/>
              </w:rPr>
              <w:t xml:space="preserve">Percentage change </w:t>
            </w:r>
          </w:p>
        </w:tc>
        <w:tc>
          <w:tcPr>
            <w:tcW w:w="1891" w:type="pct"/>
            <w:noWrap/>
            <w:hideMark/>
          </w:tcPr>
          <w:p w14:paraId="4120A6E3" w14:textId="77777777" w:rsidR="0067259E" w:rsidRPr="00FC1169" w:rsidRDefault="0067259E" w:rsidP="005C7AC1">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sidRPr="00FC1169">
              <w:rPr>
                <w:color w:val="000000"/>
                <w:sz w:val="16"/>
                <w:szCs w:val="16"/>
              </w:rPr>
              <w:t>+1.17%</w:t>
            </w:r>
          </w:p>
        </w:tc>
      </w:tr>
      <w:tr w:rsidR="0067259E" w:rsidRPr="00FC1169" w14:paraId="18BD5E80" w14:textId="77777777" w:rsidTr="00D70686">
        <w:trPr>
          <w:gridAfter w:val="1"/>
          <w:wAfter w:w="26" w:type="pct"/>
          <w:trHeight w:val="503"/>
        </w:trPr>
        <w:tc>
          <w:tcPr>
            <w:cnfStyle w:val="001000000000" w:firstRow="0" w:lastRow="0" w:firstColumn="1" w:lastColumn="0" w:oddVBand="0" w:evenVBand="0" w:oddHBand="0" w:evenHBand="0" w:firstRowFirstColumn="0" w:firstRowLastColumn="0" w:lastRowFirstColumn="0" w:lastRowLastColumn="0"/>
            <w:tcW w:w="695" w:type="pct"/>
            <w:vMerge w:val="restart"/>
            <w:hideMark/>
          </w:tcPr>
          <w:p w14:paraId="0782BB2B" w14:textId="77777777" w:rsidR="0067259E" w:rsidRPr="00FC1169" w:rsidRDefault="0067259E" w:rsidP="005C7AC1">
            <w:pPr>
              <w:pStyle w:val="BodyText"/>
              <w:rPr>
                <w:b w:val="0"/>
                <w:bCs/>
                <w:sz w:val="16"/>
                <w:szCs w:val="16"/>
                <w:lang w:eastAsia="en-AU"/>
              </w:rPr>
            </w:pPr>
            <w:r w:rsidRPr="00FC1169">
              <w:rPr>
                <w:bCs/>
                <w:sz w:val="16"/>
                <w:szCs w:val="16"/>
                <w:lang w:eastAsia="en-AU"/>
              </w:rPr>
              <w:t>2024-25</w:t>
            </w:r>
          </w:p>
        </w:tc>
        <w:tc>
          <w:tcPr>
            <w:tcW w:w="2388" w:type="pct"/>
            <w:hideMark/>
          </w:tcPr>
          <w:p w14:paraId="3D5305B6" w14:textId="77777777" w:rsidR="0067259E" w:rsidRPr="00B11298" w:rsidRDefault="0067259E" w:rsidP="005C7AC1">
            <w:pPr>
              <w:pStyle w:val="BodyText"/>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B11298">
              <w:rPr>
                <w:b/>
                <w:bCs/>
                <w:sz w:val="16"/>
                <w:szCs w:val="16"/>
                <w:lang w:eastAsia="en-AU"/>
              </w:rPr>
              <w:t>Change in expenditure</w:t>
            </w:r>
            <w:r w:rsidRPr="00B11298">
              <w:rPr>
                <w:b/>
                <w:bCs/>
                <w:sz w:val="16"/>
                <w:szCs w:val="16"/>
              </w:rPr>
              <w:t xml:space="preserve"> </w:t>
            </w:r>
            <w:r w:rsidRPr="00B11298">
              <w:rPr>
                <w:b/>
                <w:bCs/>
                <w:sz w:val="16"/>
                <w:szCs w:val="16"/>
                <w:lang w:eastAsia="en-AU"/>
              </w:rPr>
              <w:t>from predicted</w:t>
            </w:r>
          </w:p>
        </w:tc>
        <w:tc>
          <w:tcPr>
            <w:tcW w:w="1891" w:type="pct"/>
            <w:noWrap/>
            <w:hideMark/>
          </w:tcPr>
          <w:p w14:paraId="350EED96" w14:textId="77777777" w:rsidR="0067259E" w:rsidRPr="00B11298" w:rsidRDefault="0067259E" w:rsidP="005C7AC1">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B11298">
              <w:rPr>
                <w:b/>
                <w:bCs/>
                <w:color w:val="000000"/>
                <w:sz w:val="16"/>
                <w:szCs w:val="16"/>
              </w:rPr>
              <w:t xml:space="preserve">$2,452,582 </w:t>
            </w:r>
          </w:p>
        </w:tc>
      </w:tr>
      <w:tr w:rsidR="0067259E" w:rsidRPr="00FC1169" w14:paraId="36B13108" w14:textId="77777777" w:rsidTr="00D70686">
        <w:trPr>
          <w:gridAfter w:val="1"/>
          <w:cnfStyle w:val="000000010000" w:firstRow="0" w:lastRow="0" w:firstColumn="0" w:lastColumn="0" w:oddVBand="0" w:evenVBand="0" w:oddHBand="0" w:evenHBand="1" w:firstRowFirstColumn="0" w:firstRowLastColumn="0" w:lastRowFirstColumn="0" w:lastRowLastColumn="0"/>
          <w:wAfter w:w="26" w:type="pct"/>
          <w:trHeight w:val="405"/>
        </w:trPr>
        <w:tc>
          <w:tcPr>
            <w:cnfStyle w:val="001000000000" w:firstRow="0" w:lastRow="0" w:firstColumn="1" w:lastColumn="0" w:oddVBand="0" w:evenVBand="0" w:oddHBand="0" w:evenHBand="0" w:firstRowFirstColumn="0" w:firstRowLastColumn="0" w:lastRowFirstColumn="0" w:lastRowLastColumn="0"/>
            <w:tcW w:w="695" w:type="pct"/>
            <w:vMerge/>
            <w:hideMark/>
          </w:tcPr>
          <w:p w14:paraId="33DF0129" w14:textId="77777777" w:rsidR="0067259E" w:rsidRPr="00FC1169" w:rsidRDefault="0067259E" w:rsidP="005C7AC1">
            <w:pPr>
              <w:pStyle w:val="BodyText"/>
              <w:rPr>
                <w:bCs/>
                <w:sz w:val="16"/>
                <w:szCs w:val="16"/>
                <w:lang w:eastAsia="en-AU"/>
              </w:rPr>
            </w:pPr>
          </w:p>
        </w:tc>
        <w:tc>
          <w:tcPr>
            <w:tcW w:w="2388" w:type="pct"/>
            <w:hideMark/>
          </w:tcPr>
          <w:p w14:paraId="0D3C3F44" w14:textId="77777777" w:rsidR="0067259E" w:rsidRPr="00FC1169" w:rsidRDefault="0067259E" w:rsidP="005C7AC1">
            <w:pPr>
              <w:pStyle w:val="BodyText"/>
              <w:cnfStyle w:val="000000010000" w:firstRow="0" w:lastRow="0" w:firstColumn="0" w:lastColumn="0" w:oddVBand="0" w:evenVBand="0" w:oddHBand="0" w:evenHBand="1" w:firstRowFirstColumn="0" w:firstRowLastColumn="0" w:lastRowFirstColumn="0" w:lastRowLastColumn="0"/>
              <w:rPr>
                <w:bCs/>
                <w:sz w:val="16"/>
                <w:szCs w:val="16"/>
                <w:lang w:eastAsia="en-AU"/>
              </w:rPr>
            </w:pPr>
            <w:r w:rsidRPr="00FC1169">
              <w:rPr>
                <w:bCs/>
                <w:sz w:val="16"/>
                <w:szCs w:val="16"/>
                <w:lang w:eastAsia="en-AU"/>
              </w:rPr>
              <w:t xml:space="preserve">Percentage change </w:t>
            </w:r>
          </w:p>
        </w:tc>
        <w:tc>
          <w:tcPr>
            <w:tcW w:w="1891" w:type="pct"/>
            <w:noWrap/>
            <w:hideMark/>
          </w:tcPr>
          <w:p w14:paraId="5B53BE1C" w14:textId="77777777" w:rsidR="0067259E" w:rsidRPr="00FC1169" w:rsidRDefault="0067259E" w:rsidP="005C7AC1">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sidRPr="00FC1169">
              <w:rPr>
                <w:color w:val="000000"/>
                <w:sz w:val="16"/>
                <w:szCs w:val="16"/>
              </w:rPr>
              <w:t>+2.03%</w:t>
            </w:r>
          </w:p>
        </w:tc>
      </w:tr>
      <w:tr w:rsidR="0067259E" w:rsidRPr="00FC1169" w14:paraId="471F82E9" w14:textId="77777777" w:rsidTr="00D70686">
        <w:trPr>
          <w:gridAfter w:val="1"/>
          <w:wAfter w:w="26" w:type="pct"/>
          <w:trHeight w:val="405"/>
        </w:trPr>
        <w:tc>
          <w:tcPr>
            <w:cnfStyle w:val="001000000000" w:firstRow="0" w:lastRow="0" w:firstColumn="1" w:lastColumn="0" w:oddVBand="0" w:evenVBand="0" w:oddHBand="0" w:evenHBand="0" w:firstRowFirstColumn="0" w:firstRowLastColumn="0" w:lastRowFirstColumn="0" w:lastRowLastColumn="0"/>
            <w:tcW w:w="695" w:type="pct"/>
            <w:vMerge w:val="restart"/>
            <w:hideMark/>
          </w:tcPr>
          <w:p w14:paraId="46B2D938" w14:textId="77777777" w:rsidR="0067259E" w:rsidRPr="00FC1169" w:rsidRDefault="0067259E" w:rsidP="005C7AC1">
            <w:pPr>
              <w:pStyle w:val="BodyText"/>
              <w:rPr>
                <w:b w:val="0"/>
                <w:bCs/>
                <w:sz w:val="16"/>
                <w:szCs w:val="16"/>
                <w:lang w:eastAsia="en-AU"/>
              </w:rPr>
            </w:pPr>
            <w:r w:rsidRPr="00FC1169">
              <w:rPr>
                <w:bCs/>
                <w:sz w:val="16"/>
                <w:szCs w:val="16"/>
                <w:lang w:eastAsia="en-AU"/>
              </w:rPr>
              <w:t>2025-26</w:t>
            </w:r>
          </w:p>
        </w:tc>
        <w:tc>
          <w:tcPr>
            <w:tcW w:w="2388" w:type="pct"/>
            <w:hideMark/>
          </w:tcPr>
          <w:p w14:paraId="564426F6" w14:textId="77777777" w:rsidR="0067259E" w:rsidRPr="00B11298" w:rsidRDefault="0067259E" w:rsidP="005C7AC1">
            <w:pPr>
              <w:pStyle w:val="BodyText"/>
              <w:cnfStyle w:val="000000000000" w:firstRow="0" w:lastRow="0" w:firstColumn="0" w:lastColumn="0" w:oddVBand="0" w:evenVBand="0" w:oddHBand="0" w:evenHBand="0" w:firstRowFirstColumn="0" w:firstRowLastColumn="0" w:lastRowFirstColumn="0" w:lastRowLastColumn="0"/>
              <w:rPr>
                <w:b/>
                <w:bCs/>
                <w:sz w:val="16"/>
                <w:szCs w:val="16"/>
                <w:lang w:eastAsia="en-AU"/>
              </w:rPr>
            </w:pPr>
            <w:r w:rsidRPr="00B11298">
              <w:rPr>
                <w:b/>
                <w:bCs/>
                <w:sz w:val="16"/>
                <w:szCs w:val="16"/>
                <w:lang w:eastAsia="en-AU"/>
              </w:rPr>
              <w:t>Change in expenditure</w:t>
            </w:r>
            <w:r w:rsidRPr="00B11298">
              <w:rPr>
                <w:b/>
                <w:bCs/>
                <w:sz w:val="16"/>
                <w:szCs w:val="16"/>
              </w:rPr>
              <w:t xml:space="preserve"> </w:t>
            </w:r>
            <w:r w:rsidRPr="00B11298">
              <w:rPr>
                <w:b/>
                <w:bCs/>
                <w:sz w:val="16"/>
                <w:szCs w:val="16"/>
                <w:lang w:eastAsia="en-AU"/>
              </w:rPr>
              <w:t>from</w:t>
            </w:r>
            <w:r w:rsidRPr="00B11298">
              <w:rPr>
                <w:b/>
                <w:bCs/>
                <w:sz w:val="16"/>
                <w:szCs w:val="16"/>
              </w:rPr>
              <w:t xml:space="preserve"> </w:t>
            </w:r>
            <w:r w:rsidRPr="00B11298">
              <w:rPr>
                <w:b/>
                <w:bCs/>
                <w:sz w:val="16"/>
                <w:szCs w:val="16"/>
                <w:lang w:eastAsia="en-AU"/>
              </w:rPr>
              <w:t>predicted</w:t>
            </w:r>
          </w:p>
        </w:tc>
        <w:tc>
          <w:tcPr>
            <w:tcW w:w="1891" w:type="pct"/>
            <w:noWrap/>
            <w:hideMark/>
          </w:tcPr>
          <w:p w14:paraId="0F97A19B" w14:textId="77777777" w:rsidR="0067259E" w:rsidRPr="00B11298" w:rsidRDefault="0067259E" w:rsidP="005C7AC1">
            <w:pPr>
              <w:pStyle w:val="BodyText"/>
              <w:cnfStyle w:val="000000000000" w:firstRow="0" w:lastRow="0" w:firstColumn="0" w:lastColumn="0" w:oddVBand="0" w:evenVBand="0" w:oddHBand="0" w:evenHBand="0" w:firstRowFirstColumn="0" w:firstRowLastColumn="0" w:lastRowFirstColumn="0" w:lastRowLastColumn="0"/>
              <w:rPr>
                <w:b/>
                <w:bCs/>
                <w:color w:val="000000"/>
                <w:sz w:val="16"/>
                <w:szCs w:val="16"/>
                <w:lang w:eastAsia="en-AU"/>
              </w:rPr>
            </w:pPr>
            <w:r w:rsidRPr="00B11298">
              <w:rPr>
                <w:b/>
                <w:bCs/>
                <w:color w:val="000000"/>
                <w:sz w:val="16"/>
                <w:szCs w:val="16"/>
              </w:rPr>
              <w:t xml:space="preserve">$3,378,739 </w:t>
            </w:r>
          </w:p>
        </w:tc>
      </w:tr>
      <w:tr w:rsidR="0067259E" w:rsidRPr="00FC1169" w14:paraId="40E0409D" w14:textId="77777777" w:rsidTr="00D70686">
        <w:trPr>
          <w:gridAfter w:val="1"/>
          <w:cnfStyle w:val="000000010000" w:firstRow="0" w:lastRow="0" w:firstColumn="0" w:lastColumn="0" w:oddVBand="0" w:evenVBand="0" w:oddHBand="0" w:evenHBand="1" w:firstRowFirstColumn="0" w:firstRowLastColumn="0" w:lastRowFirstColumn="0" w:lastRowLastColumn="0"/>
          <w:wAfter w:w="26" w:type="pct"/>
          <w:trHeight w:val="405"/>
        </w:trPr>
        <w:tc>
          <w:tcPr>
            <w:cnfStyle w:val="001000000000" w:firstRow="0" w:lastRow="0" w:firstColumn="1" w:lastColumn="0" w:oddVBand="0" w:evenVBand="0" w:oddHBand="0" w:evenHBand="0" w:firstRowFirstColumn="0" w:firstRowLastColumn="0" w:lastRowFirstColumn="0" w:lastRowLastColumn="0"/>
            <w:tcW w:w="695" w:type="pct"/>
            <w:vMerge/>
            <w:hideMark/>
          </w:tcPr>
          <w:p w14:paraId="1EEE090D" w14:textId="77777777" w:rsidR="0067259E" w:rsidRPr="00FC1169" w:rsidRDefault="0067259E" w:rsidP="005C7AC1">
            <w:pPr>
              <w:pStyle w:val="BodyText"/>
              <w:rPr>
                <w:sz w:val="16"/>
                <w:szCs w:val="16"/>
                <w:lang w:eastAsia="en-AU"/>
              </w:rPr>
            </w:pPr>
          </w:p>
        </w:tc>
        <w:tc>
          <w:tcPr>
            <w:tcW w:w="2388" w:type="pct"/>
            <w:hideMark/>
          </w:tcPr>
          <w:p w14:paraId="2CDDFA7C" w14:textId="77777777" w:rsidR="0067259E" w:rsidRPr="00FC1169" w:rsidRDefault="0067259E" w:rsidP="005C7AC1">
            <w:pPr>
              <w:pStyle w:val="BodyText"/>
              <w:cnfStyle w:val="000000010000" w:firstRow="0" w:lastRow="0" w:firstColumn="0" w:lastColumn="0" w:oddVBand="0" w:evenVBand="0" w:oddHBand="0" w:evenHBand="1" w:firstRowFirstColumn="0" w:firstRowLastColumn="0" w:lastRowFirstColumn="0" w:lastRowLastColumn="0"/>
              <w:rPr>
                <w:sz w:val="16"/>
                <w:szCs w:val="16"/>
                <w:lang w:eastAsia="en-AU"/>
              </w:rPr>
            </w:pPr>
            <w:r w:rsidRPr="00FC1169">
              <w:rPr>
                <w:sz w:val="16"/>
                <w:szCs w:val="16"/>
                <w:lang w:eastAsia="en-AU"/>
              </w:rPr>
              <w:t>Percentage change</w:t>
            </w:r>
          </w:p>
        </w:tc>
        <w:tc>
          <w:tcPr>
            <w:tcW w:w="1891" w:type="pct"/>
            <w:noWrap/>
            <w:hideMark/>
          </w:tcPr>
          <w:p w14:paraId="5ADF3AD1" w14:textId="77777777" w:rsidR="0067259E" w:rsidRPr="00FC1169" w:rsidRDefault="0067259E" w:rsidP="005C7AC1">
            <w:pPr>
              <w:pStyle w:val="BodyText"/>
              <w:cnfStyle w:val="000000010000" w:firstRow="0" w:lastRow="0" w:firstColumn="0" w:lastColumn="0" w:oddVBand="0" w:evenVBand="0" w:oddHBand="0" w:evenHBand="1" w:firstRowFirstColumn="0" w:firstRowLastColumn="0" w:lastRowFirstColumn="0" w:lastRowLastColumn="0"/>
              <w:rPr>
                <w:color w:val="000000"/>
                <w:sz w:val="16"/>
                <w:szCs w:val="16"/>
                <w:lang w:eastAsia="en-AU"/>
              </w:rPr>
            </w:pPr>
            <w:r w:rsidRPr="00FC1169">
              <w:rPr>
                <w:color w:val="000000"/>
                <w:sz w:val="16"/>
                <w:szCs w:val="16"/>
              </w:rPr>
              <w:t>+2.66%</w:t>
            </w:r>
          </w:p>
        </w:tc>
      </w:tr>
    </w:tbl>
    <w:p w14:paraId="1C114BD8" w14:textId="6C258488" w:rsidR="00B65767" w:rsidRPr="00B65767" w:rsidRDefault="0067259E" w:rsidP="00204561">
      <w:pPr>
        <w:pStyle w:val="NormalSmall"/>
      </w:pPr>
      <w:r>
        <w:rPr>
          <w:b/>
          <w:bCs/>
          <w:noProof/>
        </w:rPr>
        <w:drawing>
          <wp:inline distT="0" distB="0" distL="0" distR="0" wp14:anchorId="1C480F0D" wp14:editId="7489223A">
            <wp:extent cx="3903590" cy="2543175"/>
            <wp:effectExtent l="0" t="0" r="1905" b="0"/>
            <wp:docPr id="709621868"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21868" name="Picture 46">
                      <a:extLst>
                        <a:ext uri="{C183D7F6-B498-43B3-948B-1728B52AA6E4}">
                          <adec:decorative xmlns:adec="http://schemas.microsoft.com/office/drawing/2017/decorative" val="1"/>
                        </a:ext>
                      </a:extLs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21733" cy="2554995"/>
                    </a:xfrm>
                    <a:prstGeom prst="rect">
                      <a:avLst/>
                    </a:prstGeom>
                    <a:noFill/>
                  </pic:spPr>
                </pic:pic>
              </a:graphicData>
            </a:graphic>
          </wp:inline>
        </w:drawing>
      </w:r>
    </w:p>
    <w:sectPr w:rsidR="00B65767" w:rsidRPr="00B65767" w:rsidSect="00361225">
      <w:pgSz w:w="16838" w:h="11906" w:orient="landscape" w:code="9"/>
      <w:pgMar w:top="1134" w:right="1134" w:bottom="1134"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DB87F" w14:textId="77777777" w:rsidR="00544DAD" w:rsidRDefault="00544DAD" w:rsidP="00FA7E85">
      <w:r>
        <w:separator/>
      </w:r>
    </w:p>
  </w:endnote>
  <w:endnote w:type="continuationSeparator" w:id="0">
    <w:p w14:paraId="20F92DB7" w14:textId="77777777" w:rsidR="00544DAD" w:rsidRDefault="00544DAD" w:rsidP="00FA7E85">
      <w:r>
        <w:continuationSeparator/>
      </w:r>
    </w:p>
  </w:endnote>
  <w:endnote w:type="continuationNotice" w:id="1">
    <w:p w14:paraId="5F4F6638" w14:textId="77777777" w:rsidR="00544DAD" w:rsidRDefault="00544DA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oppins">
    <w:charset w:val="00"/>
    <w:family w:val="auto"/>
    <w:pitch w:val="variable"/>
    <w:sig w:usb0="00008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ontserrat SemiBold">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Poppins SemiBold">
    <w:altName w:val="Cambria"/>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1DAE2" w14:textId="77777777" w:rsidR="00C23C28" w:rsidRDefault="00C23C28" w:rsidP="00B43BDE">
    <w:pPr>
      <w:pStyle w:val="Footer"/>
      <w:spacing w:after="120"/>
    </w:pPr>
  </w:p>
  <w:p w14:paraId="69B6D15D" w14:textId="77777777" w:rsidR="000E6B70" w:rsidRDefault="000E6B70" w:rsidP="00B43BDE">
    <w:pPr>
      <w:pStyle w:val="Footer"/>
      <w:spacing w:after="120"/>
    </w:pPr>
  </w:p>
  <w:p w14:paraId="258ABEA5" w14:textId="77777777" w:rsidR="00B43BDE" w:rsidRDefault="00B43BDE" w:rsidP="00B43BDE">
    <w:pPr>
      <w:pStyle w:val="Footer"/>
    </w:pPr>
  </w:p>
  <w:tbl>
    <w:tblPr>
      <w:tblStyle w:val="LayoutGrid"/>
      <w:tblW w:w="4265" w:type="pct"/>
      <w:tblLook w:val="04A0" w:firstRow="1" w:lastRow="0" w:firstColumn="1" w:lastColumn="0" w:noHBand="0" w:noVBand="1"/>
    </w:tblPr>
    <w:tblGrid>
      <w:gridCol w:w="2482"/>
      <w:gridCol w:w="5982"/>
    </w:tblGrid>
    <w:tr w:rsidR="00B43BDE" w:rsidRPr="00BA6CE8" w14:paraId="00627E1F" w14:textId="77777777" w:rsidTr="008A795F">
      <w:tc>
        <w:tcPr>
          <w:tcW w:w="1466" w:type="pct"/>
          <w:vAlign w:val="bottom"/>
        </w:tcPr>
        <w:p w14:paraId="56C07BF5" w14:textId="77777777" w:rsidR="00B43BDE" w:rsidRPr="00BA6CE8" w:rsidRDefault="00B43BDE" w:rsidP="00B43BDE">
          <w:pPr>
            <w:pStyle w:val="Footer"/>
            <w:spacing w:after="40"/>
          </w:pPr>
          <w:r w:rsidRPr="00BA6CE8">
            <w:rPr>
              <w:noProof/>
            </w:rPr>
            <w:drawing>
              <wp:inline distT="0" distB="0" distL="0" distR="0" wp14:anchorId="49F1FC62" wp14:editId="636C21BA">
                <wp:extent cx="1314000" cy="336910"/>
                <wp:effectExtent l="0" t="0" r="635" b="6350"/>
                <wp:docPr id="312838382" name="Graphic 312838382" descr="HealthConsul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98874" name="Graphic 993398874" descr="HealthConsult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4000" cy="336910"/>
                        </a:xfrm>
                        <a:prstGeom prst="rect">
                          <a:avLst/>
                        </a:prstGeom>
                      </pic:spPr>
                    </pic:pic>
                  </a:graphicData>
                </a:graphic>
              </wp:inline>
            </w:drawing>
          </w:r>
        </w:p>
      </w:tc>
      <w:tc>
        <w:tcPr>
          <w:tcW w:w="3534" w:type="pct"/>
          <w:vAlign w:val="bottom"/>
        </w:tcPr>
        <w:p w14:paraId="316052CD" w14:textId="7AD5C30C" w:rsidR="002F7160" w:rsidRDefault="002557C9" w:rsidP="00FD76BB">
          <w:pPr>
            <w:pStyle w:val="Footer"/>
          </w:pPr>
          <w:sdt>
            <w:sdtPr>
              <w:alias w:val="Client"/>
              <w:tag w:val="Abstract"/>
              <w:id w:val="-1946992170"/>
              <w:dataBinding w:prefixMappings="xmlns:ns0='http://schemas.microsoft.com/office/2006/coverPageProps' " w:xpath="/ns0:CoverPageProperties[1]/ns0:Abstract[1]" w:storeItemID="{55AF091B-3C7A-41E3-B477-F2FDAA23CFDA}"/>
              <w:text/>
            </w:sdtPr>
            <w:sdtEndPr/>
            <w:sdtContent>
              <w:r w:rsidR="00E35CAE">
                <w:t>Department of Health and Aged Care</w:t>
              </w:r>
            </w:sdtContent>
          </w:sdt>
        </w:p>
        <w:p w14:paraId="5755526C" w14:textId="01FC890C" w:rsidR="002F7160" w:rsidRDefault="002557C9" w:rsidP="00FD76BB">
          <w:pPr>
            <w:pStyle w:val="Footer"/>
          </w:pPr>
          <w:sdt>
            <w:sdtPr>
              <w:alias w:val="Project Name"/>
              <w:tag w:val="Subject"/>
              <w:id w:val="53292108"/>
              <w:dataBinding w:prefixMappings="xmlns:ns0='http://purl.org/dc/elements/1.1/' xmlns:ns1='http://schemas.openxmlformats.org/package/2006/metadata/core-properties' " w:xpath="/ns1:coreProperties[1]/ns0:subject[1]" w:storeItemID="{6C3C8BC8-F283-45AE-878A-BAB7291924A1}"/>
              <w:text/>
            </w:sdtPr>
            <w:sdtEndPr/>
            <w:sdtContent>
              <w:r w:rsidR="00F33893">
                <w:t>Review of the Stoma Appliance Scheme</w:t>
              </w:r>
            </w:sdtContent>
          </w:sdt>
        </w:p>
        <w:p w14:paraId="7F47CBCD" w14:textId="429C3C5B" w:rsidR="00B43BDE" w:rsidRPr="00BA6CE8" w:rsidRDefault="002557C9" w:rsidP="00FD76BB">
          <w:pPr>
            <w:pStyle w:val="Footer"/>
          </w:pPr>
          <w:sdt>
            <w:sdtPr>
              <w:alias w:val="Title"/>
              <w:tag w:val=""/>
              <w:id w:val="-1372832675"/>
              <w:dataBinding w:prefixMappings="xmlns:ns0='http://purl.org/dc/elements/1.1/' xmlns:ns1='http://schemas.openxmlformats.org/package/2006/metadata/core-properties' " w:xpath="/ns1:coreProperties[1]/ns0:title[1]" w:storeItemID="{6C3C8BC8-F283-45AE-878A-BAB7291924A1}"/>
              <w:text/>
            </w:sdtPr>
            <w:sdtEndPr/>
            <w:sdtContent>
              <w:r w:rsidR="006745D1">
                <w:t>Final Report</w:t>
              </w:r>
            </w:sdtContent>
          </w:sdt>
        </w:p>
      </w:tc>
    </w:tr>
  </w:tbl>
  <w:p w14:paraId="5D8D2E79" w14:textId="77777777" w:rsidR="0094214B" w:rsidRPr="00B43BDE" w:rsidRDefault="00B43BDE" w:rsidP="00B43BDE">
    <w:pPr>
      <w:pStyle w:val="Footer"/>
    </w:pPr>
    <w:r>
      <w:rPr>
        <w:noProof/>
      </w:rPr>
      <mc:AlternateContent>
        <mc:Choice Requires="wps">
          <w:drawing>
            <wp:anchor distT="45720" distB="45720" distL="114300" distR="114300" simplePos="0" relativeHeight="251658241" behindDoc="0" locked="1" layoutInCell="1" allowOverlap="1" wp14:anchorId="4656CC83" wp14:editId="0AF0A5AB">
              <wp:simplePos x="0" y="0"/>
              <wp:positionH relativeFrom="margin">
                <wp:align>right</wp:align>
              </wp:positionH>
              <wp:positionV relativeFrom="paragraph">
                <wp:posOffset>-158115</wp:posOffset>
              </wp:positionV>
              <wp:extent cx="666000" cy="162000"/>
              <wp:effectExtent l="0" t="0" r="1270" b="8255"/>
              <wp:wrapNone/>
              <wp:docPr id="13860837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162000"/>
                      </a:xfrm>
                      <a:prstGeom prst="rect">
                        <a:avLst/>
                      </a:prstGeom>
                      <a:noFill/>
                      <a:ln w="9525">
                        <a:noFill/>
                        <a:miter lim="800000"/>
                        <a:headEnd/>
                        <a:tailEnd/>
                      </a:ln>
                    </wps:spPr>
                    <wps:txbx>
                      <w:txbxContent>
                        <w:p w14:paraId="71CABF0B" w14:textId="77777777" w:rsidR="00B43BDE" w:rsidRPr="00BA6CE8" w:rsidRDefault="00B43BDE" w:rsidP="00B43BDE">
                          <w:pPr>
                            <w:pStyle w:val="Footer"/>
                            <w:jc w:val="right"/>
                            <w:rPr>
                              <w:sz w:val="18"/>
                              <w:szCs w:val="18"/>
                            </w:rPr>
                          </w:pPr>
                          <w:r w:rsidRPr="00BA6CE8">
                            <w:rPr>
                              <w:sz w:val="18"/>
                              <w:szCs w:val="18"/>
                            </w:rPr>
                            <w:fldChar w:fldCharType="begin"/>
                          </w:r>
                          <w:r w:rsidRPr="00BA6CE8">
                            <w:rPr>
                              <w:sz w:val="18"/>
                              <w:szCs w:val="18"/>
                            </w:rPr>
                            <w:instrText xml:space="preserve"> PAGE   \* MERGEFORMAT </w:instrText>
                          </w:r>
                          <w:r w:rsidRPr="00BA6CE8">
                            <w:rPr>
                              <w:sz w:val="18"/>
                              <w:szCs w:val="18"/>
                            </w:rPr>
                            <w:fldChar w:fldCharType="separate"/>
                          </w:r>
                          <w:r w:rsidRPr="00BA6CE8">
                            <w:rPr>
                              <w:sz w:val="18"/>
                              <w:szCs w:val="18"/>
                            </w:rPr>
                            <w:t>1</w:t>
                          </w:r>
                          <w:r w:rsidRPr="00BA6CE8">
                            <w:rPr>
                              <w:sz w:val="18"/>
                              <w:szCs w:val="18"/>
                            </w:rPr>
                            <w:fldChar w:fldCharType="end"/>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656CC83" id="_x0000_t202" coordsize="21600,21600" o:spt="202" path="m,l,21600r21600,l21600,xe">
              <v:stroke joinstyle="miter"/>
              <v:path gradientshapeok="t" o:connecttype="rect"/>
            </v:shapetype>
            <v:shape id="Text Box 2" o:spid="_x0000_s1032" type="#_x0000_t202" style="position:absolute;margin-left:1.25pt;margin-top:-12.45pt;width:52.45pt;height:12.7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" filled="f" stroked="f">
              <v:textbox style="mso-fit-shape-to-text:t" inset="0,0,0,0">
                <w:txbxContent>
                  <w:p w14:paraId="71CABF0B" w14:textId="77777777" w:rsidR="00B43BDE" w:rsidRPr="00BA6CE8" w:rsidRDefault="00B43BDE" w:rsidP="00B43BDE">
                    <w:pPr>
                      <w:pStyle w:val="Footer"/>
                      <w:jc w:val="right"/>
                      <w:rPr>
                        <w:sz w:val="18"/>
                        <w:szCs w:val="18"/>
                      </w:rPr>
                    </w:pPr>
                    <w:r w:rsidRPr="00BA6CE8">
                      <w:rPr>
                        <w:sz w:val="18"/>
                        <w:szCs w:val="18"/>
                      </w:rPr>
                      <w:fldChar w:fldCharType="begin"/>
                    </w:r>
                    <w:r w:rsidRPr="00BA6CE8">
                      <w:rPr>
                        <w:sz w:val="18"/>
                        <w:szCs w:val="18"/>
                      </w:rPr>
                      <w:instrText xml:space="preserve"> PAGE   \* MERGEFORMAT </w:instrText>
                    </w:r>
                    <w:r w:rsidRPr="00BA6CE8">
                      <w:rPr>
                        <w:sz w:val="18"/>
                        <w:szCs w:val="18"/>
                      </w:rPr>
                      <w:fldChar w:fldCharType="separate"/>
                    </w:r>
                    <w:r w:rsidRPr="00BA6CE8">
                      <w:rPr>
                        <w:sz w:val="18"/>
                        <w:szCs w:val="18"/>
                      </w:rPr>
                      <w:t>1</w:t>
                    </w:r>
                    <w:r w:rsidRPr="00BA6CE8">
                      <w:rPr>
                        <w:sz w:val="18"/>
                        <w:szCs w:val="18"/>
                      </w:rPr>
                      <w:fldChar w:fldCharType="end"/>
                    </w:r>
                  </w:p>
                </w:txbxContent>
              </v:textbox>
              <w10:wrap anchorx="margin"/>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8887E" w14:textId="77777777" w:rsidR="00C23C28" w:rsidRDefault="00C23C28" w:rsidP="00B43BDE">
    <w:pPr>
      <w:pStyle w:val="Footer"/>
    </w:pPr>
  </w:p>
  <w:tbl>
    <w:tblPr>
      <w:tblStyle w:val="LayoutGrid"/>
      <w:tblW w:w="4265" w:type="pct"/>
      <w:tblLook w:val="04A0" w:firstRow="1" w:lastRow="0" w:firstColumn="1" w:lastColumn="0" w:noHBand="0" w:noVBand="1"/>
    </w:tblPr>
    <w:tblGrid>
      <w:gridCol w:w="3644"/>
      <w:gridCol w:w="8784"/>
    </w:tblGrid>
    <w:tr w:rsidR="00C23C28" w:rsidRPr="00BA6CE8" w14:paraId="513ABBC6" w14:textId="77777777" w:rsidTr="008A795F">
      <w:tc>
        <w:tcPr>
          <w:tcW w:w="1466" w:type="pct"/>
          <w:vAlign w:val="bottom"/>
        </w:tcPr>
        <w:p w14:paraId="5A293F42" w14:textId="77777777" w:rsidR="00C23C28" w:rsidRPr="00BA6CE8" w:rsidRDefault="00C23C28" w:rsidP="00B43BDE">
          <w:pPr>
            <w:pStyle w:val="Footer"/>
            <w:spacing w:after="40"/>
          </w:pPr>
          <w:r w:rsidRPr="00BA6CE8">
            <w:rPr>
              <w:noProof/>
            </w:rPr>
            <w:drawing>
              <wp:inline distT="0" distB="0" distL="0" distR="0" wp14:anchorId="4D10500F" wp14:editId="05DC3F79">
                <wp:extent cx="1314000" cy="336910"/>
                <wp:effectExtent l="0" t="0" r="635" b="6350"/>
                <wp:docPr id="643487034" name="Graphic 643487034" descr="HealthConsul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56665" name="Graphic 582456665" descr="HealthConsult logo"/>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14000" cy="336910"/>
                        </a:xfrm>
                        <a:prstGeom prst="rect">
                          <a:avLst/>
                        </a:prstGeom>
                      </pic:spPr>
                    </pic:pic>
                  </a:graphicData>
                </a:graphic>
              </wp:inline>
            </w:drawing>
          </w:r>
        </w:p>
      </w:tc>
      <w:tc>
        <w:tcPr>
          <w:tcW w:w="3534" w:type="pct"/>
          <w:vAlign w:val="bottom"/>
        </w:tcPr>
        <w:p w14:paraId="7B6CBFFC" w14:textId="62BFAFD0" w:rsidR="00735AE9" w:rsidRDefault="002557C9" w:rsidP="008118E6">
          <w:pPr>
            <w:pStyle w:val="Footer"/>
          </w:pPr>
          <w:sdt>
            <w:sdtPr>
              <w:alias w:val="Client"/>
              <w:tag w:val="Abstract"/>
              <w:id w:val="2073846989"/>
              <w:dataBinding w:prefixMappings="xmlns:ns0='http://schemas.microsoft.com/office/2006/coverPageProps' " w:xpath="/ns0:CoverPageProperties[1]/ns0:Abstract[1]" w:storeItemID="{55AF091B-3C7A-41E3-B477-F2FDAA23CFDA}"/>
              <w:text/>
            </w:sdtPr>
            <w:sdtEndPr/>
            <w:sdtContent>
              <w:r w:rsidR="00E35CAE">
                <w:t>Department of Health and Aged Care</w:t>
              </w:r>
            </w:sdtContent>
          </w:sdt>
        </w:p>
        <w:p w14:paraId="160E0DCD" w14:textId="4AFFD1EB" w:rsidR="00735AE9" w:rsidRDefault="002557C9" w:rsidP="008118E6">
          <w:pPr>
            <w:pStyle w:val="Footer"/>
          </w:pPr>
          <w:sdt>
            <w:sdtPr>
              <w:alias w:val="Project Name"/>
              <w:tag w:val="Subject"/>
              <w:id w:val="1685942384"/>
              <w:dataBinding w:prefixMappings="xmlns:ns0='http://purl.org/dc/elements/1.1/' xmlns:ns1='http://schemas.openxmlformats.org/package/2006/metadata/core-properties' " w:xpath="/ns1:coreProperties[1]/ns0:subject[1]" w:storeItemID="{6C3C8BC8-F283-45AE-878A-BAB7291924A1}"/>
              <w:text/>
            </w:sdtPr>
            <w:sdtEndPr/>
            <w:sdtContent>
              <w:r w:rsidR="00F33893">
                <w:t>Review of the Stoma Appliance Scheme</w:t>
              </w:r>
            </w:sdtContent>
          </w:sdt>
        </w:p>
        <w:p w14:paraId="343430A3" w14:textId="75B79306" w:rsidR="00C23C28" w:rsidRPr="008118E6" w:rsidRDefault="002557C9" w:rsidP="008118E6">
          <w:pPr>
            <w:pStyle w:val="Footer"/>
          </w:pPr>
          <w:sdt>
            <w:sdtPr>
              <w:alias w:val="Title"/>
              <w:tag w:val=""/>
              <w:id w:val="-1070887588"/>
              <w:dataBinding w:prefixMappings="xmlns:ns0='http://purl.org/dc/elements/1.1/' xmlns:ns1='http://schemas.openxmlformats.org/package/2006/metadata/core-properties' " w:xpath="/ns1:coreProperties[1]/ns0:title[1]" w:storeItemID="{6C3C8BC8-F283-45AE-878A-BAB7291924A1}"/>
              <w:text/>
            </w:sdtPr>
            <w:sdtEndPr/>
            <w:sdtContent>
              <w:r w:rsidR="006745D1">
                <w:t>Final Report</w:t>
              </w:r>
            </w:sdtContent>
          </w:sdt>
        </w:p>
      </w:tc>
    </w:tr>
  </w:tbl>
  <w:p w14:paraId="55427D9C" w14:textId="77777777" w:rsidR="00C23C28" w:rsidRPr="00B43BDE" w:rsidRDefault="00C23C28" w:rsidP="00B43BDE">
    <w:pPr>
      <w:pStyle w:val="Footer"/>
    </w:pPr>
    <w:r>
      <w:rPr>
        <w:noProof/>
      </w:rPr>
      <mc:AlternateContent>
        <mc:Choice Requires="wps">
          <w:drawing>
            <wp:anchor distT="45720" distB="45720" distL="114300" distR="114300" simplePos="0" relativeHeight="251658242" behindDoc="0" locked="1" layoutInCell="1" allowOverlap="1" wp14:anchorId="6D7BA746" wp14:editId="3BCD099D">
              <wp:simplePos x="0" y="0"/>
              <wp:positionH relativeFrom="margin">
                <wp:align>right</wp:align>
              </wp:positionH>
              <wp:positionV relativeFrom="paragraph">
                <wp:posOffset>-158115</wp:posOffset>
              </wp:positionV>
              <wp:extent cx="666000" cy="162000"/>
              <wp:effectExtent l="0" t="0" r="1270" b="8255"/>
              <wp:wrapNone/>
              <wp:docPr id="910462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00" cy="162000"/>
                      </a:xfrm>
                      <a:prstGeom prst="rect">
                        <a:avLst/>
                      </a:prstGeom>
                      <a:noFill/>
                      <a:ln w="9525">
                        <a:noFill/>
                        <a:miter lim="800000"/>
                        <a:headEnd/>
                        <a:tailEnd/>
                      </a:ln>
                    </wps:spPr>
                    <wps:txbx>
                      <w:txbxContent>
                        <w:p w14:paraId="2499B723" w14:textId="77777777" w:rsidR="00C23C28" w:rsidRPr="00BA6CE8" w:rsidRDefault="00C23C28" w:rsidP="00B43BDE">
                          <w:pPr>
                            <w:pStyle w:val="Footer"/>
                            <w:jc w:val="right"/>
                            <w:rPr>
                              <w:sz w:val="18"/>
                              <w:szCs w:val="18"/>
                            </w:rPr>
                          </w:pPr>
                          <w:r w:rsidRPr="00BA6CE8">
                            <w:rPr>
                              <w:sz w:val="18"/>
                              <w:szCs w:val="18"/>
                            </w:rPr>
                            <w:fldChar w:fldCharType="begin"/>
                          </w:r>
                          <w:r w:rsidRPr="00BA6CE8">
                            <w:rPr>
                              <w:sz w:val="18"/>
                              <w:szCs w:val="18"/>
                            </w:rPr>
                            <w:instrText xml:space="preserve"> PAGE   \* MERGEFORMAT </w:instrText>
                          </w:r>
                          <w:r w:rsidRPr="00BA6CE8">
                            <w:rPr>
                              <w:sz w:val="18"/>
                              <w:szCs w:val="18"/>
                            </w:rPr>
                            <w:fldChar w:fldCharType="separate"/>
                          </w:r>
                          <w:r w:rsidRPr="00BA6CE8">
                            <w:rPr>
                              <w:sz w:val="18"/>
                              <w:szCs w:val="18"/>
                            </w:rPr>
                            <w:t>1</w:t>
                          </w:r>
                          <w:r w:rsidRPr="00BA6CE8">
                            <w:rPr>
                              <w:sz w:val="18"/>
                              <w:szCs w:val="18"/>
                            </w:rPr>
                            <w:fldChar w:fldCharType="end"/>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D7BA746" id="_x0000_t202" coordsize="21600,21600" o:spt="202" path="m,l,21600r21600,l21600,xe">
              <v:stroke joinstyle="miter"/>
              <v:path gradientshapeok="t" o:connecttype="rect"/>
            </v:shapetype>
            <v:shape id="_x0000_s1033" type="#_x0000_t202" style="position:absolute;margin-left:1.25pt;margin-top:-12.45pt;width:52.45pt;height:12.75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" filled="f" stroked="f">
              <v:textbox style="mso-fit-shape-to-text:t" inset="0,0,0,0">
                <w:txbxContent>
                  <w:p w14:paraId="2499B723" w14:textId="77777777" w:rsidR="00C23C28" w:rsidRPr="00BA6CE8" w:rsidRDefault="00C23C28" w:rsidP="00B43BDE">
                    <w:pPr>
                      <w:pStyle w:val="Footer"/>
                      <w:jc w:val="right"/>
                      <w:rPr>
                        <w:sz w:val="18"/>
                        <w:szCs w:val="18"/>
                      </w:rPr>
                    </w:pPr>
                    <w:r w:rsidRPr="00BA6CE8">
                      <w:rPr>
                        <w:sz w:val="18"/>
                        <w:szCs w:val="18"/>
                      </w:rPr>
                      <w:fldChar w:fldCharType="begin"/>
                    </w:r>
                    <w:r w:rsidRPr="00BA6CE8">
                      <w:rPr>
                        <w:sz w:val="18"/>
                        <w:szCs w:val="18"/>
                      </w:rPr>
                      <w:instrText xml:space="preserve"> PAGE   \* MERGEFORMAT </w:instrText>
                    </w:r>
                    <w:r w:rsidRPr="00BA6CE8">
                      <w:rPr>
                        <w:sz w:val="18"/>
                        <w:szCs w:val="18"/>
                      </w:rPr>
                      <w:fldChar w:fldCharType="separate"/>
                    </w:r>
                    <w:r w:rsidRPr="00BA6CE8">
                      <w:rPr>
                        <w:sz w:val="18"/>
                        <w:szCs w:val="18"/>
                      </w:rPr>
                      <w:t>1</w:t>
                    </w:r>
                    <w:r w:rsidRPr="00BA6CE8">
                      <w:rPr>
                        <w:sz w:val="18"/>
                        <w:szCs w:val="18"/>
                      </w:rPr>
                      <w:fldChar w:fldCharType="end"/>
                    </w:r>
                  </w:p>
                </w:txbxContent>
              </v:textbox>
              <w10:wrap anchorx="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682D8" w14:textId="77777777" w:rsidR="00544DAD" w:rsidRPr="002853C7" w:rsidRDefault="00544DAD" w:rsidP="003D7763">
      <w:pPr>
        <w:spacing w:before="240" w:after="60"/>
        <w:rPr>
          <w:color w:val="3B0083" w:themeColor="accent1"/>
        </w:rPr>
      </w:pPr>
      <w:r w:rsidRPr="002853C7">
        <w:rPr>
          <w:color w:val="3B0083" w:themeColor="accent1"/>
        </w:rPr>
        <w:separator/>
      </w:r>
      <w:r w:rsidRPr="002853C7">
        <w:rPr>
          <w:color w:val="3B0083" w:themeColor="accent1"/>
        </w:rPr>
        <w:separator/>
      </w:r>
      <w:r w:rsidRPr="002853C7">
        <w:rPr>
          <w:color w:val="3B0083" w:themeColor="accent1"/>
        </w:rPr>
        <w:separator/>
      </w:r>
      <w:r w:rsidRPr="002853C7">
        <w:rPr>
          <w:color w:val="3B0083" w:themeColor="accent1"/>
        </w:rPr>
        <w:separator/>
      </w:r>
    </w:p>
  </w:footnote>
  <w:footnote w:type="continuationSeparator" w:id="0">
    <w:p w14:paraId="5EFF2E4E" w14:textId="77777777" w:rsidR="00544DAD" w:rsidRPr="002853C7" w:rsidRDefault="00544DAD" w:rsidP="00FA7E85">
      <w:pPr>
        <w:rPr>
          <w:color w:val="3B0083" w:themeColor="accent1"/>
        </w:rPr>
      </w:pPr>
      <w:r w:rsidRPr="002853C7">
        <w:rPr>
          <w:color w:val="3B0083" w:themeColor="accent1"/>
        </w:rPr>
        <w:continuationSeparator/>
      </w:r>
    </w:p>
  </w:footnote>
  <w:footnote w:type="continuationNotice" w:id="1">
    <w:p w14:paraId="65EA4316" w14:textId="77777777" w:rsidR="00544DAD" w:rsidRDefault="00544DAD">
      <w:pPr>
        <w:spacing w:before="0" w:after="0"/>
      </w:pPr>
    </w:p>
  </w:footnote>
  <w:footnote w:id="2">
    <w:p w14:paraId="0F1118C5" w14:textId="418D99F9" w:rsidR="00B47DDF" w:rsidRPr="008A0727" w:rsidRDefault="00B47DDF" w:rsidP="00B47DDF">
      <w:pPr>
        <w:pStyle w:val="FootnoteText"/>
        <w:rPr>
          <w:rStyle w:val="FootnoteReference"/>
          <w:b w:val="0"/>
          <w:bCs/>
          <w:color w:val="auto"/>
          <w:sz w:val="14"/>
          <w:szCs w:val="14"/>
        </w:rPr>
      </w:pPr>
      <w:r w:rsidRPr="008A0727">
        <w:rPr>
          <w:rStyle w:val="FootnoteReference"/>
          <w:b w:val="0"/>
          <w:bCs/>
          <w:color w:val="auto"/>
          <w:sz w:val="14"/>
          <w:szCs w:val="14"/>
        </w:rPr>
        <w:footnoteRef/>
      </w:r>
      <w:r w:rsidRPr="008A0727">
        <w:rPr>
          <w:b/>
          <w:bCs/>
          <w:sz w:val="14"/>
          <w:szCs w:val="14"/>
        </w:rPr>
        <w:t xml:space="preserve"> </w:t>
      </w:r>
      <w:hyperlink r:id="rId1" w:history="1">
        <w:r w:rsidRPr="008A0727">
          <w:rPr>
            <w:rStyle w:val="FootnoteReference"/>
            <w:b w:val="0"/>
            <w:bCs/>
            <w:color w:val="auto"/>
            <w:sz w:val="14"/>
            <w:szCs w:val="14"/>
          </w:rPr>
          <w:t>Stoma Appliance Scheme utilisation and expenditure data quarterly report – April to June 2023 and End of Financial Year 2022-23 | Australian Government Department of Health and Aged Care</w:t>
        </w:r>
      </w:hyperlink>
    </w:p>
  </w:footnote>
  <w:footnote w:id="3">
    <w:p w14:paraId="72E16CC2" w14:textId="77777777" w:rsidR="00893998" w:rsidRPr="005C24A3" w:rsidRDefault="00893998" w:rsidP="00893998">
      <w:pPr>
        <w:pStyle w:val="FootnoteText"/>
        <w:rPr>
          <w:sz w:val="14"/>
          <w:szCs w:val="14"/>
          <w:lang w:val="en-US"/>
        </w:rPr>
      </w:pPr>
      <w:r w:rsidRPr="00B02A0F">
        <w:rPr>
          <w:rStyle w:val="FootnoteReference"/>
          <w:sz w:val="14"/>
          <w:szCs w:val="14"/>
        </w:rPr>
        <w:footnoteRef/>
      </w:r>
      <w:r w:rsidRPr="00B02A0F">
        <w:rPr>
          <w:sz w:val="14"/>
          <w:szCs w:val="14"/>
        </w:rPr>
        <w:t xml:space="preserve"> Stoma Appliance Scheme: Operational Guidelines – September 2022: </w:t>
      </w:r>
      <w:hyperlink r:id="rId2" w:history="1">
        <w:r w:rsidRPr="00B02A0F">
          <w:rPr>
            <w:rStyle w:val="Hyperlink"/>
            <w:sz w:val="14"/>
            <w:szCs w:val="14"/>
          </w:rPr>
          <w:t>https://www.health.gov.au/sites/default/files/documents/2022/10/stoma-appliance-scheme-operational-guidelines.pdf</w:t>
        </w:r>
      </w:hyperlink>
      <w:r w:rsidRPr="00B02A0F">
        <w:rPr>
          <w:sz w:val="12"/>
          <w:szCs w:val="12"/>
        </w:rPr>
        <w:t xml:space="preserve"> </w:t>
      </w:r>
    </w:p>
  </w:footnote>
  <w:footnote w:id="4">
    <w:p w14:paraId="1DF4B126" w14:textId="77777777" w:rsidR="00C92072" w:rsidRPr="00FE0795" w:rsidRDefault="00C92072" w:rsidP="00093A57">
      <w:pPr>
        <w:pStyle w:val="FootnoteText"/>
        <w:rPr>
          <w:sz w:val="12"/>
          <w:szCs w:val="12"/>
          <w:lang w:val="en-US"/>
        </w:rPr>
      </w:pPr>
      <w:r w:rsidRPr="00FE0795">
        <w:rPr>
          <w:rStyle w:val="FootnoteReference"/>
          <w:color w:val="auto"/>
          <w:sz w:val="12"/>
          <w:szCs w:val="12"/>
        </w:rPr>
        <w:footnoteRef/>
      </w:r>
      <w:r w:rsidRPr="00FE0795">
        <w:rPr>
          <w:sz w:val="12"/>
          <w:szCs w:val="12"/>
        </w:rPr>
        <w:t xml:space="preserve"> Imperforate anus, also called an anorectal malformation, is a rare birth defect that includes the absence of a normal anal opening (anus).</w:t>
      </w:r>
    </w:p>
  </w:footnote>
  <w:footnote w:id="5">
    <w:p w14:paraId="4F3CC144" w14:textId="77777777" w:rsidR="00C92072" w:rsidRPr="00FE0795" w:rsidRDefault="00C92072" w:rsidP="00093A57">
      <w:pPr>
        <w:pStyle w:val="FootnoteText"/>
        <w:rPr>
          <w:sz w:val="12"/>
          <w:szCs w:val="12"/>
          <w:lang w:val="en-US"/>
        </w:rPr>
      </w:pPr>
      <w:r w:rsidRPr="00FE0795">
        <w:rPr>
          <w:rStyle w:val="FootnoteReference"/>
          <w:color w:val="auto"/>
          <w:sz w:val="12"/>
          <w:szCs w:val="12"/>
        </w:rPr>
        <w:footnoteRef/>
      </w:r>
      <w:r w:rsidRPr="00FE0795">
        <w:rPr>
          <w:sz w:val="12"/>
          <w:szCs w:val="12"/>
        </w:rPr>
        <w:t xml:space="preserve"> A Malone antegrade continence enema is a surgical procedure used to create a continent pathway proximal to the anus that facilitates faecal evacuation using enemas.</w:t>
      </w:r>
    </w:p>
  </w:footnote>
  <w:footnote w:id="6">
    <w:p w14:paraId="68CF2BF6" w14:textId="77777777" w:rsidR="00C92072" w:rsidRPr="00FE0795" w:rsidRDefault="00C92072" w:rsidP="00093A57">
      <w:pPr>
        <w:pStyle w:val="FootnoteText"/>
        <w:rPr>
          <w:sz w:val="12"/>
          <w:szCs w:val="12"/>
          <w:lang w:val="en-US"/>
        </w:rPr>
      </w:pPr>
      <w:r w:rsidRPr="00FE0795">
        <w:rPr>
          <w:rStyle w:val="FootnoteReference"/>
          <w:color w:val="auto"/>
          <w:sz w:val="12"/>
          <w:szCs w:val="12"/>
        </w:rPr>
        <w:footnoteRef/>
      </w:r>
      <w:r w:rsidRPr="00FE0795">
        <w:rPr>
          <w:sz w:val="12"/>
          <w:szCs w:val="12"/>
        </w:rPr>
        <w:t xml:space="preserve"> The </w:t>
      </w:r>
      <w:proofErr w:type="spellStart"/>
      <w:r w:rsidRPr="00FE0795">
        <w:rPr>
          <w:sz w:val="12"/>
          <w:szCs w:val="12"/>
        </w:rPr>
        <w:t>Mitrofanoff</w:t>
      </w:r>
      <w:proofErr w:type="spellEnd"/>
      <w:r w:rsidRPr="00FE0795">
        <w:rPr>
          <w:sz w:val="12"/>
          <w:szCs w:val="12"/>
        </w:rPr>
        <w:t xml:space="preserve"> procedure is a surgical procedure in which the appendix is used to create a conduit, or channel, between the skin surface and the urinary bladder.</w:t>
      </w:r>
    </w:p>
  </w:footnote>
  <w:footnote w:id="7">
    <w:p w14:paraId="69A3AEDD" w14:textId="77777777" w:rsidR="003A063C" w:rsidRPr="00872BBC" w:rsidRDefault="003A063C" w:rsidP="003A063C">
      <w:pPr>
        <w:pStyle w:val="FootnoteText"/>
        <w:rPr>
          <w:sz w:val="14"/>
          <w:szCs w:val="24"/>
        </w:rPr>
      </w:pPr>
      <w:r w:rsidRPr="00FE0795">
        <w:rPr>
          <w:rStyle w:val="FootnoteReference"/>
          <w:color w:val="auto"/>
          <w:sz w:val="12"/>
          <w:szCs w:val="12"/>
        </w:rPr>
        <w:footnoteRef/>
      </w:r>
      <w:r w:rsidRPr="00FE0795">
        <w:rPr>
          <w:sz w:val="12"/>
          <w:szCs w:val="12"/>
        </w:rPr>
        <w:t xml:space="preserve"> Data provided by Coloplast</w:t>
      </w:r>
    </w:p>
  </w:footnote>
  <w:footnote w:id="8">
    <w:p w14:paraId="2C26BA2B" w14:textId="77777777" w:rsidR="007C70C7" w:rsidRPr="00FE0795" w:rsidRDefault="007C70C7" w:rsidP="00093A57">
      <w:pPr>
        <w:pStyle w:val="FootnoteText"/>
        <w:rPr>
          <w:sz w:val="12"/>
          <w:szCs w:val="12"/>
        </w:rPr>
      </w:pPr>
      <w:r w:rsidRPr="00FE0795">
        <w:rPr>
          <w:rStyle w:val="FootnoteReference"/>
          <w:color w:val="auto"/>
          <w:sz w:val="12"/>
          <w:szCs w:val="12"/>
        </w:rPr>
        <w:footnoteRef/>
      </w:r>
      <w:r w:rsidRPr="00FE0795">
        <w:rPr>
          <w:sz w:val="12"/>
          <w:szCs w:val="12"/>
        </w:rPr>
        <w:t xml:space="preserve"> https://www.nhs.uk/nhs-services/prescriptions-and-pharmacies/who-can-get-free-prescriptions/</w:t>
      </w:r>
    </w:p>
  </w:footnote>
  <w:footnote w:id="9">
    <w:p w14:paraId="64C0DCB5" w14:textId="77777777" w:rsidR="007C70C7" w:rsidRDefault="007C70C7" w:rsidP="00093A57">
      <w:pPr>
        <w:pStyle w:val="FootnoteText"/>
      </w:pPr>
      <w:r w:rsidRPr="00FE0795">
        <w:rPr>
          <w:rStyle w:val="FootnoteReference"/>
          <w:color w:val="auto"/>
          <w:sz w:val="12"/>
          <w:szCs w:val="12"/>
        </w:rPr>
        <w:footnoteRef/>
      </w:r>
      <w:r w:rsidRPr="00FE0795">
        <w:rPr>
          <w:sz w:val="12"/>
          <w:szCs w:val="12"/>
        </w:rPr>
        <w:t xml:space="preserve"> https://www.cms.gov/medicare-coverage-database/view/article.aspx?articleId=52487</w:t>
      </w:r>
    </w:p>
  </w:footnote>
  <w:footnote w:id="10">
    <w:p w14:paraId="4A258D9B" w14:textId="77777777" w:rsidR="00D8617F" w:rsidRPr="00FE0795" w:rsidRDefault="00D8617F" w:rsidP="00D8617F">
      <w:pPr>
        <w:pStyle w:val="FootnoteText"/>
        <w:rPr>
          <w:sz w:val="12"/>
          <w:szCs w:val="12"/>
          <w:lang w:val="en-GB"/>
        </w:rPr>
      </w:pPr>
      <w:r w:rsidRPr="00FE0795">
        <w:rPr>
          <w:rStyle w:val="FootnoteReference"/>
          <w:color w:val="auto"/>
          <w:sz w:val="12"/>
          <w:szCs w:val="12"/>
        </w:rPr>
        <w:footnoteRef/>
      </w:r>
      <w:r w:rsidRPr="00FE0795">
        <w:rPr>
          <w:sz w:val="12"/>
          <w:szCs w:val="12"/>
        </w:rPr>
        <w:t xml:space="preserve"> </w:t>
      </w:r>
      <w:proofErr w:type="spellStart"/>
      <w:r w:rsidRPr="00FE0795">
        <w:rPr>
          <w:sz w:val="12"/>
          <w:szCs w:val="12"/>
        </w:rPr>
        <w:t>Nakarada-Kordic</w:t>
      </w:r>
      <w:proofErr w:type="spellEnd"/>
      <w:r w:rsidRPr="00FE0795">
        <w:rPr>
          <w:sz w:val="12"/>
          <w:szCs w:val="12"/>
        </w:rPr>
        <w:t xml:space="preserve">, I., Patterson, N., </w:t>
      </w:r>
      <w:proofErr w:type="spellStart"/>
      <w:r w:rsidRPr="00FE0795">
        <w:rPr>
          <w:sz w:val="12"/>
          <w:szCs w:val="12"/>
        </w:rPr>
        <w:t>Wrapson</w:t>
      </w:r>
      <w:proofErr w:type="spellEnd"/>
      <w:r w:rsidRPr="00FE0795">
        <w:rPr>
          <w:sz w:val="12"/>
          <w:szCs w:val="12"/>
        </w:rPr>
        <w:t>, J. et al. A Systematic Review of Patient and Caregiver Experiences with a Tracheostomy. Patient 11, 175–191 (2018). https://doi.org/10.1007/s40271-017-0277-1</w:t>
      </w:r>
    </w:p>
  </w:footnote>
  <w:footnote w:id="11">
    <w:p w14:paraId="1DB6443C" w14:textId="77777777" w:rsidR="00D8617F" w:rsidRPr="00FE0795" w:rsidRDefault="00D8617F" w:rsidP="00D8617F">
      <w:pPr>
        <w:pStyle w:val="FootnoteText"/>
        <w:rPr>
          <w:sz w:val="12"/>
          <w:szCs w:val="12"/>
        </w:rPr>
      </w:pPr>
      <w:r w:rsidRPr="00FE0795">
        <w:rPr>
          <w:rStyle w:val="FootnoteReference"/>
          <w:color w:val="auto"/>
          <w:sz w:val="12"/>
          <w:szCs w:val="12"/>
        </w:rPr>
        <w:footnoteRef/>
      </w:r>
      <w:r w:rsidRPr="00FE0795">
        <w:rPr>
          <w:sz w:val="12"/>
          <w:szCs w:val="12"/>
        </w:rPr>
        <w:t xml:space="preserve"> https://ourguidelines.ndis.gov.au/would-we-fund-it/consumables/home-enteral-nutrition</w:t>
      </w:r>
    </w:p>
  </w:footnote>
  <w:footnote w:id="12">
    <w:p w14:paraId="74646BDD" w14:textId="77777777" w:rsidR="00D8617F" w:rsidRDefault="00D8617F" w:rsidP="00D8617F">
      <w:pPr>
        <w:pStyle w:val="FootnoteText"/>
      </w:pPr>
      <w:r w:rsidRPr="00FE0795">
        <w:rPr>
          <w:rStyle w:val="FootnoteReference"/>
          <w:color w:val="auto"/>
          <w:sz w:val="12"/>
          <w:szCs w:val="12"/>
        </w:rPr>
        <w:footnoteRef/>
      </w:r>
      <w:r w:rsidRPr="00FE0795">
        <w:rPr>
          <w:sz w:val="12"/>
          <w:szCs w:val="12"/>
        </w:rPr>
        <w:t xml:space="preserve"> https://www.enable.health.nsw.gov.au/__data/assets/pdf_file/0019/262432/Home-Enteral-Nutrition-Funding-Criteria.pdf</w:t>
      </w:r>
    </w:p>
  </w:footnote>
  <w:footnote w:id="13">
    <w:p w14:paraId="4B8AF4B8" w14:textId="77777777" w:rsidR="00D8617F" w:rsidRPr="00CA76C4" w:rsidRDefault="00D8617F" w:rsidP="00D8617F">
      <w:pPr>
        <w:pStyle w:val="FootnoteText"/>
        <w:rPr>
          <w:lang w:val="en-GB"/>
        </w:rPr>
      </w:pPr>
      <w:r w:rsidRPr="00FE0795">
        <w:rPr>
          <w:rStyle w:val="FootnoteReference"/>
          <w:color w:val="auto"/>
        </w:rPr>
        <w:footnoteRef/>
      </w:r>
      <w:r w:rsidRPr="00B3194E">
        <w:t xml:space="preserve"> https://www.ama.com.au/ama-rounds/18-february-2022/articles/ama-submission-new-standards-wound-prevention-and-management#:~:text=The%20AMA's%20submission%20acknowledges%20enhancing,live%20with%20a%20chronic%20wound.</w:t>
      </w:r>
    </w:p>
  </w:footnote>
  <w:footnote w:id="14">
    <w:p w14:paraId="2CDB255D" w14:textId="1645BAA8" w:rsidR="00D8617F" w:rsidRPr="00FE0795" w:rsidRDefault="00D8617F" w:rsidP="00093A57">
      <w:pPr>
        <w:pStyle w:val="FootnoteText"/>
        <w:rPr>
          <w:sz w:val="12"/>
          <w:szCs w:val="12"/>
          <w:lang w:val="en-US"/>
        </w:rPr>
      </w:pPr>
      <w:r w:rsidRPr="00FE0795">
        <w:rPr>
          <w:rStyle w:val="FootnoteReference"/>
          <w:color w:val="auto"/>
          <w:sz w:val="12"/>
          <w:szCs w:val="12"/>
        </w:rPr>
        <w:footnoteRef/>
      </w:r>
      <w:r w:rsidRPr="00FE0795">
        <w:rPr>
          <w:sz w:val="12"/>
          <w:szCs w:val="12"/>
        </w:rPr>
        <w:t xml:space="preserve"> </w:t>
      </w:r>
      <w:r w:rsidR="00C316C3" w:rsidRPr="00FE0795">
        <w:rPr>
          <w:sz w:val="12"/>
          <w:szCs w:val="12"/>
          <w:lang w:val="en-US"/>
        </w:rPr>
        <w:t>Data provided by the</w:t>
      </w:r>
      <w:r w:rsidRPr="00FE0795">
        <w:rPr>
          <w:sz w:val="12"/>
          <w:szCs w:val="12"/>
          <w:lang w:val="en-US"/>
        </w:rPr>
        <w:t xml:space="preserve"> Qld Stoma Association</w:t>
      </w:r>
      <w:r w:rsidR="00C316C3" w:rsidRPr="00FE0795">
        <w:rPr>
          <w:sz w:val="12"/>
          <w:szCs w:val="12"/>
          <w:lang w:val="en-US"/>
        </w:rPr>
        <w:t>.</w:t>
      </w:r>
    </w:p>
  </w:footnote>
  <w:footnote w:id="15">
    <w:p w14:paraId="6E35378D" w14:textId="77777777" w:rsidR="00D8617F" w:rsidRPr="00FF793D" w:rsidRDefault="00D8617F" w:rsidP="00093A57">
      <w:pPr>
        <w:pStyle w:val="FootnoteText"/>
        <w:rPr>
          <w:sz w:val="16"/>
          <w:lang w:val="en-US"/>
        </w:rPr>
      </w:pPr>
      <w:r w:rsidRPr="00FE0795">
        <w:rPr>
          <w:rStyle w:val="FootnoteReference"/>
          <w:color w:val="auto"/>
          <w:sz w:val="12"/>
          <w:szCs w:val="12"/>
        </w:rPr>
        <w:footnoteRef/>
      </w:r>
      <w:r w:rsidRPr="00FE0795">
        <w:rPr>
          <w:sz w:val="12"/>
          <w:szCs w:val="12"/>
        </w:rPr>
        <w:t xml:space="preserve"> Department of Health, Stoma Appliance Scheme: Consultation Outcomes – February 2020. </w:t>
      </w:r>
      <w:hyperlink r:id="rId3" w:history="1">
        <w:r w:rsidRPr="00FE0795">
          <w:rPr>
            <w:rStyle w:val="Hyperlink"/>
            <w:sz w:val="12"/>
            <w:szCs w:val="12"/>
          </w:rPr>
          <w:t>https://www.health.gov.au/resources/publications/stoma-appliance-scheme-consultation-outcomes?language=en</w:t>
        </w:r>
      </w:hyperlink>
      <w:r w:rsidRPr="00FF793D">
        <w:rPr>
          <w:sz w:val="16"/>
        </w:rPr>
        <w:t xml:space="preserve"> </w:t>
      </w:r>
    </w:p>
  </w:footnote>
  <w:footnote w:id="16">
    <w:p w14:paraId="0485CA70" w14:textId="3A8BD328" w:rsidR="00C316C3" w:rsidRPr="00FE0795" w:rsidRDefault="00C316C3" w:rsidP="00093A57">
      <w:pPr>
        <w:pStyle w:val="FootnoteText"/>
        <w:rPr>
          <w:sz w:val="12"/>
          <w:szCs w:val="12"/>
        </w:rPr>
      </w:pPr>
      <w:r w:rsidRPr="00FE0795">
        <w:rPr>
          <w:rStyle w:val="FootnoteReference"/>
          <w:color w:val="auto"/>
          <w:sz w:val="12"/>
          <w:szCs w:val="12"/>
        </w:rPr>
        <w:footnoteRef/>
      </w:r>
      <w:r w:rsidRPr="00FE0795">
        <w:rPr>
          <w:sz w:val="12"/>
          <w:szCs w:val="12"/>
        </w:rPr>
        <w:t xml:space="preserve"> The MMM is a measure of whether a location is metropolitan, rural, remote, or very remote, where Modified Monash (MM) 1 is a major city, and MM 7 is a very remote community.</w:t>
      </w:r>
    </w:p>
  </w:footnote>
  <w:footnote w:id="17">
    <w:p w14:paraId="033455A7" w14:textId="77777777" w:rsidR="00AB1DF9" w:rsidRPr="00FE0795" w:rsidRDefault="00AB1DF9" w:rsidP="00AB1DF9">
      <w:pPr>
        <w:pStyle w:val="FootnoteText"/>
        <w:rPr>
          <w:sz w:val="12"/>
          <w:szCs w:val="12"/>
        </w:rPr>
      </w:pPr>
      <w:r w:rsidRPr="00FE0795">
        <w:rPr>
          <w:rStyle w:val="FootnoteReference"/>
          <w:color w:val="auto"/>
          <w:sz w:val="12"/>
          <w:szCs w:val="12"/>
        </w:rPr>
        <w:footnoteRef/>
      </w:r>
      <w:r w:rsidRPr="00FE0795">
        <w:rPr>
          <w:sz w:val="12"/>
          <w:szCs w:val="12"/>
        </w:rPr>
        <w:t xml:space="preserve"> The current 1 October 2023 Scheme Schedule is available on the Department’s website at: </w:t>
      </w:r>
      <w:hyperlink r:id="rId4" w:history="1">
        <w:r w:rsidRPr="00FE0795">
          <w:rPr>
            <w:rStyle w:val="Hyperlink"/>
            <w:sz w:val="12"/>
            <w:szCs w:val="12"/>
          </w:rPr>
          <w:t>https://www.health.gov.au/resources/publications/stoma-appliance-scheme-schedule</w:t>
        </w:r>
      </w:hyperlink>
      <w:r w:rsidRPr="00FE0795">
        <w:rPr>
          <w:sz w:val="12"/>
          <w:szCs w:val="12"/>
        </w:rPr>
        <w:t>.</w:t>
      </w:r>
    </w:p>
  </w:footnote>
  <w:footnote w:id="18">
    <w:p w14:paraId="2CADA1F4" w14:textId="77777777" w:rsidR="002757C8" w:rsidRPr="00FE0795" w:rsidRDefault="002757C8" w:rsidP="00093A57">
      <w:pPr>
        <w:pStyle w:val="FootnoteText"/>
        <w:rPr>
          <w:sz w:val="12"/>
          <w:szCs w:val="12"/>
          <w:lang w:val="en-US"/>
        </w:rPr>
      </w:pPr>
      <w:r w:rsidRPr="00FE0795">
        <w:rPr>
          <w:rStyle w:val="FootnoteReference"/>
          <w:color w:val="auto"/>
          <w:sz w:val="12"/>
          <w:szCs w:val="12"/>
        </w:rPr>
        <w:footnoteRef/>
      </w:r>
      <w:r w:rsidRPr="00FE0795">
        <w:rPr>
          <w:sz w:val="12"/>
          <w:szCs w:val="12"/>
        </w:rPr>
        <w:t xml:space="preserve"> </w:t>
      </w:r>
      <w:hyperlink r:id="rId5" w:history="1">
        <w:r w:rsidRPr="00FE0795">
          <w:rPr>
            <w:rStyle w:val="Hyperlink"/>
            <w:sz w:val="12"/>
            <w:szCs w:val="12"/>
          </w:rPr>
          <w:t>NSW Stoma | NSW Stoma</w:t>
        </w:r>
      </w:hyperlink>
    </w:p>
  </w:footnote>
  <w:footnote w:id="19">
    <w:p w14:paraId="1C2ADC18" w14:textId="77777777" w:rsidR="002757C8" w:rsidRPr="000C0C12" w:rsidRDefault="002757C8" w:rsidP="00093A57">
      <w:pPr>
        <w:pStyle w:val="FootnoteText"/>
        <w:rPr>
          <w:sz w:val="16"/>
          <w:szCs w:val="16"/>
          <w:lang w:val="en-US"/>
        </w:rPr>
      </w:pPr>
      <w:r w:rsidRPr="00FE0795">
        <w:rPr>
          <w:rStyle w:val="FootnoteReference"/>
          <w:color w:val="auto"/>
          <w:sz w:val="12"/>
          <w:szCs w:val="12"/>
        </w:rPr>
        <w:footnoteRef/>
      </w:r>
      <w:r w:rsidRPr="00FE0795">
        <w:rPr>
          <w:sz w:val="12"/>
          <w:szCs w:val="12"/>
        </w:rPr>
        <w:t xml:space="preserve"> </w:t>
      </w:r>
      <w:hyperlink r:id="rId6" w:history="1">
        <w:r w:rsidRPr="00FE0795">
          <w:rPr>
            <w:rStyle w:val="Hyperlink"/>
            <w:sz w:val="12"/>
            <w:szCs w:val="12"/>
          </w:rPr>
          <w:t>2023 Discontinued Pants.xlsx (nswstoma.org.au)</w:t>
        </w:r>
      </w:hyperlink>
    </w:p>
  </w:footnote>
  <w:footnote w:id="20">
    <w:p w14:paraId="1FE93080" w14:textId="77777777" w:rsidR="00276D6F" w:rsidRPr="00FE0795" w:rsidRDefault="00276D6F" w:rsidP="00093A57">
      <w:pPr>
        <w:pStyle w:val="FootnoteText"/>
        <w:rPr>
          <w:sz w:val="12"/>
          <w:szCs w:val="12"/>
          <w:lang w:val="en-US"/>
        </w:rPr>
      </w:pPr>
      <w:r w:rsidRPr="00FE0795">
        <w:rPr>
          <w:rStyle w:val="FootnoteReference"/>
          <w:color w:val="auto"/>
          <w:sz w:val="12"/>
          <w:szCs w:val="12"/>
        </w:rPr>
        <w:footnoteRef/>
      </w:r>
      <w:r w:rsidRPr="00FE0795">
        <w:rPr>
          <w:sz w:val="12"/>
          <w:szCs w:val="12"/>
        </w:rPr>
        <w:t xml:space="preserve"> </w:t>
      </w:r>
      <w:hyperlink r:id="rId7" w:history="1">
        <w:r w:rsidRPr="00FE0795">
          <w:rPr>
            <w:rStyle w:val="Hyperlink"/>
            <w:sz w:val="12"/>
            <w:szCs w:val="12"/>
          </w:rPr>
          <w:t>https://www.health.gov.au/resources/publications/stoma-appliance-scheme-cleanser-wipe-authorisation-form?language=en</w:t>
        </w:r>
      </w:hyperlink>
      <w:r w:rsidRPr="00FE0795">
        <w:rPr>
          <w:sz w:val="12"/>
          <w:szCs w:val="12"/>
        </w:rPr>
        <w:t xml:space="preserve"> </w:t>
      </w:r>
    </w:p>
  </w:footnote>
  <w:footnote w:id="21">
    <w:p w14:paraId="4FF66C46" w14:textId="77777777" w:rsidR="00276D6F" w:rsidRPr="00281068" w:rsidRDefault="00276D6F" w:rsidP="00093A57">
      <w:pPr>
        <w:pStyle w:val="FootnoteText"/>
        <w:rPr>
          <w:sz w:val="14"/>
          <w:szCs w:val="18"/>
          <w:lang w:val="en-US"/>
        </w:rPr>
      </w:pPr>
      <w:r w:rsidRPr="00FE0795">
        <w:rPr>
          <w:rStyle w:val="FootnoteReference"/>
          <w:color w:val="auto"/>
          <w:sz w:val="12"/>
          <w:szCs w:val="12"/>
        </w:rPr>
        <w:footnoteRef/>
      </w:r>
      <w:r w:rsidRPr="00FE0795">
        <w:rPr>
          <w:sz w:val="12"/>
          <w:szCs w:val="12"/>
        </w:rPr>
        <w:t xml:space="preserve"> </w:t>
      </w:r>
      <w:hyperlink r:id="rId8" w:history="1">
        <w:r w:rsidRPr="00FE0795">
          <w:rPr>
            <w:rStyle w:val="Hyperlink"/>
            <w:sz w:val="12"/>
            <w:szCs w:val="12"/>
          </w:rPr>
          <w:t>https://www.health.gov.au/resources/publications/stoma-appliance-scheme-deodorant-and-absorption-gelling-sachets-authorisation-form?language=en</w:t>
        </w:r>
      </w:hyperlink>
      <w:r w:rsidRPr="00281068">
        <w:rPr>
          <w:sz w:val="14"/>
          <w:szCs w:val="18"/>
        </w:rPr>
        <w:t xml:space="preserve"> </w:t>
      </w:r>
    </w:p>
  </w:footnote>
  <w:footnote w:id="22">
    <w:p w14:paraId="1270F815" w14:textId="77777777" w:rsidR="008514E9" w:rsidRPr="00FE0795" w:rsidRDefault="008514E9" w:rsidP="00093A57">
      <w:pPr>
        <w:pStyle w:val="FootnoteText"/>
        <w:rPr>
          <w:sz w:val="12"/>
          <w:szCs w:val="12"/>
        </w:rPr>
      </w:pPr>
      <w:r w:rsidRPr="00FE0795">
        <w:rPr>
          <w:rStyle w:val="FootnoteReference"/>
          <w:color w:val="auto"/>
          <w:sz w:val="12"/>
          <w:szCs w:val="12"/>
        </w:rPr>
        <w:footnoteRef/>
      </w:r>
      <w:r w:rsidRPr="00FE0795">
        <w:rPr>
          <w:sz w:val="12"/>
          <w:szCs w:val="12"/>
        </w:rPr>
        <w:t xml:space="preserve"> Australian Government Department of Health and Aged Care (2017). ‘Fact sheet – Setting an approved ex-manufacturer price for new or extended listings’, accessed from https://www.pbs.gov.au/info/industry/pricing/pbs-items/fact-sheet-setting-an-approved-ex-manufacturer-price</w:t>
      </w:r>
    </w:p>
  </w:footnote>
  <w:footnote w:id="23">
    <w:p w14:paraId="12E9FB4C" w14:textId="77777777" w:rsidR="008514E9" w:rsidRPr="00FE0795" w:rsidRDefault="008514E9" w:rsidP="00093A57">
      <w:pPr>
        <w:pStyle w:val="FootnoteText"/>
        <w:rPr>
          <w:sz w:val="12"/>
          <w:szCs w:val="12"/>
        </w:rPr>
      </w:pPr>
      <w:r w:rsidRPr="00FE0795">
        <w:rPr>
          <w:rStyle w:val="FootnoteReference"/>
          <w:color w:val="auto"/>
          <w:sz w:val="12"/>
          <w:szCs w:val="12"/>
        </w:rPr>
        <w:footnoteRef/>
      </w:r>
      <w:r w:rsidRPr="00FE0795">
        <w:rPr>
          <w:sz w:val="12"/>
          <w:szCs w:val="12"/>
        </w:rPr>
        <w:t xml:space="preserve"> Australian Government Department of Health and Aged Care (2023). ‘Stoma Appliance Scheme: Application and Assessment Guidelines, July 2023.</w:t>
      </w:r>
    </w:p>
  </w:footnote>
  <w:footnote w:id="24">
    <w:p w14:paraId="355A58E5" w14:textId="77777777" w:rsidR="008514E9" w:rsidRPr="003C07F7" w:rsidRDefault="008514E9" w:rsidP="00093A57">
      <w:pPr>
        <w:pStyle w:val="FootnoteText"/>
        <w:rPr>
          <w:sz w:val="14"/>
          <w:szCs w:val="14"/>
        </w:rPr>
      </w:pPr>
      <w:r w:rsidRPr="00FE0795">
        <w:rPr>
          <w:rStyle w:val="FootnoteReference"/>
          <w:color w:val="auto"/>
          <w:sz w:val="12"/>
          <w:szCs w:val="12"/>
        </w:rPr>
        <w:footnoteRef/>
      </w:r>
      <w:r w:rsidRPr="00FE0795">
        <w:rPr>
          <w:sz w:val="12"/>
          <w:szCs w:val="12"/>
        </w:rPr>
        <w:t xml:space="preserve"> Australian Government Department of Health and Aged Care (2023). ‘Stoma Appliance Scheme: Application and Assessment Guidelines, July 2023.</w:t>
      </w:r>
    </w:p>
  </w:footnote>
  <w:footnote w:id="25">
    <w:p w14:paraId="66110B34" w14:textId="77777777" w:rsidR="008514E9" w:rsidRPr="00FE0795" w:rsidRDefault="008514E9" w:rsidP="00093A57">
      <w:pPr>
        <w:pStyle w:val="FootnoteText"/>
        <w:rPr>
          <w:sz w:val="12"/>
          <w:szCs w:val="12"/>
        </w:rPr>
      </w:pPr>
      <w:r w:rsidRPr="00FE0795">
        <w:rPr>
          <w:rStyle w:val="FootnoteReference"/>
          <w:color w:val="auto"/>
          <w:sz w:val="12"/>
          <w:szCs w:val="12"/>
        </w:rPr>
        <w:footnoteRef/>
      </w:r>
      <w:r w:rsidRPr="00FE0795">
        <w:rPr>
          <w:sz w:val="12"/>
          <w:szCs w:val="12"/>
        </w:rPr>
        <w:t xml:space="preserve"> Australian Government Department of Health and Ageing (2023). ‘About the PBS’, accessed from https://www.pbs.gov.au/info/about-the-pbs</w:t>
      </w:r>
    </w:p>
  </w:footnote>
  <w:footnote w:id="26">
    <w:p w14:paraId="36E7A4B4" w14:textId="77777777" w:rsidR="008514E9" w:rsidRPr="00FE0795" w:rsidRDefault="008514E9" w:rsidP="00093A57">
      <w:pPr>
        <w:pStyle w:val="FootnoteText"/>
        <w:rPr>
          <w:sz w:val="12"/>
          <w:szCs w:val="12"/>
        </w:rPr>
      </w:pPr>
      <w:r w:rsidRPr="00FE0795">
        <w:rPr>
          <w:rStyle w:val="FootnoteReference"/>
          <w:color w:val="auto"/>
          <w:sz w:val="12"/>
          <w:szCs w:val="12"/>
        </w:rPr>
        <w:footnoteRef/>
      </w:r>
      <w:r w:rsidRPr="00FE0795">
        <w:rPr>
          <w:sz w:val="12"/>
          <w:szCs w:val="12"/>
        </w:rPr>
        <w:t xml:space="preserve"> The percentage reductions applied are: 5% on the 5th and 10th year anniversary; 26.1% on the 15th year anniversary for drugs listed under Section 99ACKA of the Act; and 1.48% on the 15th year anniversary for drugs listed under Section 99ACP of the Act.</w:t>
      </w:r>
    </w:p>
  </w:footnote>
  <w:footnote w:id="27">
    <w:p w14:paraId="6FA66CEC" w14:textId="77777777" w:rsidR="008514E9" w:rsidRPr="00FE0795" w:rsidRDefault="008514E9" w:rsidP="00093A57">
      <w:pPr>
        <w:pStyle w:val="FootnoteText"/>
        <w:rPr>
          <w:sz w:val="12"/>
          <w:szCs w:val="12"/>
        </w:rPr>
      </w:pPr>
      <w:r w:rsidRPr="00FE0795">
        <w:rPr>
          <w:rStyle w:val="FootnoteReference"/>
          <w:color w:val="auto"/>
          <w:sz w:val="12"/>
          <w:szCs w:val="12"/>
        </w:rPr>
        <w:footnoteRef/>
      </w:r>
      <w:r w:rsidRPr="00FE0795">
        <w:rPr>
          <w:sz w:val="12"/>
          <w:szCs w:val="12"/>
        </w:rPr>
        <w:t xml:space="preserve"> Implementing this proposal is estimated to result in an additional expenditure of approximately $30 million from 2023-24.</w:t>
      </w:r>
    </w:p>
  </w:footnote>
  <w:footnote w:id="28">
    <w:p w14:paraId="5EAD8A46" w14:textId="77777777" w:rsidR="008514E9" w:rsidRDefault="008514E9" w:rsidP="00093A57">
      <w:pPr>
        <w:pStyle w:val="FootnoteText"/>
      </w:pPr>
      <w:r w:rsidRPr="00FE0795">
        <w:rPr>
          <w:rStyle w:val="FootnoteReference"/>
          <w:color w:val="auto"/>
          <w:sz w:val="12"/>
          <w:szCs w:val="12"/>
        </w:rPr>
        <w:footnoteRef/>
      </w:r>
      <w:r w:rsidRPr="00FE0795">
        <w:rPr>
          <w:sz w:val="12"/>
          <w:szCs w:val="12"/>
        </w:rPr>
        <w:t xml:space="preserve"> </w:t>
      </w:r>
      <w:hyperlink r:id="rId9" w:history="1">
        <w:r w:rsidRPr="00FE0795">
          <w:rPr>
            <w:rStyle w:val="Hyperlink"/>
            <w:sz w:val="12"/>
            <w:szCs w:val="12"/>
          </w:rPr>
          <w:t>https://www.nursingtimes.net/clinical-archive/stoma-care/stoma-savings-helping-to-reduce-waste-and-spend-in-the-nhs-28-09-2022/</w:t>
        </w:r>
      </w:hyperlink>
      <w:r>
        <w:t xml:space="preserve"> </w:t>
      </w:r>
    </w:p>
  </w:footnote>
  <w:footnote w:id="29">
    <w:p w14:paraId="3F14D2F7" w14:textId="77777777" w:rsidR="00CB5A9D" w:rsidRPr="00FE0795" w:rsidRDefault="00CB5A9D" w:rsidP="00093A57">
      <w:pPr>
        <w:pStyle w:val="FootnoteText"/>
        <w:rPr>
          <w:sz w:val="12"/>
          <w:szCs w:val="12"/>
        </w:rPr>
      </w:pPr>
      <w:r w:rsidRPr="00FE0795">
        <w:rPr>
          <w:rStyle w:val="FootnoteReference"/>
          <w:color w:val="auto"/>
          <w:sz w:val="12"/>
          <w:szCs w:val="12"/>
        </w:rPr>
        <w:footnoteRef/>
      </w:r>
      <w:r w:rsidRPr="00FE0795">
        <w:rPr>
          <w:sz w:val="12"/>
          <w:szCs w:val="12"/>
        </w:rPr>
        <w:t xml:space="preserve"> From 4 June 2022, Stoma Appliance Scheme claims were sent to the Department via the PBS online claims data feed. Reporting is now based on the date that individual claims are processed, rather than the Claim Period in which they were processed. This means that data from 2021-22 and 2022-23 are not directly comparable.</w:t>
      </w:r>
    </w:p>
  </w:footnote>
  <w:footnote w:id="30">
    <w:p w14:paraId="06E2832D" w14:textId="77777777" w:rsidR="00312261" w:rsidRPr="00FE0795" w:rsidRDefault="00312261" w:rsidP="00FE0795">
      <w:pPr>
        <w:pStyle w:val="FootnoteText"/>
        <w:ind w:left="0" w:firstLine="0"/>
        <w:rPr>
          <w:sz w:val="12"/>
          <w:szCs w:val="12"/>
        </w:rPr>
      </w:pPr>
      <w:r w:rsidRPr="00FE0795">
        <w:rPr>
          <w:rStyle w:val="FootnoteReference"/>
          <w:color w:val="auto"/>
          <w:sz w:val="12"/>
          <w:szCs w:val="12"/>
        </w:rPr>
        <w:footnoteRef/>
      </w:r>
      <w:r w:rsidRPr="00FE0795">
        <w:rPr>
          <w:sz w:val="12"/>
          <w:szCs w:val="12"/>
        </w:rPr>
        <w:t xml:space="preserve"> Latest data shows that 33,345 Australians were living with MS in 202. Minimum assumes 50% of those with MS develop bowel issues, and maximum assumes 66% of those with MS develop bladder issues. Stomas are seen as a last resort treatment, so both assume 10% of those with bladder issues resort to stoma formation.</w:t>
      </w:r>
    </w:p>
    <w:p w14:paraId="3ACF02D4" w14:textId="1E903602" w:rsidR="00312261" w:rsidRPr="00FE0795" w:rsidRDefault="00312261" w:rsidP="00FE0795">
      <w:pPr>
        <w:pStyle w:val="FootnoteText"/>
        <w:ind w:left="0" w:firstLine="0"/>
        <w:rPr>
          <w:rStyle w:val="Hyperlink"/>
          <w:sz w:val="12"/>
          <w:szCs w:val="12"/>
          <w:lang w:val="en-US"/>
        </w:rPr>
      </w:pPr>
      <w:r w:rsidRPr="00FE0795">
        <w:rPr>
          <w:sz w:val="12"/>
          <w:szCs w:val="12"/>
        </w:rPr>
        <w:t xml:space="preserve">Sources: </w:t>
      </w:r>
      <w:r w:rsidRPr="00FE0795">
        <w:rPr>
          <w:sz w:val="12"/>
          <w:szCs w:val="12"/>
          <w:lang w:val="en-US"/>
        </w:rPr>
        <w:t xml:space="preserve">Menzies Institute for Medical Research (2023). </w:t>
      </w:r>
      <w:r w:rsidR="00836744" w:rsidRPr="00FE0795">
        <w:rPr>
          <w:sz w:val="12"/>
          <w:szCs w:val="12"/>
          <w:lang w:val="en-US"/>
        </w:rPr>
        <w:t xml:space="preserve">Multiple Sclerosis Rising and Accelerating </w:t>
      </w:r>
      <w:r w:rsidR="00B12E6A" w:rsidRPr="00FE0795">
        <w:rPr>
          <w:sz w:val="12"/>
          <w:szCs w:val="12"/>
          <w:lang w:val="en-US"/>
        </w:rPr>
        <w:t>in</w:t>
      </w:r>
      <w:r w:rsidR="00836744" w:rsidRPr="00FE0795">
        <w:rPr>
          <w:sz w:val="12"/>
          <w:szCs w:val="12"/>
          <w:lang w:val="en-US"/>
        </w:rPr>
        <w:t xml:space="preserve"> Australia New Data Shows</w:t>
      </w:r>
      <w:r w:rsidRPr="00FE0795">
        <w:rPr>
          <w:sz w:val="12"/>
          <w:szCs w:val="12"/>
          <w:lang w:val="en-US"/>
        </w:rPr>
        <w:t xml:space="preserve">. </w:t>
      </w:r>
      <w:r w:rsidRPr="00FE0795">
        <w:rPr>
          <w:i/>
          <w:iCs/>
          <w:sz w:val="12"/>
          <w:szCs w:val="12"/>
          <w:lang w:val="en-US"/>
        </w:rPr>
        <w:t xml:space="preserve">University of Tasmania. </w:t>
      </w:r>
      <w:r w:rsidRPr="00FE0795">
        <w:rPr>
          <w:sz w:val="12"/>
          <w:szCs w:val="12"/>
          <w:lang w:val="en-US"/>
        </w:rPr>
        <w:t xml:space="preserve">Retrieved from: </w:t>
      </w:r>
      <w:hyperlink r:id="rId10" w:history="1">
        <w:r w:rsidRPr="00FE0795">
          <w:rPr>
            <w:rStyle w:val="Hyperlink"/>
            <w:sz w:val="12"/>
            <w:szCs w:val="12"/>
            <w:lang w:val="en-US"/>
          </w:rPr>
          <w:t>https://www.msaustralia.org.au/wp-content/uploads/2023/02/media-release-ms-rising-and-accelerating-in-australia.pdf</w:t>
        </w:r>
      </w:hyperlink>
      <w:r w:rsidRPr="00FE0795">
        <w:rPr>
          <w:rStyle w:val="Hyperlink"/>
          <w:sz w:val="12"/>
          <w:szCs w:val="12"/>
          <w:lang w:val="en-US"/>
        </w:rPr>
        <w:t>,</w:t>
      </w:r>
    </w:p>
    <w:p w14:paraId="32AC62AC" w14:textId="77777777" w:rsidR="00312261" w:rsidRPr="00FE0795" w:rsidRDefault="00312261" w:rsidP="00FE0795">
      <w:pPr>
        <w:pStyle w:val="FootnoteText"/>
        <w:ind w:left="0" w:firstLine="0"/>
        <w:rPr>
          <w:sz w:val="12"/>
          <w:szCs w:val="12"/>
          <w:lang w:val="en-US"/>
        </w:rPr>
      </w:pPr>
      <w:r w:rsidRPr="00FE0795">
        <w:rPr>
          <w:sz w:val="12"/>
          <w:szCs w:val="12"/>
          <w:lang w:val="en-US"/>
        </w:rPr>
        <w:t xml:space="preserve">Magnuson, F., et al. (2023). Neurogenic Bowel Dysfunction in Patients with Spinal Cord Injury and Multiple Sclerosis—An Updated and Simplified Treatment Algorithm. </w:t>
      </w:r>
      <w:r w:rsidRPr="00FE0795">
        <w:rPr>
          <w:i/>
          <w:iCs/>
          <w:sz w:val="12"/>
          <w:szCs w:val="12"/>
          <w:lang w:val="en-US"/>
        </w:rPr>
        <w:t>Journal of Clinical Medicine, 12</w:t>
      </w:r>
      <w:r w:rsidRPr="00FE0795">
        <w:rPr>
          <w:sz w:val="12"/>
          <w:szCs w:val="12"/>
          <w:lang w:val="en-US"/>
        </w:rPr>
        <w:t>(22), 6971</w:t>
      </w:r>
    </w:p>
  </w:footnote>
  <w:footnote w:id="31">
    <w:p w14:paraId="1A522A4B" w14:textId="77777777" w:rsidR="00312261" w:rsidRPr="00FE0795" w:rsidRDefault="00312261" w:rsidP="00FE0795">
      <w:pPr>
        <w:pStyle w:val="FootnoteText"/>
        <w:ind w:left="0" w:firstLine="0"/>
        <w:rPr>
          <w:sz w:val="12"/>
          <w:szCs w:val="12"/>
        </w:rPr>
      </w:pPr>
      <w:r w:rsidRPr="00FE0795">
        <w:rPr>
          <w:rStyle w:val="FootnoteReference"/>
          <w:color w:val="auto"/>
          <w:sz w:val="12"/>
          <w:szCs w:val="12"/>
        </w:rPr>
        <w:footnoteRef/>
      </w:r>
      <w:r w:rsidRPr="00FE0795">
        <w:rPr>
          <w:sz w:val="12"/>
          <w:szCs w:val="12"/>
        </w:rPr>
        <w:t xml:space="preserve"> In 2018, 1 in 5000 babies were born with Hirschsprung’s disease. Minimum assume 36% require a stoma, and maximum assumes 45% require a stoma.</w:t>
      </w:r>
    </w:p>
    <w:p w14:paraId="5D2D2F80" w14:textId="77777777" w:rsidR="00312261" w:rsidRPr="00FE0795" w:rsidRDefault="00312261" w:rsidP="00FE0795">
      <w:pPr>
        <w:pStyle w:val="FootnoteText"/>
        <w:ind w:left="0" w:firstLine="0"/>
        <w:rPr>
          <w:sz w:val="12"/>
          <w:szCs w:val="12"/>
        </w:rPr>
      </w:pPr>
      <w:r w:rsidRPr="00FE0795">
        <w:rPr>
          <w:sz w:val="12"/>
          <w:szCs w:val="12"/>
        </w:rPr>
        <w:t xml:space="preserve">Sources: AIHW (2023). Congenital anomalies in Australia. </w:t>
      </w:r>
      <w:hyperlink r:id="rId11" w:history="1">
        <w:r w:rsidRPr="00FE0795">
          <w:rPr>
            <w:rStyle w:val="Hyperlink"/>
            <w:sz w:val="12"/>
            <w:szCs w:val="12"/>
          </w:rPr>
          <w:t>https://www.aihw.gov.au/reports/mothers-babies/congenital-anomalies-in-australia/data</w:t>
        </w:r>
      </w:hyperlink>
      <w:r w:rsidRPr="00FE0795">
        <w:rPr>
          <w:sz w:val="12"/>
          <w:szCs w:val="12"/>
        </w:rPr>
        <w:t xml:space="preserve">, </w:t>
      </w:r>
    </w:p>
    <w:p w14:paraId="29841A71" w14:textId="77777777" w:rsidR="00312261" w:rsidRPr="00FE0795" w:rsidRDefault="00312261" w:rsidP="00FE0795">
      <w:pPr>
        <w:pStyle w:val="FootnoteText"/>
        <w:ind w:left="0" w:firstLine="0"/>
        <w:rPr>
          <w:sz w:val="12"/>
          <w:szCs w:val="12"/>
        </w:rPr>
      </w:pPr>
      <w:proofErr w:type="spellStart"/>
      <w:r w:rsidRPr="00FE0795">
        <w:rPr>
          <w:sz w:val="12"/>
          <w:szCs w:val="12"/>
          <w:lang w:val="en-US"/>
        </w:rPr>
        <w:t>Bradnock</w:t>
      </w:r>
      <w:proofErr w:type="spellEnd"/>
      <w:r w:rsidRPr="00FE0795">
        <w:rPr>
          <w:sz w:val="12"/>
          <w:szCs w:val="12"/>
          <w:lang w:val="en-US"/>
        </w:rPr>
        <w:t xml:space="preserve">, T., Knight, M., Kenny, S., Nair, M. &amp; Walker G. (2017). The use of stomas in the early management of Hirschsprung disease: Findings of a national, prospective cohort study. </w:t>
      </w:r>
      <w:r w:rsidRPr="00FE0795">
        <w:rPr>
          <w:i/>
          <w:iCs/>
          <w:sz w:val="12"/>
          <w:szCs w:val="12"/>
          <w:lang w:val="en-US"/>
        </w:rPr>
        <w:t xml:space="preserve">J </w:t>
      </w:r>
      <w:proofErr w:type="spellStart"/>
      <w:r w:rsidRPr="00FE0795">
        <w:rPr>
          <w:i/>
          <w:iCs/>
          <w:sz w:val="12"/>
          <w:szCs w:val="12"/>
          <w:lang w:val="en-US"/>
        </w:rPr>
        <w:t>Pediatr</w:t>
      </w:r>
      <w:proofErr w:type="spellEnd"/>
      <w:r w:rsidRPr="00FE0795">
        <w:rPr>
          <w:i/>
          <w:iCs/>
          <w:sz w:val="12"/>
          <w:szCs w:val="12"/>
          <w:lang w:val="en-US"/>
        </w:rPr>
        <w:t xml:space="preserve"> Surg, 52</w:t>
      </w:r>
      <w:r w:rsidRPr="00FE0795">
        <w:rPr>
          <w:sz w:val="12"/>
          <w:szCs w:val="12"/>
          <w:lang w:val="en-US"/>
        </w:rPr>
        <w:t>(9), 1451-1457</w:t>
      </w:r>
    </w:p>
  </w:footnote>
  <w:footnote w:id="32">
    <w:p w14:paraId="4BF72BD4" w14:textId="77777777" w:rsidR="00312261" w:rsidRPr="00FE0795" w:rsidRDefault="00312261" w:rsidP="00FE0795">
      <w:pPr>
        <w:pStyle w:val="FootnoteText"/>
        <w:ind w:left="0" w:firstLine="0"/>
        <w:rPr>
          <w:sz w:val="12"/>
          <w:szCs w:val="12"/>
        </w:rPr>
      </w:pPr>
      <w:r w:rsidRPr="00FE0795">
        <w:rPr>
          <w:rStyle w:val="FootnoteReference"/>
          <w:color w:val="auto"/>
          <w:sz w:val="12"/>
          <w:szCs w:val="12"/>
        </w:rPr>
        <w:footnoteRef/>
      </w:r>
      <w:r w:rsidRPr="00FE0795">
        <w:rPr>
          <w:sz w:val="12"/>
          <w:szCs w:val="12"/>
        </w:rPr>
        <w:t xml:space="preserve"> At the end of 2018, 56,095 people in Australia were living with colorectal cancer. Minimum assumes 50% of bowel cancer patients require surgery and maximum assumes 80% of bowel cancer patients require surgery. Both assume 40% develop LARS, and 10% then require a stoma (stomas are typically used as a final treatment option). </w:t>
      </w:r>
    </w:p>
    <w:p w14:paraId="6459487E" w14:textId="77777777" w:rsidR="00312261" w:rsidRPr="00FE0795" w:rsidRDefault="00312261" w:rsidP="00FE0795">
      <w:pPr>
        <w:pStyle w:val="FootnoteText"/>
        <w:ind w:left="0" w:firstLine="0"/>
        <w:rPr>
          <w:sz w:val="12"/>
          <w:szCs w:val="12"/>
        </w:rPr>
      </w:pPr>
      <w:r w:rsidRPr="00FE0795">
        <w:rPr>
          <w:sz w:val="12"/>
          <w:szCs w:val="12"/>
        </w:rPr>
        <w:t xml:space="preserve">Sources: Cancer Australia (2023). Bowel cancer (Colorectal cancer) in Australia statistics. Retrieved from: </w:t>
      </w:r>
      <w:hyperlink r:id="rId12" w:history="1">
        <w:r w:rsidRPr="00FE0795">
          <w:rPr>
            <w:rStyle w:val="Hyperlink"/>
            <w:sz w:val="12"/>
            <w:szCs w:val="12"/>
          </w:rPr>
          <w:t>https://www.canceraustralia.gov.au/cancer-types/bowel-cancer/statistics</w:t>
        </w:r>
      </w:hyperlink>
      <w:r w:rsidRPr="00FE0795">
        <w:rPr>
          <w:sz w:val="12"/>
          <w:szCs w:val="12"/>
        </w:rPr>
        <w:t xml:space="preserve">, </w:t>
      </w:r>
    </w:p>
    <w:p w14:paraId="503EF9DE" w14:textId="77777777" w:rsidR="00312261" w:rsidRPr="00FE0795" w:rsidRDefault="00312261" w:rsidP="00FE0795">
      <w:pPr>
        <w:pStyle w:val="FootnoteText"/>
        <w:ind w:left="0" w:firstLine="0"/>
        <w:rPr>
          <w:sz w:val="12"/>
          <w:szCs w:val="12"/>
        </w:rPr>
      </w:pPr>
      <w:proofErr w:type="spellStart"/>
      <w:r w:rsidRPr="00FE0795">
        <w:rPr>
          <w:sz w:val="12"/>
          <w:szCs w:val="12"/>
        </w:rPr>
        <w:t>Croese</w:t>
      </w:r>
      <w:proofErr w:type="spellEnd"/>
      <w:r w:rsidRPr="00FE0795">
        <w:rPr>
          <w:sz w:val="12"/>
          <w:szCs w:val="12"/>
        </w:rPr>
        <w:t xml:space="preserve">, A., </w:t>
      </w:r>
      <w:proofErr w:type="spellStart"/>
      <w:r w:rsidRPr="00FE0795">
        <w:rPr>
          <w:sz w:val="12"/>
          <w:szCs w:val="12"/>
        </w:rPr>
        <w:t>Lonie</w:t>
      </w:r>
      <w:proofErr w:type="spellEnd"/>
      <w:r w:rsidRPr="00FE0795">
        <w:rPr>
          <w:sz w:val="12"/>
          <w:szCs w:val="12"/>
        </w:rPr>
        <w:t xml:space="preserve">, J., Trollope, A., </w:t>
      </w:r>
      <w:proofErr w:type="spellStart"/>
      <w:r w:rsidRPr="00FE0795">
        <w:rPr>
          <w:sz w:val="12"/>
          <w:szCs w:val="12"/>
        </w:rPr>
        <w:t>Vangaveti</w:t>
      </w:r>
      <w:proofErr w:type="spellEnd"/>
      <w:r w:rsidRPr="00FE0795">
        <w:rPr>
          <w:sz w:val="12"/>
          <w:szCs w:val="12"/>
        </w:rPr>
        <w:t xml:space="preserve">, V., &amp; Ho, Y. (2018). A meta-analysis of the prevalence of Low Anterior Resection Syndrome and systematic review of risk factors. </w:t>
      </w:r>
      <w:r w:rsidRPr="00FE0795">
        <w:rPr>
          <w:i/>
          <w:iCs/>
          <w:sz w:val="12"/>
          <w:szCs w:val="12"/>
        </w:rPr>
        <w:t>International Journal of Surgery, 56</w:t>
      </w:r>
      <w:r w:rsidRPr="00FE0795">
        <w:rPr>
          <w:sz w:val="12"/>
          <w:szCs w:val="12"/>
        </w:rPr>
        <w:t>(1), 234-241,</w:t>
      </w:r>
    </w:p>
    <w:p w14:paraId="1B04894D" w14:textId="77777777" w:rsidR="00312261" w:rsidRPr="00AF0FA1" w:rsidRDefault="00312261" w:rsidP="00FE0795">
      <w:pPr>
        <w:pStyle w:val="FootnoteText"/>
        <w:ind w:left="0" w:firstLine="0"/>
      </w:pPr>
      <w:r w:rsidRPr="00FE0795">
        <w:rPr>
          <w:sz w:val="12"/>
          <w:szCs w:val="12"/>
        </w:rPr>
        <w:t xml:space="preserve">Bryant, C., </w:t>
      </w:r>
      <w:proofErr w:type="spellStart"/>
      <w:r w:rsidRPr="00FE0795">
        <w:rPr>
          <w:sz w:val="12"/>
          <w:szCs w:val="12"/>
        </w:rPr>
        <w:t>Lunniss</w:t>
      </w:r>
      <w:proofErr w:type="spellEnd"/>
      <w:r w:rsidRPr="00FE0795">
        <w:rPr>
          <w:sz w:val="12"/>
          <w:szCs w:val="12"/>
        </w:rPr>
        <w:t xml:space="preserve">, P., Knowles, C., </w:t>
      </w:r>
      <w:proofErr w:type="spellStart"/>
      <w:r w:rsidRPr="00FE0795">
        <w:rPr>
          <w:sz w:val="12"/>
          <w:szCs w:val="12"/>
        </w:rPr>
        <w:t>Thaha</w:t>
      </w:r>
      <w:proofErr w:type="spellEnd"/>
      <w:r w:rsidRPr="00FE0795">
        <w:rPr>
          <w:sz w:val="12"/>
          <w:szCs w:val="12"/>
        </w:rPr>
        <w:t xml:space="preserve">, M., &amp; Chan, C. (2012). Anterior resection syndrome. </w:t>
      </w:r>
      <w:r w:rsidRPr="00FE0795">
        <w:rPr>
          <w:i/>
          <w:iCs/>
          <w:sz w:val="12"/>
          <w:szCs w:val="12"/>
        </w:rPr>
        <w:t>The Lancet Oncology, 13</w:t>
      </w:r>
      <w:r w:rsidRPr="00FE0795">
        <w:rPr>
          <w:sz w:val="12"/>
          <w:szCs w:val="12"/>
        </w:rPr>
        <w:t>(9), e403-e408.</w:t>
      </w:r>
      <w:r>
        <w:t xml:space="preserve"> </w:t>
      </w:r>
    </w:p>
  </w:footnote>
  <w:footnote w:id="33">
    <w:p w14:paraId="683DAADF" w14:textId="68194763" w:rsidR="00876457" w:rsidRDefault="00876457" w:rsidP="003B4759">
      <w:pPr>
        <w:pStyle w:val="FootnoteText"/>
      </w:pPr>
      <w:r>
        <w:rPr>
          <w:rStyle w:val="FootnoteReference"/>
        </w:rPr>
        <w:footnoteRef/>
      </w:r>
      <w:r>
        <w:t xml:space="preserve"> This </w:t>
      </w:r>
      <w:r w:rsidR="00F05C35">
        <w:t xml:space="preserve">Scenario models </w:t>
      </w:r>
      <w:r w:rsidR="00F646F9">
        <w:t>the removal of</w:t>
      </w:r>
      <w:r>
        <w:t xml:space="preserve"> a</w:t>
      </w:r>
      <w:r w:rsidR="00963C7B">
        <w:t>ll creams and ointments</w:t>
      </w:r>
      <w:r w:rsidR="004A5E92">
        <w:t xml:space="preserve"> (</w:t>
      </w:r>
      <w:r w:rsidR="0020654B">
        <w:t>G</w:t>
      </w:r>
      <w:r w:rsidR="004A5E92">
        <w:t>roup 09f</w:t>
      </w:r>
      <w:r w:rsidR="00FA0C65">
        <w:t xml:space="preserve"> removed</w:t>
      </w:r>
      <w:r w:rsidR="004A5E92">
        <w:t>) which includes the</w:t>
      </w:r>
      <w:r w:rsidR="00963C7B">
        <w:t xml:space="preserve"> following products codes: </w:t>
      </w:r>
      <w:r w:rsidR="003B4759">
        <w:t>03526N, 03528Q, 03557F, 03787H, 03829M, 03979K, 09858W, 09907K</w:t>
      </w:r>
      <w:r w:rsidR="00A6000A">
        <w:t xml:space="preserve">, </w:t>
      </w:r>
      <w:r w:rsidR="003B4759">
        <w:t>09933T, 09934W</w:t>
      </w:r>
      <w:r w:rsidR="00146B95">
        <w:t>.</w:t>
      </w:r>
    </w:p>
  </w:footnote>
  <w:footnote w:id="34">
    <w:p w14:paraId="138206FD" w14:textId="0B543143" w:rsidR="00F646F9" w:rsidRDefault="00F646F9">
      <w:pPr>
        <w:pStyle w:val="FootnoteText"/>
      </w:pPr>
      <w:r>
        <w:rPr>
          <w:rStyle w:val="FootnoteReference"/>
        </w:rPr>
        <w:footnoteRef/>
      </w:r>
      <w:r>
        <w:t xml:space="preserve"> </w:t>
      </w:r>
      <w:r w:rsidR="00FA0C65">
        <w:t xml:space="preserve">This Scenario models the expenditure when </w:t>
      </w:r>
      <w:r w:rsidR="00A82012">
        <w:t xml:space="preserve">the maximum quantity of </w:t>
      </w:r>
      <w:r w:rsidR="00FA0C65">
        <w:t>all creams and ointments (</w:t>
      </w:r>
      <w:r w:rsidR="0020654B">
        <w:t>G</w:t>
      </w:r>
      <w:r w:rsidR="00FA0C65">
        <w:t>roup 09f</w:t>
      </w:r>
      <w:r w:rsidR="0016751E">
        <w:t>, see specific codes in the footnote above</w:t>
      </w:r>
      <w:r w:rsidR="00FA0C65">
        <w:t xml:space="preserve">) </w:t>
      </w:r>
      <w:r w:rsidR="00A82012">
        <w:t xml:space="preserve">is </w:t>
      </w:r>
      <w:r w:rsidR="00C93246">
        <w:t xml:space="preserve">halved. </w:t>
      </w:r>
      <w:r w:rsidR="009713A0">
        <w:t>Specifically, th</w:t>
      </w:r>
      <w:r w:rsidR="0083442F">
        <w:t>is</w:t>
      </w:r>
      <w:r w:rsidR="009713A0">
        <w:t xml:space="preserve"> expenditure analysis </w:t>
      </w:r>
      <w:r w:rsidR="00F2395E">
        <w:t xml:space="preserve">sums </w:t>
      </w:r>
      <w:r w:rsidR="0083442F">
        <w:t>the</w:t>
      </w:r>
      <w:r w:rsidR="00F2395E">
        <w:t xml:space="preserve"> PBS quantity</w:t>
      </w:r>
      <w:r w:rsidR="00747D80">
        <w:t xml:space="preserve"> of each product</w:t>
      </w:r>
      <w:r w:rsidR="00AB13A1">
        <w:t xml:space="preserve"> ordered per financial</w:t>
      </w:r>
      <w:r w:rsidR="00872666">
        <w:t xml:space="preserve"> </w:t>
      </w:r>
      <w:r w:rsidR="000C05AE">
        <w:t xml:space="preserve">year </w:t>
      </w:r>
      <w:r w:rsidR="00872666">
        <w:t xml:space="preserve">for each </w:t>
      </w:r>
      <w:r w:rsidR="00F8143F">
        <w:t>ostomate and</w:t>
      </w:r>
      <w:r w:rsidR="00F2395E">
        <w:t xml:space="preserve"> </w:t>
      </w:r>
      <w:r w:rsidR="00747D80">
        <w:t xml:space="preserve">caps the maximum </w:t>
      </w:r>
      <w:r w:rsidR="00C047FD">
        <w:t>quantity</w:t>
      </w:r>
      <w:r w:rsidR="00F2395E">
        <w:t xml:space="preserve"> </w:t>
      </w:r>
      <w:r w:rsidR="00747D80">
        <w:t>at</w:t>
      </w:r>
      <w:r w:rsidR="00F2395E">
        <w:t xml:space="preserve"> 50% of</w:t>
      </w:r>
      <w:r w:rsidR="009713A0">
        <w:t xml:space="preserve"> the </w:t>
      </w:r>
      <w:r w:rsidR="00747D80">
        <w:t xml:space="preserve">current </w:t>
      </w:r>
      <w:r w:rsidR="009713A0">
        <w:t>maximum</w:t>
      </w:r>
      <w:r w:rsidR="00657FB3">
        <w:t xml:space="preserve">. Any expenditure related to </w:t>
      </w:r>
      <w:r w:rsidR="002F50B3">
        <w:t xml:space="preserve">orders above this cap was subtracted from the total current expenditure. </w:t>
      </w:r>
    </w:p>
  </w:footnote>
  <w:footnote w:id="35">
    <w:p w14:paraId="4A915D01" w14:textId="44B9E7BF" w:rsidR="001135EC" w:rsidRDefault="001135EC" w:rsidP="007E5FBC">
      <w:pPr>
        <w:pStyle w:val="FootnoteText"/>
      </w:pPr>
      <w:r>
        <w:rPr>
          <w:rStyle w:val="FootnoteReference"/>
        </w:rPr>
        <w:footnoteRef/>
      </w:r>
      <w:r>
        <w:t xml:space="preserve"> </w:t>
      </w:r>
      <w:r w:rsidR="00146B95">
        <w:t>Group 08c contains the</w:t>
      </w:r>
      <w:r>
        <w:t xml:space="preserve"> following product codes: </w:t>
      </w:r>
      <w:r w:rsidR="00E011CF" w:rsidRPr="00E011CF">
        <w:t>03671F, 09755K</w:t>
      </w:r>
      <w:r w:rsidR="00E011CF">
        <w:t xml:space="preserve">, </w:t>
      </w:r>
      <w:r w:rsidR="007E5FBC">
        <w:t>09822Y, 09867H, 09869K, 09870L, 09962H, 80151L, 80157T, 80158W, 80184F, 80198Y</w:t>
      </w:r>
      <w:r w:rsidR="00146B95">
        <w:t xml:space="preserve">. Expenditure relating to these codes were removed, however </w:t>
      </w:r>
      <w:r w:rsidR="00D61778">
        <w:t xml:space="preserve">as noted earlier in the report, </w:t>
      </w:r>
      <w:r w:rsidR="00D61778" w:rsidRPr="00D61778">
        <w:t>catheters are required for certain stoma types</w:t>
      </w:r>
      <w:r w:rsidR="00D61778">
        <w:t xml:space="preserve">. </w:t>
      </w:r>
    </w:p>
  </w:footnote>
  <w:footnote w:id="36">
    <w:p w14:paraId="0A3007CD" w14:textId="78DA48FE" w:rsidR="002600E5" w:rsidRDefault="002600E5">
      <w:pPr>
        <w:pStyle w:val="FootnoteText"/>
      </w:pPr>
      <w:r>
        <w:rPr>
          <w:rStyle w:val="FootnoteReference"/>
        </w:rPr>
        <w:footnoteRef/>
      </w:r>
      <w:r>
        <w:t xml:space="preserve"> </w:t>
      </w:r>
      <w:r w:rsidR="001E5D04">
        <w:t xml:space="preserve">This Scenario models the removal of all products in </w:t>
      </w:r>
      <w:r w:rsidR="0020654B">
        <w:t>G</w:t>
      </w:r>
      <w:r w:rsidR="001E5D04">
        <w:t xml:space="preserve">roup 09g, i.e. the following codes: </w:t>
      </w:r>
      <w:r w:rsidR="00DA0BB8" w:rsidRPr="00DA0BB8">
        <w:t>03514Y, 03516C, 03517D, 03518E, 03798X, 03811N, 03872T, 09823B, 09855Q, 09954X, 09988Q, 80016J, 80029C</w:t>
      </w:r>
      <w:r w:rsidR="00EC3809">
        <w:t>.</w:t>
      </w:r>
    </w:p>
  </w:footnote>
  <w:footnote w:id="37">
    <w:p w14:paraId="489F55BC" w14:textId="5FEACCC3" w:rsidR="00A62C11" w:rsidRDefault="00EC3DD0">
      <w:pPr>
        <w:pStyle w:val="FootnoteText"/>
      </w:pPr>
      <w:r>
        <w:rPr>
          <w:rStyle w:val="FootnoteReference"/>
        </w:rPr>
        <w:footnoteRef/>
      </w:r>
      <w:r>
        <w:t xml:space="preserve"> </w:t>
      </w:r>
      <w:r w:rsidR="0049395B">
        <w:t xml:space="preserve">This Scenario looks at the number of orders in </w:t>
      </w:r>
      <w:r w:rsidR="00FA7E26">
        <w:t>a financial</w:t>
      </w:r>
      <w:r w:rsidR="0049395B">
        <w:t xml:space="preserve"> year, and remove</w:t>
      </w:r>
      <w:r w:rsidR="008873E3">
        <w:t>s</w:t>
      </w:r>
      <w:r w:rsidR="00FA7E26">
        <w:t xml:space="preserve"> the expenditure related to products</w:t>
      </w:r>
      <w:r w:rsidR="0049395B">
        <w:t xml:space="preserve"> with less than </w:t>
      </w:r>
      <w:r w:rsidR="00CA0E0E">
        <w:t>2</w:t>
      </w:r>
      <w:r w:rsidR="0049395B">
        <w:t>0</w:t>
      </w:r>
      <w:r w:rsidR="00FA7E26">
        <w:t xml:space="preserve"> </w:t>
      </w:r>
      <w:r w:rsidR="00CA0E0E">
        <w:t xml:space="preserve">PBS quantity </w:t>
      </w:r>
      <w:r w:rsidR="0044225B">
        <w:t>in total.</w:t>
      </w:r>
      <w:r w:rsidR="00A31E21">
        <w:t xml:space="preserve"> </w:t>
      </w:r>
      <w:r w:rsidR="00D61778">
        <w:t>Please note that ostomates are likely to switch to an alternative product</w:t>
      </w:r>
      <w:r w:rsidR="00FA125C">
        <w:t xml:space="preserve"> and thus the cost savings identified here may not be realised. </w:t>
      </w:r>
    </w:p>
    <w:p w14:paraId="3E5A1AB9" w14:textId="1EE3D9AE" w:rsidR="00FA7E26" w:rsidRDefault="00FA7E26" w:rsidP="000E7601">
      <w:pPr>
        <w:pStyle w:val="FootnoteText"/>
        <w:numPr>
          <w:ilvl w:val="0"/>
          <w:numId w:val="64"/>
        </w:numPr>
      </w:pPr>
      <w:r>
        <w:t xml:space="preserve">In 2022-23 the following products </w:t>
      </w:r>
      <w:r w:rsidR="008873E3" w:rsidRPr="008873E3">
        <w:t xml:space="preserve">had less than </w:t>
      </w:r>
      <w:r w:rsidR="00641118" w:rsidRPr="00641118">
        <w:t>20 total yearly quantity</w:t>
      </w:r>
      <w:r w:rsidR="005A2C71">
        <w:t xml:space="preserve">: </w:t>
      </w:r>
      <w:r w:rsidR="00FC6538">
        <w:t xml:space="preserve"> </w:t>
      </w:r>
      <w:r w:rsidR="00FC6538" w:rsidRPr="00FC6538">
        <w:t>09983K</w:t>
      </w:r>
      <w:r w:rsidR="00FC6538">
        <w:t xml:space="preserve">, </w:t>
      </w:r>
      <w:r w:rsidR="00FC6538" w:rsidRPr="00FC6538">
        <w:t>80052G,</w:t>
      </w:r>
      <w:r w:rsidR="005A2C71">
        <w:t xml:space="preserve"> </w:t>
      </w:r>
      <w:r w:rsidR="00FC6538" w:rsidRPr="00FC6538">
        <w:t>80102X</w:t>
      </w:r>
      <w:r w:rsidR="005A2C71">
        <w:t xml:space="preserve">, </w:t>
      </w:r>
      <w:r w:rsidR="00F120B3" w:rsidRPr="00F120B3">
        <w:t>80163D</w:t>
      </w:r>
      <w:r w:rsidR="00F120B3">
        <w:t xml:space="preserve">, </w:t>
      </w:r>
      <w:r w:rsidR="00FC6538" w:rsidRPr="00FC6538">
        <w:t>80179Y</w:t>
      </w:r>
      <w:r w:rsidR="005A2C71">
        <w:t xml:space="preserve">, </w:t>
      </w:r>
      <w:r w:rsidR="00FC6538" w:rsidRPr="00FC6538">
        <w:t>80220D,</w:t>
      </w:r>
      <w:r w:rsidR="005A2C71">
        <w:t xml:space="preserve"> </w:t>
      </w:r>
      <w:r w:rsidR="00FC6538" w:rsidRPr="00FC6538">
        <w:t>80267N,</w:t>
      </w:r>
      <w:r w:rsidR="005A2C71">
        <w:t xml:space="preserve"> </w:t>
      </w:r>
      <w:r w:rsidR="00FC6538" w:rsidRPr="00FC6538">
        <w:t>80273X,</w:t>
      </w:r>
      <w:r w:rsidR="005A2C71">
        <w:t xml:space="preserve"> </w:t>
      </w:r>
      <w:r w:rsidR="00FC6538" w:rsidRPr="00FC6538">
        <w:t>80275B</w:t>
      </w:r>
    </w:p>
  </w:footnote>
  <w:footnote w:id="38">
    <w:p w14:paraId="25A4B096" w14:textId="70A10E31" w:rsidR="00040998" w:rsidRDefault="00040998">
      <w:pPr>
        <w:pStyle w:val="FootnoteText"/>
      </w:pPr>
      <w:r>
        <w:rPr>
          <w:rStyle w:val="FootnoteReference"/>
        </w:rPr>
        <w:footnoteRef/>
      </w:r>
      <w:r>
        <w:t xml:space="preserve"> </w:t>
      </w:r>
      <w:r w:rsidR="008C004C">
        <w:t xml:space="preserve">. </w:t>
      </w:r>
      <w:r w:rsidR="000C05AE">
        <w:t xml:space="preserve"> </w:t>
      </w:r>
      <w:r w:rsidR="000C05AE" w:rsidRPr="000C05AE">
        <w:t xml:space="preserve">This Scenario models the expenditure when the maximum quantity of all products in Group 01 – One-Piece Closed and Group 05 – Two Piece Closed is halved. Specifically, this expenditure analysis sums the PBS quantity of each product ordered per financial </w:t>
      </w:r>
      <w:r w:rsidR="000C05AE">
        <w:t xml:space="preserve">year </w:t>
      </w:r>
      <w:r w:rsidR="000C05AE" w:rsidRPr="000C05AE">
        <w:t>for each ostomate and caps the maximum quantity at 50% of the current maximum. Any expenditure related to orders above this cap was subtracted from the total current expenditure.</w:t>
      </w:r>
    </w:p>
  </w:footnote>
  <w:footnote w:id="39">
    <w:p w14:paraId="67423096" w14:textId="7478E928" w:rsidR="008C004C" w:rsidRDefault="008C004C">
      <w:pPr>
        <w:pStyle w:val="FootnoteText"/>
      </w:pPr>
      <w:r>
        <w:rPr>
          <w:rStyle w:val="FootnoteReference"/>
        </w:rPr>
        <w:footnoteRef/>
      </w:r>
      <w:r>
        <w:t xml:space="preserve"> </w:t>
      </w:r>
      <w:r w:rsidR="00214E06">
        <w:t xml:space="preserve">This </w:t>
      </w:r>
      <w:r w:rsidR="00E71C47">
        <w:t xml:space="preserve">Scenario models the impact of </w:t>
      </w:r>
      <w:r w:rsidR="005E376D">
        <w:t>doubling the maximum quantity of</w:t>
      </w:r>
      <w:r w:rsidR="00214E06">
        <w:t xml:space="preserve"> all codes in Group 08a, i.e.: </w:t>
      </w:r>
      <w:r w:rsidR="004E28C1" w:rsidRPr="004E28C1">
        <w:t>03641P, 09845E, 80101W, 80163D, 80179Y</w:t>
      </w:r>
      <w:r w:rsidR="005E376D">
        <w:t xml:space="preserve">. The Scenario assumes that any ostomate currently ordering the maximum would instead order the </w:t>
      </w:r>
      <w:r w:rsidR="00E91D2E">
        <w:t xml:space="preserve">new doubled maximum quantity. </w:t>
      </w:r>
    </w:p>
  </w:footnote>
  <w:footnote w:id="40">
    <w:p w14:paraId="3405ED66" w14:textId="1D0D8611" w:rsidR="009912EB" w:rsidRDefault="009912EB">
      <w:pPr>
        <w:pStyle w:val="FootnoteText"/>
      </w:pPr>
      <w:r>
        <w:rPr>
          <w:rStyle w:val="FootnoteReference"/>
        </w:rPr>
        <w:footnoteRef/>
      </w:r>
      <w:r>
        <w:t xml:space="preserve"> </w:t>
      </w:r>
      <w:r w:rsidR="00DC583B">
        <w:t>One-off</w:t>
      </w:r>
      <w:r w:rsidR="00D86E1C">
        <w:t xml:space="preserve"> CPI</w:t>
      </w:r>
      <w:r>
        <w:t xml:space="preserve"> indexation examines the expenditure if indexation was applied using the </w:t>
      </w:r>
      <w:r w:rsidR="00D86E1C">
        <w:t xml:space="preserve">average </w:t>
      </w:r>
      <w:r>
        <w:t xml:space="preserve">CPI </w:t>
      </w:r>
      <w:r w:rsidR="00D86E1C">
        <w:t xml:space="preserve">taken from </w:t>
      </w:r>
      <w:r>
        <w:t xml:space="preserve">June of the previous </w:t>
      </w:r>
      <w:r w:rsidR="00D86E1C">
        <w:t xml:space="preserve">five </w:t>
      </w:r>
      <w:r>
        <w:t>financial year</w:t>
      </w:r>
      <w:r w:rsidR="00D86E1C">
        <w:t>s</w:t>
      </w:r>
      <w:r>
        <w:t>. For example, the 202</w:t>
      </w:r>
      <w:r w:rsidR="00D86E1C">
        <w:t>3</w:t>
      </w:r>
      <w:r>
        <w:t>-202</w:t>
      </w:r>
      <w:r w:rsidR="00D86E1C">
        <w:t>4</w:t>
      </w:r>
      <w:r>
        <w:t xml:space="preserve"> expenditure applies the ABS June </w:t>
      </w:r>
      <w:r w:rsidR="0074288F">
        <w:t>five</w:t>
      </w:r>
      <w:r w:rsidR="000E3DE1">
        <w:t>-year average</w:t>
      </w:r>
      <w:r>
        <w:t xml:space="preserve"> CPI (</w:t>
      </w:r>
      <w:r w:rsidR="000E3DE1">
        <w:t>3</w:t>
      </w:r>
      <w:r>
        <w:t>.</w:t>
      </w:r>
      <w:r w:rsidR="000E3DE1">
        <w:t>4</w:t>
      </w:r>
      <w:r>
        <w:t xml:space="preserve">%) to calculate a new unit price for each product, which is then multiplied by the yearly quantity to find the new product expenditure. The price indexation is </w:t>
      </w:r>
      <w:r w:rsidR="00970BCE">
        <w:t xml:space="preserve">NOT </w:t>
      </w:r>
      <w:r>
        <w:t>compound in this Scenario</w:t>
      </w:r>
      <w:r w:rsidR="00233C5B">
        <w:t xml:space="preserve"> – i.e. the unit price</w:t>
      </w:r>
      <w:r w:rsidR="00E1608C">
        <w:t xml:space="preserve"> indexation</w:t>
      </w:r>
      <w:r w:rsidR="00233C5B">
        <w:t xml:space="preserve"> </w:t>
      </w:r>
      <w:r w:rsidR="00E1608C">
        <w:t>is</w:t>
      </w:r>
      <w:r w:rsidR="00233C5B">
        <w:t xml:space="preserve"> a one-off increase</w:t>
      </w:r>
      <w:r w:rsidR="00E1608C">
        <w:t xml:space="preserve"> taken at each financial year individually</w:t>
      </w:r>
      <w:r>
        <w:t xml:space="preserve">. </w:t>
      </w:r>
      <w:r w:rsidR="0074288F" w:rsidRPr="0074288F">
        <w:t>The forecast product quantity uses Excel’s exponential triple smoothing (ETS) algorithm to estimate future figures based on past trends.</w:t>
      </w:r>
    </w:p>
  </w:footnote>
  <w:footnote w:id="41">
    <w:p w14:paraId="1E718B6A" w14:textId="490F0B92" w:rsidR="009912EB" w:rsidRDefault="009912EB">
      <w:pPr>
        <w:pStyle w:val="FootnoteText"/>
      </w:pPr>
      <w:r>
        <w:rPr>
          <w:rStyle w:val="FootnoteReference"/>
        </w:rPr>
        <w:footnoteRef/>
      </w:r>
      <w:r>
        <w:t xml:space="preserve"> Ongoing CPI adjustment takes the </w:t>
      </w:r>
      <w:r w:rsidR="00E1608C">
        <w:t>five</w:t>
      </w:r>
      <w:r>
        <w:t>-year average CPI change taken at June each year (3.4%) and applies this to the previous year’s unit price to estimate future indexation. The price indexation in this Scenario is compound. For example, the 202</w:t>
      </w:r>
      <w:r w:rsidR="002E4C3D">
        <w:t>4</w:t>
      </w:r>
      <w:r>
        <w:t>-2</w:t>
      </w:r>
      <w:r w:rsidR="002E4C3D">
        <w:t>5</w:t>
      </w:r>
      <w:r>
        <w:t xml:space="preserve"> ongoing CPI expenditure is calculated by taking the 202</w:t>
      </w:r>
      <w:r w:rsidR="00414B69">
        <w:t>3</w:t>
      </w:r>
      <w:r>
        <w:t>-2</w:t>
      </w:r>
      <w:r w:rsidR="00414B69">
        <w:t>4</w:t>
      </w:r>
      <w:r>
        <w:t xml:space="preserve"> </w:t>
      </w:r>
      <w:r w:rsidR="00414B69">
        <w:t xml:space="preserve">indexed </w:t>
      </w:r>
      <w:r>
        <w:t xml:space="preserve">unit price for each product </w:t>
      </w:r>
      <w:r w:rsidR="00414B69">
        <w:t xml:space="preserve">and </w:t>
      </w:r>
      <w:r>
        <w:t>multipl</w:t>
      </w:r>
      <w:r w:rsidR="00414B69">
        <w:t>ying this</w:t>
      </w:r>
      <w:r>
        <w:t xml:space="preserve"> by the </w:t>
      </w:r>
      <w:r w:rsidR="00E1608C">
        <w:t>five</w:t>
      </w:r>
      <w:r>
        <w:t xml:space="preserve">-year average to estimate future unit price. Then, the future unit price is multiplied by the forecast product quantity in 2023-24 to estimate future expenditure. </w:t>
      </w:r>
    </w:p>
  </w:footnote>
  <w:footnote w:id="42">
    <w:p w14:paraId="71179939" w14:textId="7376D57D" w:rsidR="003B5CA6" w:rsidRDefault="003B5CA6">
      <w:pPr>
        <w:pStyle w:val="FootnoteText"/>
      </w:pPr>
      <w:r>
        <w:rPr>
          <w:rStyle w:val="FootnoteReference"/>
        </w:rPr>
        <w:footnoteRef/>
      </w:r>
      <w:r>
        <w:t xml:space="preserve"> This Scenario uses ‘backdated’ indexation to calculate the 2022-23 price if compounded CPI indexation had been applied in 2020-21, 2021-22 and 2022-23. From 2023-24 onwards, compounding indexation is applied at the five-year average. Please note the </w:t>
      </w:r>
      <w:r w:rsidRPr="00525C76">
        <w:t xml:space="preserve">-0.3% annual indexation change between June 2019 and June 2020 </w:t>
      </w:r>
      <w:r>
        <w:t xml:space="preserve">caused a decrease in unit prices, however this </w:t>
      </w:r>
      <w:r w:rsidRPr="00525C76">
        <w:t>was an outlier due to the COVID-19 pandemic.</w:t>
      </w:r>
    </w:p>
  </w:footnote>
  <w:footnote w:id="43">
    <w:p w14:paraId="5B73CEDF" w14:textId="410423F5" w:rsidR="009912EB" w:rsidRDefault="009912EB">
      <w:pPr>
        <w:pStyle w:val="FootnoteText"/>
      </w:pPr>
      <w:r>
        <w:rPr>
          <w:rStyle w:val="FootnoteReference"/>
        </w:rPr>
        <w:footnoteRef/>
      </w:r>
      <w:r>
        <w:t xml:space="preserve"> This Scenario was modelled by taking the one-off benchmark increased price of 2023-24, and then applying the 5-year average June CPI with annual compounding from 2024-25.</w:t>
      </w:r>
    </w:p>
  </w:footnote>
  <w:footnote w:id="44">
    <w:p w14:paraId="41B470A8" w14:textId="1D74A2B3" w:rsidR="00FB11EE" w:rsidRPr="000466C0" w:rsidRDefault="00FB11EE" w:rsidP="00FB11EE">
      <w:pPr>
        <w:pStyle w:val="FootnoteText"/>
        <w:ind w:left="0" w:firstLine="0"/>
        <w:rPr>
          <w:sz w:val="12"/>
          <w:szCs w:val="12"/>
        </w:rPr>
      </w:pPr>
      <w:r w:rsidRPr="000466C0">
        <w:rPr>
          <w:rStyle w:val="FootnoteReference"/>
          <w:color w:val="auto"/>
          <w:sz w:val="12"/>
          <w:szCs w:val="12"/>
        </w:rPr>
        <w:footnoteRef/>
      </w:r>
      <w:r w:rsidRPr="000466C0">
        <w:rPr>
          <w:sz w:val="12"/>
          <w:szCs w:val="12"/>
        </w:rPr>
        <w:t xml:space="preserve"> Notes: A one-piece system is made up of a pouch or bag (that collects stool or urine) and a skin barrier (with an adhesive backing; that can be flat or convex). A two piece system is made up of pouch/bag; skin barrier and flange (i.e. plastic ring on both the pouch and skin barrier that provides a secure attachment). Both systems are available with closed ends, drainable ends, or tap/plug ends. Generally speaking, a person with a colostomy will use a closed end pouch, a person with an ileostomy will use an open ended pouch to allow for regular content draining, and a person with a urostomy (or ileal conduit) will use a pouch with a tap or plug closure. In some </w:t>
      </w:r>
      <w:r w:rsidR="00D51B93" w:rsidRPr="000466C0">
        <w:rPr>
          <w:sz w:val="12"/>
          <w:szCs w:val="12"/>
        </w:rPr>
        <w:t>cases,</w:t>
      </w:r>
      <w:r w:rsidRPr="000466C0">
        <w:rPr>
          <w:sz w:val="12"/>
          <w:szCs w:val="12"/>
        </w:rPr>
        <w:t xml:space="preserve"> though consistency and regularity of output may be such that a person with a colostomy will find a drainable pouch to be more appropriate or a person with an ileostomy may find that a closed end pouch better suits their situation.</w:t>
      </w:r>
    </w:p>
  </w:footnote>
  <w:footnote w:id="45">
    <w:p w14:paraId="19B91C55" w14:textId="4F87C9C5" w:rsidR="00320AFF" w:rsidRDefault="00260ADB" w:rsidP="00915FE0">
      <w:pPr>
        <w:pStyle w:val="FootnoteText"/>
      </w:pPr>
      <w:r>
        <w:rPr>
          <w:rStyle w:val="FootnoteReference"/>
        </w:rPr>
        <w:footnoteRef/>
      </w:r>
      <w:r>
        <w:t xml:space="preserve"> </w:t>
      </w:r>
      <w:r w:rsidR="00915FE0">
        <w:t xml:space="preserve"> </w:t>
      </w:r>
      <w:r w:rsidR="00320AFF">
        <w:t>In 2020-21 the following products had less than 20 total yearly quantity</w:t>
      </w:r>
      <w:r w:rsidR="00610E6E">
        <w:t xml:space="preserve"> so were removed </w:t>
      </w:r>
      <w:r w:rsidR="0027074D">
        <w:t>from the total</w:t>
      </w:r>
      <w:r w:rsidR="00320AFF">
        <w:t>: 03516C, 09980G, 80052G, 80102X, 80215W, 80220D</w:t>
      </w:r>
    </w:p>
    <w:p w14:paraId="6D809682" w14:textId="00CD64F6" w:rsidR="00320AFF" w:rsidRDefault="00320AFF" w:rsidP="00320AFF">
      <w:pPr>
        <w:pStyle w:val="FootnoteText"/>
      </w:pPr>
      <w:r>
        <w:t xml:space="preserve">In 2021-22 the following products had </w:t>
      </w:r>
      <w:r w:rsidR="0027074D">
        <w:t>less</w:t>
      </w:r>
      <w:r w:rsidR="00997287">
        <w:t xml:space="preserve"> than</w:t>
      </w:r>
      <w:r>
        <w:t xml:space="preserve"> 20 total yearly quantity</w:t>
      </w:r>
      <w:r w:rsidR="0027074D">
        <w:t xml:space="preserve"> </w:t>
      </w:r>
      <w:r w:rsidR="004F10D9" w:rsidRPr="004F10D9">
        <w:t>so were removed from the total</w:t>
      </w:r>
      <w:r>
        <w:t>: 03864J, 03914B, 09980G, 09983K, 80052G</w:t>
      </w:r>
    </w:p>
    <w:p w14:paraId="05F4C956" w14:textId="76B7CAF2" w:rsidR="00763868" w:rsidRDefault="00320AFF" w:rsidP="00320AFF">
      <w:pPr>
        <w:pStyle w:val="FootnoteText"/>
      </w:pPr>
      <w:r>
        <w:t>In 2022-23 the following products had less than 20 total yearly quantity</w:t>
      </w:r>
      <w:r w:rsidR="0027074D">
        <w:t xml:space="preserve"> </w:t>
      </w:r>
      <w:r w:rsidR="004F10D9" w:rsidRPr="004F10D9">
        <w:t>so were removed from the total</w:t>
      </w:r>
      <w:r>
        <w:t>: 09983K, 80052G, 80102X, 80179Y, 80220D, 80267N, 80273X, 80275B</w:t>
      </w:r>
    </w:p>
    <w:p w14:paraId="719FBBA3" w14:textId="26C9A69D" w:rsidR="004B45C9" w:rsidRDefault="004B45C9" w:rsidP="004B45C9">
      <w:pPr>
        <w:pStyle w:val="FootnoteText"/>
      </w:pPr>
      <w:r>
        <w:t>In 2023-24 the following products are forecast to have less than 20 total yearly quantity</w:t>
      </w:r>
      <w:r w:rsidR="0027074D">
        <w:t xml:space="preserve"> </w:t>
      </w:r>
      <w:r w:rsidR="004F10D9" w:rsidRPr="004F10D9">
        <w:t>so were removed from the total</w:t>
      </w:r>
      <w:r>
        <w:t xml:space="preserve">: </w:t>
      </w:r>
      <w:r w:rsidR="00D02EC7" w:rsidRPr="00D02EC7">
        <w:t>03914B,</w:t>
      </w:r>
      <w:r w:rsidR="00D02EC7">
        <w:t xml:space="preserve"> </w:t>
      </w:r>
      <w:r w:rsidR="00D02EC7" w:rsidRPr="00D02EC7">
        <w:t>80052G</w:t>
      </w:r>
      <w:r w:rsidR="00D02EC7">
        <w:t>,</w:t>
      </w:r>
      <w:r w:rsidR="00D02EC7" w:rsidRPr="00D02EC7">
        <w:t xml:space="preserve"> 80179Y</w:t>
      </w:r>
      <w:r w:rsidR="00D02EC7">
        <w:t>,</w:t>
      </w:r>
      <w:r w:rsidR="00D02EC7" w:rsidRPr="00D02EC7">
        <w:t xml:space="preserve"> 80220D,</w:t>
      </w:r>
      <w:r w:rsidR="00D02EC7">
        <w:t xml:space="preserve"> </w:t>
      </w:r>
      <w:r w:rsidR="00D02EC7" w:rsidRPr="00D02EC7">
        <w:t>80273X</w:t>
      </w:r>
      <w:r w:rsidR="00D67726">
        <w:t xml:space="preserve">, </w:t>
      </w:r>
      <w:r w:rsidR="00D02EC7" w:rsidRPr="00D02EC7">
        <w:t>80267N</w:t>
      </w:r>
      <w:r w:rsidR="00D67726">
        <w:t>,</w:t>
      </w:r>
      <w:r w:rsidR="00D67726" w:rsidRPr="00D02EC7">
        <w:t xml:space="preserve"> </w:t>
      </w:r>
      <w:r w:rsidR="00D02EC7" w:rsidRPr="00D02EC7">
        <w:t>80275B</w:t>
      </w:r>
    </w:p>
    <w:p w14:paraId="53FC9652" w14:textId="3C115F86" w:rsidR="00D67726" w:rsidRDefault="00D67726" w:rsidP="004B45C9">
      <w:pPr>
        <w:pStyle w:val="FootnoteText"/>
      </w:pPr>
      <w:r w:rsidRPr="00D67726">
        <w:t>In 202</w:t>
      </w:r>
      <w:r w:rsidR="00C53BCA">
        <w:t>4</w:t>
      </w:r>
      <w:r w:rsidRPr="00D67726">
        <w:t>-2</w:t>
      </w:r>
      <w:r w:rsidR="00C53BCA">
        <w:t>5</w:t>
      </w:r>
      <w:r w:rsidRPr="00D67726">
        <w:t xml:space="preserve"> the following products are forecast to have less than 20 total yearly quantity</w:t>
      </w:r>
      <w:r w:rsidR="004F10D9">
        <w:t xml:space="preserve"> </w:t>
      </w:r>
      <w:r w:rsidR="004F10D9" w:rsidRPr="004F10D9">
        <w:t>so were removed from the total</w:t>
      </w:r>
      <w:r w:rsidRPr="00D67726">
        <w:t xml:space="preserve">: </w:t>
      </w:r>
      <w:r w:rsidR="00C53BCA" w:rsidRPr="00C53BCA">
        <w:t>03914B,</w:t>
      </w:r>
      <w:r w:rsidR="006D73DC">
        <w:t xml:space="preserve"> </w:t>
      </w:r>
      <w:r w:rsidR="00C53BCA" w:rsidRPr="00C53BCA">
        <w:t>03982N,</w:t>
      </w:r>
      <w:r w:rsidR="006D73DC">
        <w:t xml:space="preserve"> </w:t>
      </w:r>
      <w:r w:rsidR="00C53BCA" w:rsidRPr="00C53BCA">
        <w:t>09822Y,</w:t>
      </w:r>
      <w:r w:rsidR="006D73DC">
        <w:t xml:space="preserve"> </w:t>
      </w:r>
      <w:r w:rsidR="00C53BCA" w:rsidRPr="00C53BCA">
        <w:t>80033G,</w:t>
      </w:r>
      <w:r w:rsidR="006D73DC">
        <w:t xml:space="preserve"> </w:t>
      </w:r>
      <w:r w:rsidR="00C53BCA" w:rsidRPr="00C53BCA">
        <w:t>80052G</w:t>
      </w:r>
      <w:r w:rsidR="006D73DC">
        <w:t xml:space="preserve">, </w:t>
      </w:r>
      <w:r w:rsidR="00C53BCA" w:rsidRPr="00C53BCA">
        <w:t>80173P</w:t>
      </w:r>
      <w:r w:rsidR="00C12751">
        <w:t xml:space="preserve">, </w:t>
      </w:r>
      <w:r w:rsidR="00C53BCA" w:rsidRPr="00C53BCA">
        <w:t>80179Y,</w:t>
      </w:r>
      <w:r w:rsidR="00C12751">
        <w:t xml:space="preserve"> </w:t>
      </w:r>
      <w:r w:rsidR="00C53BCA" w:rsidRPr="00C53BCA">
        <w:t>80220D</w:t>
      </w:r>
      <w:r w:rsidR="00C12751">
        <w:t>,</w:t>
      </w:r>
      <w:r w:rsidR="00C12751" w:rsidRPr="00C53BCA">
        <w:t xml:space="preserve"> </w:t>
      </w:r>
      <w:r w:rsidR="00C53BCA" w:rsidRPr="00C53BCA">
        <w:t>80267N</w:t>
      </w:r>
      <w:r w:rsidR="00C12751">
        <w:t>,</w:t>
      </w:r>
      <w:r w:rsidR="00C12751" w:rsidRPr="00C53BCA">
        <w:t xml:space="preserve"> </w:t>
      </w:r>
      <w:r w:rsidR="00C53BCA" w:rsidRPr="00C53BCA">
        <w:t>80273X</w:t>
      </w:r>
      <w:r w:rsidR="00C12751">
        <w:t xml:space="preserve">, </w:t>
      </w:r>
      <w:r w:rsidR="00C53BCA" w:rsidRPr="00C53BCA">
        <w:t>80275B</w:t>
      </w:r>
    </w:p>
    <w:p w14:paraId="4842A544" w14:textId="7FB965E9" w:rsidR="004B45C9" w:rsidRDefault="00C12751" w:rsidP="00320AFF">
      <w:pPr>
        <w:pStyle w:val="FootnoteText"/>
      </w:pPr>
      <w:r w:rsidRPr="00C12751">
        <w:t>In 202</w:t>
      </w:r>
      <w:r>
        <w:t>5</w:t>
      </w:r>
      <w:r w:rsidRPr="00C12751">
        <w:t>-2</w:t>
      </w:r>
      <w:r>
        <w:t>6</w:t>
      </w:r>
      <w:r w:rsidRPr="00C12751">
        <w:t xml:space="preserve"> the following products are forecast to have less than 20 total yearly quantity</w:t>
      </w:r>
      <w:r w:rsidR="004F10D9">
        <w:t xml:space="preserve"> </w:t>
      </w:r>
      <w:r w:rsidR="004F10D9" w:rsidRPr="004F10D9">
        <w:t>so were removed from the total</w:t>
      </w:r>
      <w:r w:rsidRPr="00C12751">
        <w:t>:</w:t>
      </w:r>
      <w:r w:rsidR="005252DD">
        <w:t xml:space="preserve"> </w:t>
      </w:r>
      <w:r w:rsidR="005252DD" w:rsidRPr="005252DD">
        <w:t>03914B,</w:t>
      </w:r>
      <w:r w:rsidR="0006232B">
        <w:t xml:space="preserve"> </w:t>
      </w:r>
      <w:r w:rsidR="005252DD" w:rsidRPr="005252DD">
        <w:t>09958D</w:t>
      </w:r>
      <w:r w:rsidR="008C24A4">
        <w:t xml:space="preserve">, </w:t>
      </w:r>
      <w:r w:rsidR="005252DD" w:rsidRPr="005252DD">
        <w:t>80052G,</w:t>
      </w:r>
      <w:r w:rsidR="008C24A4">
        <w:t xml:space="preserve"> </w:t>
      </w:r>
      <w:r w:rsidR="005252DD" w:rsidRPr="005252DD">
        <w:t>80179Y</w:t>
      </w:r>
      <w:r w:rsidR="008C24A4">
        <w:t>,</w:t>
      </w:r>
      <w:r w:rsidR="008C24A4" w:rsidRPr="005252DD">
        <w:t xml:space="preserve"> </w:t>
      </w:r>
      <w:r w:rsidR="005252DD" w:rsidRPr="005252DD">
        <w:t>80220D,</w:t>
      </w:r>
      <w:r w:rsidR="008C24A4">
        <w:t xml:space="preserve"> </w:t>
      </w:r>
      <w:r w:rsidR="005252DD" w:rsidRPr="005252DD">
        <w:t>80267N</w:t>
      </w:r>
      <w:r w:rsidR="008C24A4">
        <w:t xml:space="preserve">, </w:t>
      </w:r>
      <w:r w:rsidR="005252DD" w:rsidRPr="005252DD">
        <w:t>80273X</w:t>
      </w:r>
      <w:r w:rsidR="008C24A4">
        <w:t xml:space="preserve">, </w:t>
      </w:r>
      <w:r w:rsidR="005252DD" w:rsidRPr="005252DD">
        <w:t>80275B</w:t>
      </w:r>
    </w:p>
    <w:p w14:paraId="7E835348" w14:textId="0F2624E4" w:rsidR="00260ADB" w:rsidRDefault="00260ADB" w:rsidP="0052037D">
      <w:pPr>
        <w:pStyle w:val="FootnoteText"/>
        <w:ind w:left="0" w:firstLine="0"/>
      </w:pPr>
    </w:p>
  </w:footnote>
  <w:footnote w:id="46">
    <w:p w14:paraId="02E12F10" w14:textId="77777777" w:rsidR="00216F5E" w:rsidRPr="00960F83" w:rsidRDefault="00216F5E" w:rsidP="00216F5E">
      <w:pPr>
        <w:pStyle w:val="FootnoteText"/>
        <w:rPr>
          <w:lang w:val="en-US"/>
        </w:rPr>
      </w:pPr>
      <w:r>
        <w:rPr>
          <w:rStyle w:val="FootnoteReference"/>
        </w:rPr>
        <w:footnoteRef/>
      </w:r>
      <w:r>
        <w:t xml:space="preserve"> Since September 2021, Australia has been above the 2-3% inflationary target set by the Reserve Bank of Australia (RBA). See </w:t>
      </w:r>
      <w:r w:rsidRPr="00C42390">
        <w:t>https://www.rba.gov.au/inflation-overview.html</w:t>
      </w:r>
    </w:p>
  </w:footnote>
  <w:footnote w:id="47">
    <w:p w14:paraId="13D73150" w14:textId="77777777" w:rsidR="00216F5E" w:rsidRPr="0046380C" w:rsidRDefault="00216F5E" w:rsidP="00216F5E">
      <w:pPr>
        <w:pStyle w:val="FootnoteText"/>
        <w:rPr>
          <w:lang w:val="en-US"/>
        </w:rPr>
      </w:pPr>
      <w:r>
        <w:rPr>
          <w:rStyle w:val="FootnoteReference"/>
        </w:rPr>
        <w:footnoteRef/>
      </w:r>
      <w:r>
        <w:t xml:space="preserve"> It is assumed the</w:t>
      </w:r>
      <w:r w:rsidRPr="0046380C">
        <w:t xml:space="preserve"> annual percentage change in CPI in June of the previous financial year </w:t>
      </w:r>
      <w:r>
        <w:t>would be used</w:t>
      </w:r>
      <w:r w:rsidRPr="0046380C">
        <w:t xml:space="preserve"> </w:t>
      </w:r>
      <w:r>
        <w:t xml:space="preserve">– e.g. June 2021 CPI of 3.8% was applied to each unit price on the 2021-2022 Scheme. Quantity was then multiplied by the inflated price to calculate expenditure. </w:t>
      </w:r>
    </w:p>
  </w:footnote>
  <w:footnote w:id="48">
    <w:p w14:paraId="418B7BE4" w14:textId="1F89D2F2" w:rsidR="00216F5E" w:rsidRPr="00FE0795" w:rsidRDefault="00216F5E" w:rsidP="00216F5E">
      <w:pPr>
        <w:pStyle w:val="FootnoteText"/>
        <w:rPr>
          <w:sz w:val="12"/>
          <w:szCs w:val="12"/>
          <w:lang w:val="en-US"/>
        </w:rPr>
      </w:pPr>
      <w:r w:rsidRPr="00FE0795">
        <w:rPr>
          <w:rStyle w:val="FootnoteReference"/>
          <w:color w:val="auto"/>
          <w:sz w:val="12"/>
          <w:szCs w:val="12"/>
        </w:rPr>
        <w:footnoteRef/>
      </w:r>
      <w:r w:rsidRPr="00FE0795">
        <w:rPr>
          <w:sz w:val="12"/>
          <w:szCs w:val="12"/>
        </w:rPr>
        <w:t xml:space="preserve"> The forecasting algorithm used was an Excel exponential triple smoothing (ETS) formula, which predicts future values based on existing time series data. </w:t>
      </w:r>
    </w:p>
  </w:footnote>
  <w:footnote w:id="49">
    <w:p w14:paraId="1F1CC2A8" w14:textId="1E927ACE" w:rsidR="00216F5E" w:rsidRPr="00C50814" w:rsidRDefault="00216F5E" w:rsidP="00216F5E">
      <w:pPr>
        <w:pStyle w:val="FootnoteText"/>
        <w:rPr>
          <w:sz w:val="14"/>
          <w:szCs w:val="24"/>
          <w:lang w:val="en-US"/>
        </w:rPr>
      </w:pPr>
      <w:r w:rsidRPr="00C50814">
        <w:rPr>
          <w:rStyle w:val="FootnoteReference"/>
          <w:sz w:val="14"/>
          <w:szCs w:val="24"/>
        </w:rPr>
        <w:footnoteRef/>
      </w:r>
      <w:r w:rsidRPr="00C50814">
        <w:rPr>
          <w:sz w:val="14"/>
          <w:szCs w:val="24"/>
        </w:rPr>
        <w:t xml:space="preserve"> </w:t>
      </w:r>
      <w:r>
        <w:rPr>
          <w:sz w:val="14"/>
          <w:szCs w:val="24"/>
        </w:rPr>
        <w:t>N</w:t>
      </w:r>
      <w:r w:rsidRPr="00C50814">
        <w:rPr>
          <w:sz w:val="14"/>
          <w:szCs w:val="24"/>
        </w:rPr>
        <w:t>ote</w:t>
      </w:r>
      <w:r>
        <w:rPr>
          <w:sz w:val="14"/>
          <w:szCs w:val="24"/>
        </w:rPr>
        <w:t>:</w:t>
      </w:r>
      <w:r w:rsidRPr="00C50814">
        <w:rPr>
          <w:sz w:val="14"/>
          <w:szCs w:val="24"/>
        </w:rPr>
        <w:t xml:space="preserve"> prices are not </w:t>
      </w:r>
      <w:r w:rsidR="0061516C">
        <w:rPr>
          <w:sz w:val="14"/>
          <w:szCs w:val="24"/>
        </w:rPr>
        <w:t>compounding in this Scenario</w:t>
      </w:r>
      <w:r w:rsidRPr="00C50814">
        <w:rPr>
          <w:sz w:val="14"/>
          <w:szCs w:val="24"/>
        </w:rPr>
        <w:t>.</w:t>
      </w:r>
    </w:p>
  </w:footnote>
  <w:footnote w:id="50">
    <w:p w14:paraId="4C5292FD" w14:textId="77777777" w:rsidR="0062784C" w:rsidRPr="00C50814" w:rsidRDefault="0062784C" w:rsidP="0062784C">
      <w:pPr>
        <w:pStyle w:val="FootnoteText"/>
        <w:rPr>
          <w:sz w:val="14"/>
          <w:szCs w:val="24"/>
          <w:lang w:val="en-US"/>
        </w:rPr>
      </w:pPr>
      <w:r w:rsidRPr="00C50814">
        <w:rPr>
          <w:rStyle w:val="FootnoteReference"/>
          <w:sz w:val="14"/>
          <w:szCs w:val="24"/>
        </w:rPr>
        <w:footnoteRef/>
      </w:r>
      <w:r w:rsidRPr="00C50814">
        <w:rPr>
          <w:sz w:val="14"/>
          <w:szCs w:val="24"/>
        </w:rPr>
        <w:t xml:space="preserve"> </w:t>
      </w:r>
      <w:r>
        <w:rPr>
          <w:sz w:val="14"/>
          <w:szCs w:val="24"/>
        </w:rPr>
        <w:t>N</w:t>
      </w:r>
      <w:r w:rsidRPr="00C50814">
        <w:rPr>
          <w:sz w:val="14"/>
          <w:szCs w:val="24"/>
        </w:rPr>
        <w:t>ote</w:t>
      </w:r>
      <w:r>
        <w:rPr>
          <w:sz w:val="14"/>
          <w:szCs w:val="24"/>
        </w:rPr>
        <w:t>:</w:t>
      </w:r>
      <w:r w:rsidRPr="00C50814">
        <w:rPr>
          <w:sz w:val="14"/>
          <w:szCs w:val="24"/>
        </w:rPr>
        <w:t xml:space="preserve"> prices are not </w:t>
      </w:r>
      <w:r>
        <w:rPr>
          <w:sz w:val="14"/>
          <w:szCs w:val="24"/>
        </w:rPr>
        <w:t>compounding in this Scenario</w:t>
      </w:r>
      <w:r w:rsidRPr="00C50814">
        <w:rPr>
          <w:sz w:val="14"/>
          <w:szCs w:val="2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516D1" w14:textId="5574CFE3" w:rsidR="001843F9" w:rsidRDefault="001843F9" w:rsidP="00BF7C43">
    <w:pPr>
      <w:pStyle w:val="Header"/>
      <w:spacing w:after="160"/>
    </w:pPr>
  </w:p>
  <w:p w14:paraId="7249118F" w14:textId="77777777" w:rsidR="001843F9" w:rsidRDefault="001843F9" w:rsidP="000E6B70">
    <w:pPr>
      <w:pStyle w:val="Header"/>
      <w:spacing w:after="0"/>
    </w:pPr>
  </w:p>
  <w:p w14:paraId="78339FA5" w14:textId="77777777" w:rsidR="003B0686" w:rsidRDefault="00B43BDE" w:rsidP="000E6B70">
    <w:pPr>
      <w:pStyle w:val="Header"/>
      <w:spacing w:before="0" w:after="0"/>
    </w:pPr>
    <w:r>
      <w:rPr>
        <w:noProof/>
      </w:rPr>
      <mc:AlternateContent>
        <mc:Choice Requires="wps">
          <w:drawing>
            <wp:anchor distT="0" distB="0" distL="114300" distR="114300" simplePos="0" relativeHeight="251658240" behindDoc="1" locked="1" layoutInCell="1" allowOverlap="1" wp14:anchorId="6B3F6372" wp14:editId="4F3B33D2">
              <wp:simplePos x="0" y="0"/>
              <wp:positionH relativeFrom="page">
                <wp:posOffset>314325</wp:posOffset>
              </wp:positionH>
              <wp:positionV relativeFrom="page">
                <wp:posOffset>400050</wp:posOffset>
              </wp:positionV>
              <wp:extent cx="6569075" cy="9293225"/>
              <wp:effectExtent l="0" t="0" r="3175" b="3175"/>
              <wp:wrapNone/>
              <wp:docPr id="1499261940" name="Graphic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69075" cy="9293225"/>
                      </a:xfrm>
                      <a:custGeom>
                        <a:avLst/>
                        <a:gdLst>
                          <a:gd name="connsiteX0" fmla="*/ 6074855 w 6569390"/>
                          <a:gd name="connsiteY0" fmla="*/ 0 h 8930962"/>
                          <a:gd name="connsiteX1" fmla="*/ 6569391 w 6569390"/>
                          <a:gd name="connsiteY1" fmla="*/ 494614 h 8930962"/>
                          <a:gd name="connsiteX2" fmla="*/ 6569391 w 6569390"/>
                          <a:gd name="connsiteY2" fmla="*/ 8436349 h 8930962"/>
                          <a:gd name="connsiteX3" fmla="*/ 6074855 w 6569390"/>
                          <a:gd name="connsiteY3" fmla="*/ 8930963 h 8930962"/>
                          <a:gd name="connsiteX4" fmla="*/ 494536 w 6569390"/>
                          <a:gd name="connsiteY4" fmla="*/ 8930963 h 8930962"/>
                          <a:gd name="connsiteX5" fmla="*/ 0 w 6569390"/>
                          <a:gd name="connsiteY5" fmla="*/ 8436349 h 8930962"/>
                          <a:gd name="connsiteX6" fmla="*/ 0 w 6569390"/>
                          <a:gd name="connsiteY6" fmla="*/ 494613 h 8930962"/>
                          <a:gd name="connsiteX7" fmla="*/ 494536 w 6569390"/>
                          <a:gd name="connsiteY7" fmla="*/ 0 h 89309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569390" h="8930962">
                            <a:moveTo>
                              <a:pt x="6074855" y="0"/>
                            </a:moveTo>
                            <a:cubicBezTo>
                              <a:pt x="6347979" y="0"/>
                              <a:pt x="6569391" y="221446"/>
                              <a:pt x="6569391" y="494614"/>
                            </a:cubicBezTo>
                            <a:lnTo>
                              <a:pt x="6569391" y="8436349"/>
                            </a:lnTo>
                            <a:cubicBezTo>
                              <a:pt x="6569391" y="8709516"/>
                              <a:pt x="6347979" y="8930963"/>
                              <a:pt x="6074855" y="8930963"/>
                            </a:cubicBezTo>
                            <a:lnTo>
                              <a:pt x="494536" y="8930963"/>
                            </a:lnTo>
                            <a:cubicBezTo>
                              <a:pt x="221411" y="8930963"/>
                              <a:pt x="0" y="8709516"/>
                              <a:pt x="0" y="8436349"/>
                            </a:cubicBezTo>
                            <a:lnTo>
                              <a:pt x="0" y="494613"/>
                            </a:lnTo>
                            <a:cubicBezTo>
                              <a:pt x="0" y="221446"/>
                              <a:pt x="221411" y="0"/>
                              <a:pt x="494536" y="0"/>
                            </a:cubicBezTo>
                            <a:close/>
                          </a:path>
                        </a:pathLst>
                      </a:custGeom>
                      <a:solidFill>
                        <a:srgbClr val="F6F4F9"/>
                      </a:solidFill>
                      <a:ln w="0"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0</wp14:pctHeight>
              </wp14:sizeRelV>
            </wp:anchor>
          </w:drawing>
        </mc:Choice>
        <mc:Fallback>
          <w:pict>
            <v:shape w14:anchorId="186B2F80" id="Graphic 1" o:spid="_x0000_s1026" alt="&quot;&quot;" style="position:absolute;margin-left:24.75pt;margin-top:31.5pt;width:517.25pt;height:731.75pt;z-index:-251658240;visibility:visible;mso-wrap-style:square;mso-width-percent:1100;mso-height-percent:0;mso-wrap-distance-left:9pt;mso-wrap-distance-top:0;mso-wrap-distance-right:9pt;mso-wrap-distance-bottom:0;mso-position-horizontal:absolute;mso-position-horizontal-relative:page;mso-position-vertical:absolute;mso-position-vertical-relative:page;mso-width-percent:1100;mso-height-percent:0;mso-width-relative:margin;mso-height-relative:margin;v-text-anchor:middle" coordsize="6569390,8930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" path="m6074855,v273124,,494536,221446,494536,494614l6569391,8436349v,273167,-221412,494614,-494536,494614l494536,8930963c221411,8930963,,8709516,,8436349l,494613c,221446,221411,,494536,l6074855,xe" fillcolor="#f6f4f9" stroked="f" strokeweight="0">
              <v:stroke joinstyle="miter"/>
              <v:path arrowok="t" o:connecttype="custom" o:connectlocs="6074564,0;6569076,514677;6569076,8778549;6074564,9293226;494512,9293226;0,8778549;0,514676;494512,0" o:connectangles="0,0,0,0,0,0,0,0"/>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23B2" w14:textId="2B991212" w:rsidR="008362C8" w:rsidRDefault="008362C8" w:rsidP="00696DA8">
    <w:pPr>
      <w:pStyle w:val="Header"/>
      <w:spacing w:after="1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9BAA5AE"/>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108DF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8E77ED"/>
    <w:multiLevelType w:val="multilevel"/>
    <w:tmpl w:val="266C4792"/>
    <w:lvl w:ilvl="0">
      <w:start w:val="1"/>
      <w:numFmt w:val="decimal"/>
      <w:lvlText w:val="%1."/>
      <w:lvlJc w:val="left"/>
      <w:pPr>
        <w:ind w:left="284" w:hanging="284"/>
      </w:pPr>
      <w:rPr>
        <w:rFonts w:hint="default"/>
        <w:b/>
        <w:i w:val="0"/>
        <w:color w:val="3B0083" w:themeColor="accent1"/>
      </w:rPr>
    </w:lvl>
    <w:lvl w:ilvl="1">
      <w:start w:val="1"/>
      <w:numFmt w:val="bullet"/>
      <w:lvlText w:val=""/>
      <w:lvlJc w:val="left"/>
      <w:pPr>
        <w:ind w:left="568" w:hanging="284"/>
      </w:pPr>
      <w:rPr>
        <w:rFonts w:ascii="Symbol" w:hAnsi="Symbol" w:hint="default"/>
        <w:color w:val="3B0083" w:themeColor="accent1"/>
      </w:rPr>
    </w:lvl>
    <w:lvl w:ilvl="2">
      <w:start w:val="1"/>
      <w:numFmt w:val="bullet"/>
      <w:lvlText w:val="o"/>
      <w:lvlJc w:val="left"/>
      <w:pPr>
        <w:ind w:left="852" w:hanging="284"/>
      </w:pPr>
      <w:rPr>
        <w:rFonts w:ascii="Courier New" w:hAnsi="Courier New" w:hint="default"/>
        <w:b/>
        <w:i w:val="0"/>
        <w:color w:val="3B0083" w:themeColor="accent1"/>
        <w:sz w:val="14"/>
      </w:rPr>
    </w:lvl>
    <w:lvl w:ilvl="3">
      <w:start w:val="1"/>
      <w:numFmt w:val="bullet"/>
      <w:lvlText w:val="-"/>
      <w:lvlJc w:val="left"/>
      <w:pPr>
        <w:ind w:left="1136" w:hanging="284"/>
      </w:pPr>
      <w:rPr>
        <w:rFonts w:ascii="Poppins" w:hAnsi="Poppins" w:hint="default"/>
        <w:b/>
        <w:i w:val="0"/>
        <w:color w:val="3B0083" w:themeColor="accent1"/>
      </w:rPr>
    </w:lvl>
    <w:lvl w:ilvl="4">
      <w:start w:val="1"/>
      <w:numFmt w:val="bullet"/>
      <w:lvlText w:val=""/>
      <w:lvlJc w:val="left"/>
      <w:pPr>
        <w:ind w:left="1420" w:hanging="284"/>
      </w:pPr>
      <w:rPr>
        <w:rFonts w:ascii="Wingdings" w:hAnsi="Wingdings" w:hint="default"/>
        <w:color w:val="3B0083" w:themeColor="accent1"/>
      </w:rPr>
    </w:lvl>
    <w:lvl w:ilvl="5">
      <w:start w:val="1"/>
      <w:numFmt w:val="none"/>
      <w:suff w:val="nothing"/>
      <w:lvlText w:val=""/>
      <w:lvlJc w:val="left"/>
      <w:pPr>
        <w:ind w:left="1704" w:hanging="284"/>
      </w:pPr>
      <w:rPr>
        <w:rFonts w:hint="default"/>
      </w:rPr>
    </w:lvl>
    <w:lvl w:ilvl="6">
      <w:start w:val="1"/>
      <w:numFmt w:val="none"/>
      <w:suff w:val="nothing"/>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3" w15:restartNumberingAfterBreak="0">
    <w:nsid w:val="02077482"/>
    <w:multiLevelType w:val="hybridMultilevel"/>
    <w:tmpl w:val="ED44FCB2"/>
    <w:lvl w:ilvl="0" w:tplc="FFC6DE9E">
      <w:start w:val="1"/>
      <w:numFmt w:val="bullet"/>
      <w:pStyle w:val="06Bulletsseriesofsentence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3A92440"/>
    <w:multiLevelType w:val="hybridMultilevel"/>
    <w:tmpl w:val="A66273AA"/>
    <w:lvl w:ilvl="0" w:tplc="C4AEC17A">
      <w:start w:val="1"/>
      <w:numFmt w:val="bullet"/>
      <w:lvlText w:val=""/>
      <w:lvlJc w:val="left"/>
      <w:pPr>
        <w:ind w:left="1440" w:hanging="360"/>
      </w:pPr>
      <w:rPr>
        <w:rFonts w:ascii="Symbol" w:hAnsi="Symbol"/>
      </w:rPr>
    </w:lvl>
    <w:lvl w:ilvl="1" w:tplc="D9F2BA32">
      <w:start w:val="1"/>
      <w:numFmt w:val="bullet"/>
      <w:lvlText w:val=""/>
      <w:lvlJc w:val="left"/>
      <w:pPr>
        <w:ind w:left="1440" w:hanging="360"/>
      </w:pPr>
      <w:rPr>
        <w:rFonts w:ascii="Symbol" w:hAnsi="Symbol"/>
      </w:rPr>
    </w:lvl>
    <w:lvl w:ilvl="2" w:tplc="A14427CC">
      <w:start w:val="1"/>
      <w:numFmt w:val="bullet"/>
      <w:lvlText w:val=""/>
      <w:lvlJc w:val="left"/>
      <w:pPr>
        <w:ind w:left="1440" w:hanging="360"/>
      </w:pPr>
      <w:rPr>
        <w:rFonts w:ascii="Symbol" w:hAnsi="Symbol"/>
      </w:rPr>
    </w:lvl>
    <w:lvl w:ilvl="3" w:tplc="14F44F22">
      <w:start w:val="1"/>
      <w:numFmt w:val="bullet"/>
      <w:lvlText w:val=""/>
      <w:lvlJc w:val="left"/>
      <w:pPr>
        <w:ind w:left="1440" w:hanging="360"/>
      </w:pPr>
      <w:rPr>
        <w:rFonts w:ascii="Symbol" w:hAnsi="Symbol"/>
      </w:rPr>
    </w:lvl>
    <w:lvl w:ilvl="4" w:tplc="4E36D570">
      <w:start w:val="1"/>
      <w:numFmt w:val="bullet"/>
      <w:lvlText w:val=""/>
      <w:lvlJc w:val="left"/>
      <w:pPr>
        <w:ind w:left="1440" w:hanging="360"/>
      </w:pPr>
      <w:rPr>
        <w:rFonts w:ascii="Symbol" w:hAnsi="Symbol"/>
      </w:rPr>
    </w:lvl>
    <w:lvl w:ilvl="5" w:tplc="A04277B4">
      <w:start w:val="1"/>
      <w:numFmt w:val="bullet"/>
      <w:lvlText w:val=""/>
      <w:lvlJc w:val="left"/>
      <w:pPr>
        <w:ind w:left="1440" w:hanging="360"/>
      </w:pPr>
      <w:rPr>
        <w:rFonts w:ascii="Symbol" w:hAnsi="Symbol"/>
      </w:rPr>
    </w:lvl>
    <w:lvl w:ilvl="6" w:tplc="CF3A7F7C">
      <w:start w:val="1"/>
      <w:numFmt w:val="bullet"/>
      <w:lvlText w:val=""/>
      <w:lvlJc w:val="left"/>
      <w:pPr>
        <w:ind w:left="1440" w:hanging="360"/>
      </w:pPr>
      <w:rPr>
        <w:rFonts w:ascii="Symbol" w:hAnsi="Symbol"/>
      </w:rPr>
    </w:lvl>
    <w:lvl w:ilvl="7" w:tplc="428C4844">
      <w:start w:val="1"/>
      <w:numFmt w:val="bullet"/>
      <w:lvlText w:val=""/>
      <w:lvlJc w:val="left"/>
      <w:pPr>
        <w:ind w:left="1440" w:hanging="360"/>
      </w:pPr>
      <w:rPr>
        <w:rFonts w:ascii="Symbol" w:hAnsi="Symbol"/>
      </w:rPr>
    </w:lvl>
    <w:lvl w:ilvl="8" w:tplc="B72A78C0">
      <w:start w:val="1"/>
      <w:numFmt w:val="bullet"/>
      <w:lvlText w:val=""/>
      <w:lvlJc w:val="left"/>
      <w:pPr>
        <w:ind w:left="1440" w:hanging="360"/>
      </w:pPr>
      <w:rPr>
        <w:rFonts w:ascii="Symbol" w:hAnsi="Symbol"/>
      </w:rPr>
    </w:lvl>
  </w:abstractNum>
  <w:abstractNum w:abstractNumId="5" w15:restartNumberingAfterBreak="0">
    <w:nsid w:val="06EE7757"/>
    <w:multiLevelType w:val="hybridMultilevel"/>
    <w:tmpl w:val="42E485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A366C12"/>
    <w:multiLevelType w:val="multilevel"/>
    <w:tmpl w:val="30967B52"/>
    <w:numStyleLink w:val="Findings"/>
  </w:abstractNum>
  <w:abstractNum w:abstractNumId="7" w15:restartNumberingAfterBreak="0">
    <w:nsid w:val="10344BA4"/>
    <w:multiLevelType w:val="hybridMultilevel"/>
    <w:tmpl w:val="0EA097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0F719CD"/>
    <w:multiLevelType w:val="hybridMultilevel"/>
    <w:tmpl w:val="0478DA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6E04716"/>
    <w:multiLevelType w:val="multilevel"/>
    <w:tmpl w:val="48AC865C"/>
    <w:numStyleLink w:val="BodyTextnumbered"/>
  </w:abstractNum>
  <w:abstractNum w:abstractNumId="10" w15:restartNumberingAfterBreak="0">
    <w:nsid w:val="16EA4346"/>
    <w:multiLevelType w:val="hybridMultilevel"/>
    <w:tmpl w:val="901E6016"/>
    <w:lvl w:ilvl="0" w:tplc="D02A8784">
      <w:start w:val="1"/>
      <w:numFmt w:val="bullet"/>
      <w:pStyle w:val="ListBullet"/>
      <w:lvlText w:val=""/>
      <w:lvlJc w:val="left"/>
      <w:pPr>
        <w:ind w:left="360" w:hanging="360"/>
      </w:pPr>
      <w:rPr>
        <w:rFonts w:ascii="Symbol" w:hAnsi="Symbol" w:hint="default"/>
        <w:color w:val="3B0083"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7012684"/>
    <w:multiLevelType w:val="multilevel"/>
    <w:tmpl w:val="5AF8301E"/>
    <w:numStyleLink w:val="BodyTextbulleted"/>
  </w:abstractNum>
  <w:abstractNum w:abstractNumId="12" w15:restartNumberingAfterBreak="0">
    <w:nsid w:val="177648A2"/>
    <w:multiLevelType w:val="multilevel"/>
    <w:tmpl w:val="5AC22BAA"/>
    <w:lvl w:ilvl="0">
      <w:start w:val="1"/>
      <w:numFmt w:val="decimal"/>
      <w:pStyle w:val="ListNumberIndent2"/>
      <w:lvlText w:val="%1."/>
      <w:lvlJc w:val="left"/>
      <w:pPr>
        <w:ind w:left="1361" w:hanging="454"/>
      </w:pPr>
      <w:rPr>
        <w:rFonts w:hint="default"/>
        <w:color w:val="3B0083" w:themeColor="accent1"/>
      </w:rPr>
    </w:lvl>
    <w:lvl w:ilvl="1">
      <w:start w:val="1"/>
      <w:numFmt w:val="lowerLetter"/>
      <w:pStyle w:val="ListNumberIndent2"/>
      <w:lvlText w:val="(%2)"/>
      <w:lvlJc w:val="left"/>
      <w:pPr>
        <w:ind w:left="1814" w:hanging="453"/>
      </w:pPr>
      <w:rPr>
        <w:rFonts w:hint="default"/>
      </w:rPr>
    </w:lvl>
    <w:lvl w:ilvl="2">
      <w:start w:val="1"/>
      <w:numFmt w:val="lowerRoman"/>
      <w:pStyle w:val="ListNumberIndent3"/>
      <w:lvlText w:val="(%3)"/>
      <w:lvlJc w:val="left"/>
      <w:pPr>
        <w:ind w:left="2268" w:hanging="454"/>
      </w:pPr>
      <w:rPr>
        <w:rFonts w:hint="default"/>
      </w:rPr>
    </w:lvl>
    <w:lvl w:ilvl="3">
      <w:start w:val="1"/>
      <w:numFmt w:val="bullet"/>
      <w:pStyle w:val="ListNumberIndent4"/>
      <w:lvlText w:val=""/>
      <w:lvlJc w:val="left"/>
      <w:pPr>
        <w:ind w:left="2722" w:hanging="454"/>
      </w:pPr>
      <w:rPr>
        <w:rFonts w:ascii="Symbol" w:hAnsi="Symbol" w:hint="default"/>
        <w:color w:val="7F7F7F" w:themeColor="text1" w:themeTint="80"/>
      </w:rPr>
    </w:lvl>
    <w:lvl w:ilvl="4">
      <w:start w:val="1"/>
      <w:numFmt w:val="bullet"/>
      <w:pStyle w:val="ListNumberIndent5"/>
      <w:lvlText w:val="‒"/>
      <w:lvlJc w:val="left"/>
      <w:pPr>
        <w:ind w:left="3175" w:hanging="453"/>
      </w:pPr>
      <w:rPr>
        <w:rFonts w:ascii="Verdana" w:hAnsi="Verdana"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18204C23"/>
    <w:multiLevelType w:val="hybridMultilevel"/>
    <w:tmpl w:val="5282C1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189F388A"/>
    <w:multiLevelType w:val="multilevel"/>
    <w:tmpl w:val="B2A01344"/>
    <w:styleLink w:val="Recommendations"/>
    <w:lvl w:ilvl="0">
      <w:start w:val="1"/>
      <w:numFmt w:val="decimal"/>
      <w:pStyle w:val="Recommendation"/>
      <w:lvlText w:val="R%1."/>
      <w:lvlJc w:val="left"/>
      <w:pPr>
        <w:ind w:left="567" w:hanging="567"/>
      </w:pPr>
      <w:rPr>
        <w:rFonts w:hint="default"/>
        <w:b w:val="0"/>
        <w:i w:val="0"/>
        <w:color w:val="C60C30" w:themeColor="accent2"/>
        <w:sz w:val="20"/>
      </w:rPr>
    </w:lvl>
    <w:lvl w:ilvl="1">
      <w:start w:val="1"/>
      <w:numFmt w:val="bullet"/>
      <w:pStyle w:val="RecommendationsBullet"/>
      <w:lvlText w:val=""/>
      <w:lvlJc w:val="left"/>
      <w:pPr>
        <w:ind w:left="851" w:hanging="284"/>
      </w:pPr>
      <w:rPr>
        <w:rFonts w:ascii="Symbol" w:hAnsi="Symbol" w:hint="default"/>
        <w:color w:val="3B0083" w:themeColor="accent1"/>
      </w:rPr>
    </w:lvl>
    <w:lvl w:ilvl="2">
      <w:start w:val="1"/>
      <w:numFmt w:val="bullet"/>
      <w:lvlText w:val="‒"/>
      <w:lvlJc w:val="left"/>
      <w:pPr>
        <w:ind w:left="1361" w:hanging="454"/>
      </w:pPr>
      <w:rPr>
        <w:rFonts w:ascii="Verdana" w:hAnsi="Verdana" w:hint="default"/>
        <w:color w:val="001946" w:themeColor="accent3" w:themeShade="80"/>
      </w:rPr>
    </w:lvl>
    <w:lvl w:ilvl="3">
      <w:start w:val="1"/>
      <w:numFmt w:val="bullet"/>
      <w:lvlText w:val=""/>
      <w:lvlJc w:val="left"/>
      <w:pPr>
        <w:ind w:left="1814" w:hanging="453"/>
      </w:pPr>
      <w:rPr>
        <w:rFonts w:ascii="Wingdings" w:hAnsi="Wingdings" w:hint="default"/>
        <w:color w:val="00338D" w:themeColor="accent3"/>
      </w:rPr>
    </w:lvl>
    <w:lvl w:ilvl="4">
      <w:start w:val="1"/>
      <w:numFmt w:val="bullet"/>
      <w:lvlText w:val=""/>
      <w:lvlJc w:val="left"/>
      <w:pPr>
        <w:ind w:left="2268" w:hanging="454"/>
      </w:pPr>
      <w:rPr>
        <w:rFonts w:ascii="Wingdings" w:hAnsi="Wingdings" w:hint="default"/>
        <w:color w:val="00338D" w:themeColor="accent3"/>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1B3A241F"/>
    <w:multiLevelType w:val="hybridMultilevel"/>
    <w:tmpl w:val="F51618A8"/>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16" w15:restartNumberingAfterBreak="0">
    <w:nsid w:val="2784366D"/>
    <w:multiLevelType w:val="hybridMultilevel"/>
    <w:tmpl w:val="606C75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7CD12CB"/>
    <w:multiLevelType w:val="hybridMultilevel"/>
    <w:tmpl w:val="44E6AE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C183DB7"/>
    <w:multiLevelType w:val="multilevel"/>
    <w:tmpl w:val="5AF8301E"/>
    <w:styleLink w:val="BodyTextbulleted"/>
    <w:lvl w:ilvl="0">
      <w:start w:val="1"/>
      <w:numFmt w:val="bullet"/>
      <w:lvlText w:val=""/>
      <w:lvlJc w:val="left"/>
      <w:pPr>
        <w:ind w:left="284" w:hanging="284"/>
      </w:pPr>
      <w:rPr>
        <w:rFonts w:ascii="Symbol" w:hAnsi="Symbol" w:hint="default"/>
        <w:color w:val="3B0083" w:themeColor="accent1"/>
      </w:rPr>
    </w:lvl>
    <w:lvl w:ilvl="1">
      <w:start w:val="1"/>
      <w:numFmt w:val="bullet"/>
      <w:pStyle w:val="ListBullet2"/>
      <w:lvlText w:val="o"/>
      <w:lvlJc w:val="left"/>
      <w:pPr>
        <w:ind w:left="568" w:hanging="284"/>
      </w:pPr>
      <w:rPr>
        <w:rFonts w:ascii="Courier New" w:hAnsi="Courier New" w:hint="default"/>
        <w:b/>
        <w:i w:val="0"/>
        <w:color w:val="3B0083" w:themeColor="accent1"/>
        <w:sz w:val="14"/>
      </w:rPr>
    </w:lvl>
    <w:lvl w:ilvl="2">
      <w:start w:val="1"/>
      <w:numFmt w:val="bullet"/>
      <w:pStyle w:val="ListBullet3"/>
      <w:lvlText w:val="-"/>
      <w:lvlJc w:val="left"/>
      <w:pPr>
        <w:ind w:left="852" w:hanging="284"/>
      </w:pPr>
      <w:rPr>
        <w:rFonts w:ascii="Poppins" w:hAnsi="Poppins" w:hint="default"/>
        <w:b/>
        <w:i w:val="0"/>
        <w:color w:val="3B0083" w:themeColor="accent1"/>
      </w:rPr>
    </w:lvl>
    <w:lvl w:ilvl="3">
      <w:start w:val="1"/>
      <w:numFmt w:val="bullet"/>
      <w:pStyle w:val="ListBullet4"/>
      <w:lvlText w:val=""/>
      <w:lvlJc w:val="left"/>
      <w:pPr>
        <w:ind w:left="1136" w:hanging="284"/>
      </w:pPr>
      <w:rPr>
        <w:rFonts w:ascii="Wingdings" w:hAnsi="Wingdings" w:hint="default"/>
        <w:color w:val="3B0083" w:themeColor="accent1"/>
      </w:rPr>
    </w:lvl>
    <w:lvl w:ilvl="4">
      <w:start w:val="1"/>
      <w:numFmt w:val="bullet"/>
      <w:pStyle w:val="ListBullet5"/>
      <w:lvlText w:val=""/>
      <w:lvlJc w:val="left"/>
      <w:pPr>
        <w:ind w:left="1420" w:hanging="284"/>
      </w:pPr>
      <w:rPr>
        <w:rFonts w:ascii="Symbol" w:hAnsi="Symbol" w:hint="default"/>
        <w:color w:val="3B0083" w:themeColor="accent1"/>
      </w:rPr>
    </w:lvl>
    <w:lvl w:ilvl="5">
      <w:start w:val="1"/>
      <w:numFmt w:val="none"/>
      <w:suff w:val="nothing"/>
      <w:lvlText w:val=""/>
      <w:lvlJc w:val="left"/>
      <w:pPr>
        <w:ind w:left="1704" w:hanging="284"/>
      </w:pPr>
      <w:rPr>
        <w:rFonts w:hint="default"/>
      </w:rPr>
    </w:lvl>
    <w:lvl w:ilvl="6">
      <w:start w:val="1"/>
      <w:numFmt w:val="none"/>
      <w:suff w:val="nothing"/>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19" w15:restartNumberingAfterBreak="0">
    <w:nsid w:val="2CE80DE5"/>
    <w:multiLevelType w:val="hybridMultilevel"/>
    <w:tmpl w:val="95A8DB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CEE66A7"/>
    <w:multiLevelType w:val="multilevel"/>
    <w:tmpl w:val="8DAEE7A4"/>
    <w:lvl w:ilvl="0">
      <w:start w:val="1"/>
      <w:numFmt w:val="bullet"/>
      <w:lvlText w:val=""/>
      <w:lvlJc w:val="left"/>
      <w:pPr>
        <w:ind w:left="1361" w:hanging="454"/>
      </w:pPr>
      <w:rPr>
        <w:rFonts w:ascii="Symbol" w:hAnsi="Symbol" w:hint="default"/>
        <w:color w:val="3B0083" w:themeColor="accent1"/>
      </w:rPr>
    </w:lvl>
    <w:lvl w:ilvl="1">
      <w:start w:val="1"/>
      <w:numFmt w:val="bullet"/>
      <w:pStyle w:val="ListBulletIndent2"/>
      <w:lvlText w:val="‒"/>
      <w:lvlJc w:val="left"/>
      <w:pPr>
        <w:ind w:left="1814" w:hanging="453"/>
      </w:pPr>
      <w:rPr>
        <w:rFonts w:ascii="Verdana" w:hAnsi="Verdana" w:hint="default"/>
        <w:color w:val="auto"/>
      </w:rPr>
    </w:lvl>
    <w:lvl w:ilvl="2">
      <w:start w:val="1"/>
      <w:numFmt w:val="bullet"/>
      <w:pStyle w:val="ListBulletIndent3"/>
      <w:lvlText w:val=""/>
      <w:lvlJc w:val="left"/>
      <w:pPr>
        <w:ind w:left="2268" w:hanging="454"/>
      </w:pPr>
      <w:rPr>
        <w:rFonts w:ascii="Wingdings" w:hAnsi="Wingdings" w:hint="default"/>
        <w:color w:val="7F7F7F" w:themeColor="text1" w:themeTint="80"/>
      </w:rPr>
    </w:lvl>
    <w:lvl w:ilvl="3">
      <w:start w:val="1"/>
      <w:numFmt w:val="bullet"/>
      <w:pStyle w:val="ListBulletIndent4"/>
      <w:lvlText w:val=""/>
      <w:lvlJc w:val="left"/>
      <w:pPr>
        <w:ind w:left="2722" w:hanging="454"/>
      </w:pPr>
      <w:rPr>
        <w:rFonts w:ascii="Wingdings" w:hAnsi="Wingdings" w:hint="default"/>
        <w:color w:val="7F7F7F" w:themeColor="text1" w:themeTint="80"/>
      </w:rPr>
    </w:lvl>
    <w:lvl w:ilvl="4">
      <w:start w:val="1"/>
      <w:numFmt w:val="bullet"/>
      <w:pStyle w:val="ListBulletIndent5"/>
      <w:lvlText w:val=""/>
      <w:lvlJc w:val="left"/>
      <w:pPr>
        <w:ind w:left="3175" w:hanging="453"/>
      </w:pPr>
      <w:rPr>
        <w:rFonts w:ascii="Symbol" w:hAnsi="Symbol" w:hint="default"/>
        <w:color w:val="7F7F7F" w:themeColor="text1" w:themeTint="80"/>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2CF16191"/>
    <w:multiLevelType w:val="hybridMultilevel"/>
    <w:tmpl w:val="EB0850A6"/>
    <w:lvl w:ilvl="0" w:tplc="FFFFFFFF">
      <w:start w:val="1"/>
      <w:numFmt w:val="decimal"/>
      <w:lvlText w:val="(%1)"/>
      <w:lvlJc w:val="left"/>
      <w:pPr>
        <w:ind w:left="720" w:hanging="360"/>
      </w:pPr>
    </w:lvl>
    <w:lvl w:ilvl="1" w:tplc="0C090001">
      <w:start w:val="1"/>
      <w:numFmt w:val="bullet"/>
      <w:lvlText w:val=""/>
      <w:lvlJc w:val="left"/>
      <w:pPr>
        <w:ind w:left="36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2DA26B35"/>
    <w:multiLevelType w:val="multilevel"/>
    <w:tmpl w:val="427E54E8"/>
    <w:lvl w:ilvl="0">
      <w:start w:val="1"/>
      <w:numFmt w:val="decimal"/>
      <w:lvlText w:val="(%1)"/>
      <w:lvlJc w:val="left"/>
      <w:pPr>
        <w:ind w:left="425" w:hanging="425"/>
      </w:pPr>
      <w:rPr>
        <w:rFonts w:hint="default"/>
        <w:b w:val="0"/>
        <w:bCs/>
        <w:color w:val="3B0083" w:themeColor="accent1"/>
      </w:rPr>
    </w:lvl>
    <w:lvl w:ilvl="1">
      <w:start w:val="1"/>
      <w:numFmt w:val="upperLetter"/>
      <w:lvlText w:val="%2."/>
      <w:lvlJc w:val="left"/>
      <w:pPr>
        <w:ind w:left="850" w:hanging="425"/>
      </w:pPr>
      <w:rPr>
        <w:rFonts w:hint="default"/>
        <w:color w:val="00338D" w:themeColor="accent3"/>
      </w:rPr>
    </w:lvl>
    <w:lvl w:ilvl="2">
      <w:start w:val="1"/>
      <w:numFmt w:val="lowerRoman"/>
      <w:lvlText w:val="%3)"/>
      <w:lvlJc w:val="left"/>
      <w:pPr>
        <w:ind w:left="1275" w:hanging="425"/>
      </w:pPr>
      <w:rPr>
        <w:rFonts w:hint="default"/>
        <w:color w:val="00338D" w:themeColor="accent3"/>
      </w:rPr>
    </w:lvl>
    <w:lvl w:ilvl="3">
      <w:start w:val="1"/>
      <w:numFmt w:val="decimal"/>
      <w:lvlText w:val="(%4)"/>
      <w:lvlJc w:val="left"/>
      <w:pPr>
        <w:ind w:left="1700" w:hanging="425"/>
      </w:pPr>
      <w:rPr>
        <w:rFonts w:hint="default"/>
        <w:color w:val="00338D" w:themeColor="accent3"/>
      </w:rPr>
    </w:lvl>
    <w:lvl w:ilvl="4">
      <w:start w:val="1"/>
      <w:numFmt w:val="lowerLetter"/>
      <w:lvlText w:val="(%5)"/>
      <w:lvlJc w:val="left"/>
      <w:pPr>
        <w:ind w:left="2125" w:hanging="425"/>
      </w:pPr>
      <w:rPr>
        <w:rFonts w:hint="default"/>
        <w:color w:val="00338D" w:themeColor="accent3"/>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23" w15:restartNumberingAfterBreak="0">
    <w:nsid w:val="2EB05F3C"/>
    <w:multiLevelType w:val="multilevel"/>
    <w:tmpl w:val="B0DC90A6"/>
    <w:styleLink w:val="GraphicBullet"/>
    <w:lvl w:ilvl="0">
      <w:start w:val="1"/>
      <w:numFmt w:val="bullet"/>
      <w:pStyle w:val="GraphicBullet1"/>
      <w:lvlText w:val="•"/>
      <w:lvlJc w:val="left"/>
      <w:pPr>
        <w:ind w:left="142" w:hanging="142"/>
      </w:pPr>
      <w:rPr>
        <w:rFonts w:ascii="Montserrat SemiBold" w:hAnsi="Montserrat SemiBold" w:hint="default"/>
        <w:color w:val="auto"/>
      </w:rPr>
    </w:lvl>
    <w:lvl w:ilvl="1">
      <w:start w:val="1"/>
      <w:numFmt w:val="bullet"/>
      <w:pStyle w:val="GraphicBullet2"/>
      <w:lvlText w:val="•"/>
      <w:lvlJc w:val="left"/>
      <w:pPr>
        <w:ind w:left="284" w:hanging="142"/>
      </w:pPr>
      <w:rPr>
        <w:rFonts w:ascii="Montserrat SemiBold" w:hAnsi="Montserrat SemiBold" w:hint="default"/>
        <w:color w:val="auto"/>
      </w:rPr>
    </w:lvl>
    <w:lvl w:ilvl="2">
      <w:start w:val="1"/>
      <w:numFmt w:val="lowerRoman"/>
      <w:lvlText w:val="%3)"/>
      <w:lvlJc w:val="left"/>
      <w:pPr>
        <w:ind w:left="426" w:hanging="142"/>
      </w:pPr>
      <w:rPr>
        <w:rFonts w:hint="default"/>
      </w:rPr>
    </w:lvl>
    <w:lvl w:ilvl="3">
      <w:start w:val="1"/>
      <w:numFmt w:val="decimal"/>
      <w:lvlText w:val="(%4)"/>
      <w:lvlJc w:val="left"/>
      <w:pPr>
        <w:ind w:left="568" w:hanging="142"/>
      </w:pPr>
      <w:rPr>
        <w:rFonts w:hint="default"/>
      </w:rPr>
    </w:lvl>
    <w:lvl w:ilvl="4">
      <w:start w:val="1"/>
      <w:numFmt w:val="lowerLetter"/>
      <w:lvlText w:val="(%5)"/>
      <w:lvlJc w:val="left"/>
      <w:pPr>
        <w:ind w:left="710" w:hanging="142"/>
      </w:pPr>
      <w:rPr>
        <w:rFonts w:hint="default"/>
      </w:rPr>
    </w:lvl>
    <w:lvl w:ilvl="5">
      <w:start w:val="1"/>
      <w:numFmt w:val="lowerRoman"/>
      <w:lvlText w:val="(%6)"/>
      <w:lvlJc w:val="left"/>
      <w:pPr>
        <w:ind w:left="852" w:hanging="142"/>
      </w:pPr>
      <w:rPr>
        <w:rFonts w:hint="default"/>
      </w:rPr>
    </w:lvl>
    <w:lvl w:ilvl="6">
      <w:start w:val="1"/>
      <w:numFmt w:val="decimal"/>
      <w:lvlText w:val="%7."/>
      <w:lvlJc w:val="left"/>
      <w:pPr>
        <w:ind w:left="994" w:hanging="142"/>
      </w:pPr>
      <w:rPr>
        <w:rFonts w:hint="default"/>
      </w:rPr>
    </w:lvl>
    <w:lvl w:ilvl="7">
      <w:start w:val="1"/>
      <w:numFmt w:val="lowerLetter"/>
      <w:lvlText w:val="%8."/>
      <w:lvlJc w:val="left"/>
      <w:pPr>
        <w:ind w:left="1136" w:hanging="142"/>
      </w:pPr>
      <w:rPr>
        <w:rFonts w:hint="default"/>
      </w:rPr>
    </w:lvl>
    <w:lvl w:ilvl="8">
      <w:start w:val="1"/>
      <w:numFmt w:val="lowerRoman"/>
      <w:lvlText w:val="%9."/>
      <w:lvlJc w:val="left"/>
      <w:pPr>
        <w:ind w:left="1278" w:hanging="142"/>
      </w:pPr>
      <w:rPr>
        <w:rFonts w:hint="default"/>
      </w:rPr>
    </w:lvl>
  </w:abstractNum>
  <w:abstractNum w:abstractNumId="24" w15:restartNumberingAfterBreak="0">
    <w:nsid w:val="306C699B"/>
    <w:multiLevelType w:val="multilevel"/>
    <w:tmpl w:val="B2A01344"/>
    <w:numStyleLink w:val="Recommendations"/>
  </w:abstractNum>
  <w:abstractNum w:abstractNumId="25" w15:restartNumberingAfterBreak="0">
    <w:nsid w:val="31FD64A5"/>
    <w:multiLevelType w:val="multilevel"/>
    <w:tmpl w:val="48AC865C"/>
    <w:numStyleLink w:val="BodyTextnumbered"/>
  </w:abstractNum>
  <w:abstractNum w:abstractNumId="26" w15:restartNumberingAfterBreak="0">
    <w:nsid w:val="3912260A"/>
    <w:multiLevelType w:val="multilevel"/>
    <w:tmpl w:val="266C4792"/>
    <w:styleLink w:val="Bullets"/>
    <w:lvl w:ilvl="0">
      <w:start w:val="1"/>
      <w:numFmt w:val="decimal"/>
      <w:lvlText w:val="%1."/>
      <w:lvlJc w:val="left"/>
      <w:pPr>
        <w:ind w:left="284" w:hanging="284"/>
      </w:pPr>
      <w:rPr>
        <w:rFonts w:hint="default"/>
        <w:b/>
        <w:i w:val="0"/>
        <w:color w:val="3B0083" w:themeColor="accent1"/>
      </w:rPr>
    </w:lvl>
    <w:lvl w:ilvl="1">
      <w:start w:val="1"/>
      <w:numFmt w:val="bullet"/>
      <w:lvlText w:val=""/>
      <w:lvlJc w:val="left"/>
      <w:pPr>
        <w:ind w:left="568" w:hanging="284"/>
      </w:pPr>
      <w:rPr>
        <w:rFonts w:ascii="Symbol" w:hAnsi="Symbol" w:hint="default"/>
        <w:color w:val="3B0083" w:themeColor="accent1"/>
      </w:rPr>
    </w:lvl>
    <w:lvl w:ilvl="2">
      <w:start w:val="1"/>
      <w:numFmt w:val="bullet"/>
      <w:lvlText w:val="o"/>
      <w:lvlJc w:val="left"/>
      <w:pPr>
        <w:ind w:left="852" w:hanging="284"/>
      </w:pPr>
      <w:rPr>
        <w:rFonts w:ascii="Courier New" w:hAnsi="Courier New" w:hint="default"/>
        <w:b/>
        <w:i w:val="0"/>
        <w:color w:val="3B0083" w:themeColor="accent1"/>
        <w:sz w:val="14"/>
      </w:rPr>
    </w:lvl>
    <w:lvl w:ilvl="3">
      <w:start w:val="1"/>
      <w:numFmt w:val="bullet"/>
      <w:lvlText w:val="-"/>
      <w:lvlJc w:val="left"/>
      <w:pPr>
        <w:ind w:left="1136" w:hanging="284"/>
      </w:pPr>
      <w:rPr>
        <w:rFonts w:ascii="Poppins" w:hAnsi="Poppins" w:hint="default"/>
        <w:b/>
        <w:i w:val="0"/>
        <w:color w:val="3B0083" w:themeColor="accent1"/>
      </w:rPr>
    </w:lvl>
    <w:lvl w:ilvl="4">
      <w:start w:val="1"/>
      <w:numFmt w:val="bullet"/>
      <w:lvlText w:val=""/>
      <w:lvlJc w:val="left"/>
      <w:pPr>
        <w:ind w:left="1420" w:hanging="284"/>
      </w:pPr>
      <w:rPr>
        <w:rFonts w:ascii="Wingdings" w:hAnsi="Wingdings" w:hint="default"/>
        <w:color w:val="3B0083" w:themeColor="accent1"/>
      </w:rPr>
    </w:lvl>
    <w:lvl w:ilvl="5">
      <w:start w:val="1"/>
      <w:numFmt w:val="none"/>
      <w:suff w:val="nothing"/>
      <w:lvlText w:val=""/>
      <w:lvlJc w:val="left"/>
      <w:pPr>
        <w:ind w:left="1704" w:hanging="284"/>
      </w:pPr>
      <w:rPr>
        <w:rFonts w:hint="default"/>
      </w:rPr>
    </w:lvl>
    <w:lvl w:ilvl="6">
      <w:start w:val="1"/>
      <w:numFmt w:val="none"/>
      <w:suff w:val="nothing"/>
      <w:lvlText w:val=""/>
      <w:lvlJc w:val="left"/>
      <w:pPr>
        <w:ind w:left="1988" w:hanging="284"/>
      </w:pPr>
      <w:rPr>
        <w:rFonts w:hint="default"/>
      </w:rPr>
    </w:lvl>
    <w:lvl w:ilvl="7">
      <w:start w:val="1"/>
      <w:numFmt w:val="none"/>
      <w:suff w:val="nothing"/>
      <w:lvlText w:val=""/>
      <w:lvlJc w:val="left"/>
      <w:pPr>
        <w:ind w:left="2272" w:hanging="284"/>
      </w:pPr>
      <w:rPr>
        <w:rFonts w:hint="default"/>
      </w:rPr>
    </w:lvl>
    <w:lvl w:ilvl="8">
      <w:start w:val="1"/>
      <w:numFmt w:val="none"/>
      <w:suff w:val="nothing"/>
      <w:lvlText w:val=""/>
      <w:lvlJc w:val="left"/>
      <w:pPr>
        <w:ind w:left="2556" w:hanging="284"/>
      </w:pPr>
      <w:rPr>
        <w:rFonts w:hint="default"/>
      </w:rPr>
    </w:lvl>
  </w:abstractNum>
  <w:abstractNum w:abstractNumId="27" w15:restartNumberingAfterBreak="0">
    <w:nsid w:val="39D55D37"/>
    <w:multiLevelType w:val="multilevel"/>
    <w:tmpl w:val="FD36C848"/>
    <w:styleLink w:val="Appendices"/>
    <w:lvl w:ilvl="0">
      <w:start w:val="1"/>
      <w:numFmt w:val="upperLetter"/>
      <w:pStyle w:val="Heading7"/>
      <w:lvlText w:val="Appendix %1"/>
      <w:lvlJc w:val="left"/>
      <w:pPr>
        <w:ind w:left="0" w:firstLine="0"/>
      </w:pPr>
      <w:rPr>
        <w:rFonts w:hint="default"/>
        <w:color w:val="C60C30" w:themeColor="accent2"/>
      </w:rPr>
    </w:lvl>
    <w:lvl w:ilvl="1">
      <w:start w:val="1"/>
      <w:numFmt w:val="decimal"/>
      <w:pStyle w:val="Heading8"/>
      <w:lvlText w:val="%1.%2."/>
      <w:lvlJc w:val="left"/>
      <w:pPr>
        <w:ind w:left="851" w:hanging="851"/>
      </w:pPr>
      <w:rPr>
        <w:rFonts w:hint="default"/>
      </w:rPr>
    </w:lvl>
    <w:lvl w:ilvl="2">
      <w:start w:val="1"/>
      <w:numFmt w:val="decimal"/>
      <w:pStyle w:val="Heading9"/>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8" w15:restartNumberingAfterBreak="0">
    <w:nsid w:val="3C802886"/>
    <w:multiLevelType w:val="hybridMultilevel"/>
    <w:tmpl w:val="C12A1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37B0AB6"/>
    <w:multiLevelType w:val="hybridMultilevel"/>
    <w:tmpl w:val="0C7A2230"/>
    <w:lvl w:ilvl="0" w:tplc="BF4C6184">
      <w:start w:val="1"/>
      <w:numFmt w:val="bullet"/>
      <w:pStyle w:val="ResumeBullet"/>
      <w:lvlText w:val="•"/>
      <w:lvlJc w:val="left"/>
      <w:pPr>
        <w:ind w:left="720" w:hanging="360"/>
      </w:pPr>
      <w:rPr>
        <w:rFonts w:ascii="Montserrat SemiBold" w:hAnsi="Montserrat SemiBold" w:hint="default"/>
        <w:b/>
        <w:bCs/>
        <w:i w:val="0"/>
        <w:color w:val="3B0083" w:themeColor="accent1"/>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5686A23"/>
    <w:multiLevelType w:val="multilevel"/>
    <w:tmpl w:val="30967B52"/>
    <w:styleLink w:val="Findings"/>
    <w:lvl w:ilvl="0">
      <w:start w:val="1"/>
      <w:numFmt w:val="decimal"/>
      <w:pStyle w:val="Finding"/>
      <w:lvlText w:val="F%1."/>
      <w:lvlJc w:val="left"/>
      <w:pPr>
        <w:ind w:left="567" w:hanging="567"/>
      </w:pPr>
      <w:rPr>
        <w:rFonts w:hint="default"/>
        <w:b w:val="0"/>
        <w:i w:val="0"/>
        <w:color w:val="C60C30" w:themeColor="accent2"/>
        <w:sz w:val="20"/>
      </w:rPr>
    </w:lvl>
    <w:lvl w:ilvl="1">
      <w:start w:val="1"/>
      <w:numFmt w:val="bullet"/>
      <w:pStyle w:val="FindingBullet"/>
      <w:lvlText w:val=""/>
      <w:lvlJc w:val="left"/>
      <w:pPr>
        <w:ind w:left="851" w:hanging="284"/>
      </w:pPr>
      <w:rPr>
        <w:rFonts w:ascii="Symbol" w:hAnsi="Symbol" w:hint="default"/>
        <w:color w:val="3B0083" w:themeColor="accent1"/>
      </w:rPr>
    </w:lvl>
    <w:lvl w:ilvl="2">
      <w:start w:val="1"/>
      <w:numFmt w:val="bullet"/>
      <w:lvlText w:val="‒"/>
      <w:lvlJc w:val="left"/>
      <w:pPr>
        <w:ind w:left="1361" w:hanging="454"/>
      </w:pPr>
      <w:rPr>
        <w:rFonts w:ascii="Verdana" w:hAnsi="Verdana" w:hint="default"/>
        <w:color w:val="001946" w:themeColor="accent3" w:themeShade="80"/>
      </w:rPr>
    </w:lvl>
    <w:lvl w:ilvl="3">
      <w:start w:val="1"/>
      <w:numFmt w:val="bullet"/>
      <w:lvlText w:val=""/>
      <w:lvlJc w:val="left"/>
      <w:pPr>
        <w:ind w:left="1814" w:hanging="453"/>
      </w:pPr>
      <w:rPr>
        <w:rFonts w:ascii="Wingdings" w:hAnsi="Wingdings" w:hint="default"/>
        <w:color w:val="00338D" w:themeColor="accent3"/>
      </w:rPr>
    </w:lvl>
    <w:lvl w:ilvl="4">
      <w:start w:val="1"/>
      <w:numFmt w:val="bullet"/>
      <w:lvlText w:val=""/>
      <w:lvlJc w:val="left"/>
      <w:pPr>
        <w:ind w:left="2268" w:hanging="454"/>
      </w:pPr>
      <w:rPr>
        <w:rFonts w:ascii="Wingdings" w:hAnsi="Wingdings" w:hint="default"/>
        <w:color w:val="00338D" w:themeColor="accent3"/>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15:restartNumberingAfterBreak="0">
    <w:nsid w:val="4BD7452A"/>
    <w:multiLevelType w:val="hybridMultilevel"/>
    <w:tmpl w:val="3DCE5D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19C1543"/>
    <w:multiLevelType w:val="hybridMultilevel"/>
    <w:tmpl w:val="B5E6EC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2497B6E"/>
    <w:multiLevelType w:val="hybridMultilevel"/>
    <w:tmpl w:val="F59CEF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2EC613D"/>
    <w:multiLevelType w:val="hybridMultilevel"/>
    <w:tmpl w:val="48AC865C"/>
    <w:styleLink w:val="BodyTextnumbered"/>
    <w:lvl w:ilvl="0" w:tplc="0C090001">
      <w:start w:val="1"/>
      <w:numFmt w:val="bullet"/>
      <w:lvlText w:val=""/>
      <w:lvlJc w:val="left"/>
      <w:pPr>
        <w:ind w:left="360" w:hanging="360"/>
      </w:pPr>
      <w:rPr>
        <w:rFonts w:ascii="Symbol" w:hAnsi="Symbol" w:hint="default"/>
      </w:rPr>
    </w:lvl>
    <w:lvl w:ilvl="1" w:tplc="03506EB8">
      <w:numFmt w:val="bullet"/>
      <w:lvlText w:val="•"/>
      <w:lvlJc w:val="left"/>
      <w:pPr>
        <w:ind w:left="1080" w:hanging="360"/>
      </w:pPr>
      <w:rPr>
        <w:rFonts w:ascii="Arial" w:eastAsiaTheme="minorHAns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49116C9"/>
    <w:multiLevelType w:val="multilevel"/>
    <w:tmpl w:val="427E54E8"/>
    <w:styleLink w:val="NumberedList"/>
    <w:lvl w:ilvl="0">
      <w:start w:val="1"/>
      <w:numFmt w:val="decimal"/>
      <w:lvlText w:val="(%1)"/>
      <w:lvlJc w:val="left"/>
      <w:pPr>
        <w:ind w:left="425" w:hanging="425"/>
      </w:pPr>
      <w:rPr>
        <w:rFonts w:hint="default"/>
        <w:b w:val="0"/>
        <w:bCs/>
        <w:color w:val="3B0083" w:themeColor="accent1"/>
      </w:rPr>
    </w:lvl>
    <w:lvl w:ilvl="1">
      <w:start w:val="1"/>
      <w:numFmt w:val="upperLetter"/>
      <w:lvlText w:val="%2."/>
      <w:lvlJc w:val="left"/>
      <w:pPr>
        <w:ind w:left="850" w:hanging="425"/>
      </w:pPr>
      <w:rPr>
        <w:rFonts w:hint="default"/>
        <w:color w:val="00338D" w:themeColor="accent3"/>
      </w:rPr>
    </w:lvl>
    <w:lvl w:ilvl="2">
      <w:start w:val="1"/>
      <w:numFmt w:val="lowerRoman"/>
      <w:lvlText w:val="%3)"/>
      <w:lvlJc w:val="left"/>
      <w:pPr>
        <w:ind w:left="1275" w:hanging="425"/>
      </w:pPr>
      <w:rPr>
        <w:rFonts w:hint="default"/>
        <w:color w:val="00338D" w:themeColor="accent3"/>
      </w:rPr>
    </w:lvl>
    <w:lvl w:ilvl="3">
      <w:start w:val="1"/>
      <w:numFmt w:val="decimal"/>
      <w:lvlText w:val="(%4)"/>
      <w:lvlJc w:val="left"/>
      <w:pPr>
        <w:ind w:left="1700" w:hanging="425"/>
      </w:pPr>
      <w:rPr>
        <w:rFonts w:hint="default"/>
        <w:color w:val="00338D" w:themeColor="accent3"/>
      </w:rPr>
    </w:lvl>
    <w:lvl w:ilvl="4">
      <w:start w:val="1"/>
      <w:numFmt w:val="lowerLetter"/>
      <w:lvlText w:val="(%5)"/>
      <w:lvlJc w:val="left"/>
      <w:pPr>
        <w:ind w:left="2125" w:hanging="425"/>
      </w:pPr>
      <w:rPr>
        <w:rFonts w:hint="default"/>
        <w:color w:val="00338D" w:themeColor="accent3"/>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36" w15:restartNumberingAfterBreak="0">
    <w:nsid w:val="590F5EAB"/>
    <w:multiLevelType w:val="hybridMultilevel"/>
    <w:tmpl w:val="0DDAB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9BE21A3"/>
    <w:multiLevelType w:val="hybridMultilevel"/>
    <w:tmpl w:val="51C686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C572F5E"/>
    <w:multiLevelType w:val="multilevel"/>
    <w:tmpl w:val="03F66E3E"/>
    <w:numStyleLink w:val="Headings"/>
  </w:abstractNum>
  <w:abstractNum w:abstractNumId="39" w15:restartNumberingAfterBreak="0">
    <w:nsid w:val="5CD776E2"/>
    <w:multiLevelType w:val="multilevel"/>
    <w:tmpl w:val="FD36C848"/>
    <w:numStyleLink w:val="Appendices"/>
  </w:abstractNum>
  <w:abstractNum w:abstractNumId="40" w15:restartNumberingAfterBreak="0">
    <w:nsid w:val="5EAB1797"/>
    <w:multiLevelType w:val="multilevel"/>
    <w:tmpl w:val="6E8EA2F0"/>
    <w:styleLink w:val="HeadingsExecutiveSummary"/>
    <w:lvl w:ilvl="0">
      <w:start w:val="1"/>
      <w:numFmt w:val="none"/>
      <w:pStyle w:val="ExecutiveSummaryH1"/>
      <w:suff w:val="nothing"/>
      <w:lvlText w:val=""/>
      <w:lvlJc w:val="left"/>
      <w:pPr>
        <w:ind w:left="0" w:firstLine="0"/>
      </w:pPr>
      <w:rPr>
        <w:rFonts w:hint="default"/>
      </w:rPr>
    </w:lvl>
    <w:lvl w:ilvl="1">
      <w:start w:val="1"/>
      <w:numFmt w:val="none"/>
      <w:pStyle w:val="ExecutiveSummaryH2"/>
      <w:suff w:val="nothing"/>
      <w:lvlText w:val=""/>
      <w:lvlJc w:val="left"/>
      <w:pPr>
        <w:ind w:left="0" w:firstLine="0"/>
      </w:pPr>
      <w:rPr>
        <w:rFonts w:hint="default"/>
      </w:rPr>
    </w:lvl>
    <w:lvl w:ilvl="2">
      <w:start w:val="1"/>
      <w:numFmt w:val="none"/>
      <w:pStyle w:val="ExecutiveSummaryH3"/>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1" w15:restartNumberingAfterBreak="0">
    <w:nsid w:val="5FDE19AD"/>
    <w:multiLevelType w:val="multilevel"/>
    <w:tmpl w:val="B0DC90A6"/>
    <w:numStyleLink w:val="GraphicBullet"/>
  </w:abstractNum>
  <w:abstractNum w:abstractNumId="42" w15:restartNumberingAfterBreak="0">
    <w:nsid w:val="634C1C72"/>
    <w:multiLevelType w:val="hybridMultilevel"/>
    <w:tmpl w:val="FBD00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42D5701"/>
    <w:multiLevelType w:val="hybridMultilevel"/>
    <w:tmpl w:val="B2B6959A"/>
    <w:lvl w:ilvl="0" w:tplc="D0721A2A">
      <w:start w:val="1"/>
      <w:numFmt w:val="decimal"/>
      <w:lvlText w:val="RQ%1."/>
      <w:lvlJc w:val="left"/>
      <w:pPr>
        <w:ind w:left="720" w:hanging="360"/>
      </w:pPr>
      <w:rPr>
        <w:rFonts w:hint="default"/>
        <w:color w:val="3B0083" w:themeColor="accen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5E37E35"/>
    <w:multiLevelType w:val="hybridMultilevel"/>
    <w:tmpl w:val="3C9A4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F0D261A"/>
    <w:multiLevelType w:val="multilevel"/>
    <w:tmpl w:val="03F66E3E"/>
    <w:styleLink w:val="Headings"/>
    <w:lvl w:ilvl="0">
      <w:start w:val="1"/>
      <w:numFmt w:val="decimal"/>
      <w:pStyle w:val="Heading1"/>
      <w:lvlText w:val="%1."/>
      <w:lvlJc w:val="left"/>
      <w:pPr>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6805"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6" w15:restartNumberingAfterBreak="0">
    <w:nsid w:val="71464ED0"/>
    <w:multiLevelType w:val="hybridMultilevel"/>
    <w:tmpl w:val="B7A2679E"/>
    <w:lvl w:ilvl="0" w:tplc="B09AA756">
      <w:start w:val="1"/>
      <w:numFmt w:val="bullet"/>
      <w:pStyle w:val="05Bullets2ndlevelonelongsentence"/>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47" w15:restartNumberingAfterBreak="0">
    <w:nsid w:val="721E4754"/>
    <w:multiLevelType w:val="hybridMultilevel"/>
    <w:tmpl w:val="349474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8" w15:restartNumberingAfterBreak="0">
    <w:nsid w:val="7524365A"/>
    <w:multiLevelType w:val="singleLevel"/>
    <w:tmpl w:val="2B129870"/>
    <w:lvl w:ilvl="0">
      <w:start w:val="1"/>
      <w:numFmt w:val="decimal"/>
      <w:lvlText w:val="%1."/>
      <w:lvlJc w:val="left"/>
      <w:pPr>
        <w:tabs>
          <w:tab w:val="num" w:pos="360"/>
        </w:tabs>
        <w:ind w:left="360" w:hanging="360"/>
      </w:pPr>
    </w:lvl>
  </w:abstractNum>
  <w:abstractNum w:abstractNumId="49" w15:restartNumberingAfterBreak="0">
    <w:nsid w:val="758A0AA7"/>
    <w:multiLevelType w:val="hybridMultilevel"/>
    <w:tmpl w:val="C3A061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B3F6E9F"/>
    <w:multiLevelType w:val="hybridMultilevel"/>
    <w:tmpl w:val="A41647FC"/>
    <w:lvl w:ilvl="0" w:tplc="0C090003">
      <w:start w:val="1"/>
      <w:numFmt w:val="bullet"/>
      <w:lvlText w:val="o"/>
      <w:lvlJc w:val="left"/>
      <w:pPr>
        <w:ind w:left="720" w:hanging="360"/>
      </w:pPr>
      <w:rPr>
        <w:rFonts w:ascii="Courier New" w:hAnsi="Courier New" w:cs="Courier New" w:hint="default"/>
        <w:color w:val="3B0083"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B763FD3"/>
    <w:multiLevelType w:val="hybridMultilevel"/>
    <w:tmpl w:val="62C8E8B8"/>
    <w:lvl w:ilvl="0" w:tplc="0FE4FF3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62596993">
    <w:abstractNumId w:val="45"/>
  </w:num>
  <w:num w:numId="2" w16cid:durableId="337462816">
    <w:abstractNumId w:val="18"/>
  </w:num>
  <w:num w:numId="3" w16cid:durableId="179978831">
    <w:abstractNumId w:val="12"/>
  </w:num>
  <w:num w:numId="4" w16cid:durableId="608663293">
    <w:abstractNumId w:val="20"/>
  </w:num>
  <w:num w:numId="5" w16cid:durableId="160045111">
    <w:abstractNumId w:val="14"/>
  </w:num>
  <w:num w:numId="6" w16cid:durableId="895702076">
    <w:abstractNumId w:val="30"/>
  </w:num>
  <w:num w:numId="7" w16cid:durableId="2134789774">
    <w:abstractNumId w:val="40"/>
  </w:num>
  <w:num w:numId="8" w16cid:durableId="1426265504">
    <w:abstractNumId w:val="27"/>
  </w:num>
  <w:num w:numId="9" w16cid:durableId="3291802">
    <w:abstractNumId w:val="38"/>
  </w:num>
  <w:num w:numId="10" w16cid:durableId="975649115">
    <w:abstractNumId w:val="11"/>
  </w:num>
  <w:num w:numId="11" w16cid:durableId="383800242">
    <w:abstractNumId w:val="6"/>
  </w:num>
  <w:num w:numId="12" w16cid:durableId="1538395844">
    <w:abstractNumId w:val="24"/>
  </w:num>
  <w:num w:numId="13" w16cid:durableId="334650544">
    <w:abstractNumId w:val="23"/>
  </w:num>
  <w:num w:numId="14" w16cid:durableId="1986734531">
    <w:abstractNumId w:val="41"/>
  </w:num>
  <w:num w:numId="15" w16cid:durableId="1182545524">
    <w:abstractNumId w:val="29"/>
  </w:num>
  <w:num w:numId="16" w16cid:durableId="1778065131">
    <w:abstractNumId w:val="39"/>
  </w:num>
  <w:num w:numId="17" w16cid:durableId="2076783311">
    <w:abstractNumId w:val="35"/>
  </w:num>
  <w:num w:numId="18" w16cid:durableId="482082855">
    <w:abstractNumId w:val="46"/>
  </w:num>
  <w:num w:numId="19" w16cid:durableId="621767653">
    <w:abstractNumId w:val="43"/>
  </w:num>
  <w:num w:numId="20" w16cid:durableId="804662433">
    <w:abstractNumId w:val="22"/>
  </w:num>
  <w:num w:numId="21" w16cid:durableId="763496343">
    <w:abstractNumId w:val="3"/>
  </w:num>
  <w:num w:numId="22" w16cid:durableId="1168207520">
    <w:abstractNumId w:val="17"/>
  </w:num>
  <w:num w:numId="23" w16cid:durableId="220017624">
    <w:abstractNumId w:val="21"/>
  </w:num>
  <w:num w:numId="24" w16cid:durableId="764691898">
    <w:abstractNumId w:val="25"/>
  </w:num>
  <w:num w:numId="25" w16cid:durableId="18531036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2285209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70517682">
    <w:abstractNumId w:val="32"/>
  </w:num>
  <w:num w:numId="28" w16cid:durableId="134336203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323786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37784293">
    <w:abstractNumId w:val="31"/>
  </w:num>
  <w:num w:numId="31" w16cid:durableId="1686400842">
    <w:abstractNumId w:val="47"/>
  </w:num>
  <w:num w:numId="32" w16cid:durableId="784278733">
    <w:abstractNumId w:val="13"/>
  </w:num>
  <w:num w:numId="33" w16cid:durableId="1948342887">
    <w:abstractNumId w:val="16"/>
  </w:num>
  <w:num w:numId="34" w16cid:durableId="2037652136">
    <w:abstractNumId w:val="7"/>
  </w:num>
  <w:num w:numId="35" w16cid:durableId="1491410533">
    <w:abstractNumId w:val="5"/>
  </w:num>
  <w:num w:numId="36" w16cid:durableId="821966866">
    <w:abstractNumId w:val="34"/>
  </w:num>
  <w:num w:numId="37" w16cid:durableId="948195224">
    <w:abstractNumId w:val="44"/>
  </w:num>
  <w:num w:numId="38" w16cid:durableId="832526395">
    <w:abstractNumId w:val="42"/>
  </w:num>
  <w:num w:numId="39" w16cid:durableId="482236288">
    <w:abstractNumId w:val="33"/>
  </w:num>
  <w:num w:numId="40" w16cid:durableId="120659920">
    <w:abstractNumId w:val="37"/>
  </w:num>
  <w:num w:numId="41" w16cid:durableId="617181944">
    <w:abstractNumId w:val="28"/>
  </w:num>
  <w:num w:numId="42" w16cid:durableId="1710688786">
    <w:abstractNumId w:val="49"/>
  </w:num>
  <w:num w:numId="43" w16cid:durableId="125205187">
    <w:abstractNumId w:val="8"/>
  </w:num>
  <w:num w:numId="44" w16cid:durableId="1747536055">
    <w:abstractNumId w:val="19"/>
  </w:num>
  <w:num w:numId="45" w16cid:durableId="1642886098">
    <w:abstractNumId w:val="36"/>
  </w:num>
  <w:num w:numId="46" w16cid:durableId="80689038">
    <w:abstractNumId w:val="51"/>
  </w:num>
  <w:num w:numId="47" w16cid:durableId="21162905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3846111">
    <w:abstractNumId w:val="26"/>
  </w:num>
  <w:num w:numId="49" w16cid:durableId="126050027">
    <w:abstractNumId w:val="10"/>
  </w:num>
  <w:num w:numId="50" w16cid:durableId="1041399022">
    <w:abstractNumId w:val="0"/>
  </w:num>
  <w:num w:numId="51" w16cid:durableId="1586499737">
    <w:abstractNumId w:val="0"/>
    <w:lvlOverride w:ilvl="0">
      <w:startOverride w:val="1"/>
    </w:lvlOverride>
  </w:num>
  <w:num w:numId="52" w16cid:durableId="2068797862">
    <w:abstractNumId w:val="0"/>
    <w:lvlOverride w:ilvl="0">
      <w:startOverride w:val="1"/>
    </w:lvlOverride>
  </w:num>
  <w:num w:numId="53" w16cid:durableId="203387365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418332240">
    <w:abstractNumId w:val="48"/>
  </w:num>
  <w:num w:numId="55" w16cid:durableId="376509838">
    <w:abstractNumId w:val="2"/>
  </w:num>
  <w:num w:numId="56" w16cid:durableId="1083719659">
    <w:abstractNumId w:val="3"/>
  </w:num>
  <w:num w:numId="57" w16cid:durableId="1384674982">
    <w:abstractNumId w:val="3"/>
  </w:num>
  <w:num w:numId="58" w16cid:durableId="1834450145">
    <w:abstractNumId w:val="3"/>
  </w:num>
  <w:num w:numId="59" w16cid:durableId="1412315490">
    <w:abstractNumId w:val="3"/>
  </w:num>
  <w:num w:numId="60" w16cid:durableId="1579092438">
    <w:abstractNumId w:val="3"/>
  </w:num>
  <w:num w:numId="61" w16cid:durableId="995576463">
    <w:abstractNumId w:val="3"/>
  </w:num>
  <w:num w:numId="62" w16cid:durableId="31729885">
    <w:abstractNumId w:val="0"/>
  </w:num>
  <w:num w:numId="63" w16cid:durableId="1669746944">
    <w:abstractNumId w:val="1"/>
  </w:num>
  <w:num w:numId="64" w16cid:durableId="160435107">
    <w:abstractNumId w:val="15"/>
  </w:num>
  <w:num w:numId="65" w16cid:durableId="534781168">
    <w:abstractNumId w:val="50"/>
  </w:num>
  <w:num w:numId="66" w16cid:durableId="194081216">
    <w:abstractNumId w:val="10"/>
  </w:num>
  <w:num w:numId="67" w16cid:durableId="1360886843">
    <w:abstractNumId w:val="1"/>
  </w:num>
  <w:num w:numId="68" w16cid:durableId="1608850777">
    <w:abstractNumId w:val="4"/>
  </w:num>
  <w:num w:numId="69" w16cid:durableId="1218781603">
    <w:abstractNumId w:val="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jc0NjO0NDa0sDBW0lEKTi0uzszPAykwqgUAgUNLQywAAAA="/>
  </w:docVars>
  <w:rsids>
    <w:rsidRoot w:val="005C64A4"/>
    <w:rsid w:val="0000027F"/>
    <w:rsid w:val="00000959"/>
    <w:rsid w:val="00000B4B"/>
    <w:rsid w:val="00000C43"/>
    <w:rsid w:val="00000F47"/>
    <w:rsid w:val="0000110D"/>
    <w:rsid w:val="000012CE"/>
    <w:rsid w:val="00002FDA"/>
    <w:rsid w:val="00003F9D"/>
    <w:rsid w:val="0000457A"/>
    <w:rsid w:val="000045E7"/>
    <w:rsid w:val="00004837"/>
    <w:rsid w:val="00005110"/>
    <w:rsid w:val="000056D9"/>
    <w:rsid w:val="00005D13"/>
    <w:rsid w:val="00007434"/>
    <w:rsid w:val="00007B2C"/>
    <w:rsid w:val="000108D1"/>
    <w:rsid w:val="000111B2"/>
    <w:rsid w:val="000118AF"/>
    <w:rsid w:val="00011BBA"/>
    <w:rsid w:val="00011EDD"/>
    <w:rsid w:val="000123E9"/>
    <w:rsid w:val="00012C33"/>
    <w:rsid w:val="00013807"/>
    <w:rsid w:val="00013C0A"/>
    <w:rsid w:val="000145D7"/>
    <w:rsid w:val="00014BC6"/>
    <w:rsid w:val="00014F4C"/>
    <w:rsid w:val="00015064"/>
    <w:rsid w:val="00016129"/>
    <w:rsid w:val="00016AF1"/>
    <w:rsid w:val="00016C37"/>
    <w:rsid w:val="00016CE0"/>
    <w:rsid w:val="00016F4D"/>
    <w:rsid w:val="00017160"/>
    <w:rsid w:val="00017717"/>
    <w:rsid w:val="0001797A"/>
    <w:rsid w:val="00020033"/>
    <w:rsid w:val="000205A3"/>
    <w:rsid w:val="0002074D"/>
    <w:rsid w:val="00020CB3"/>
    <w:rsid w:val="00021393"/>
    <w:rsid w:val="000227C7"/>
    <w:rsid w:val="00022849"/>
    <w:rsid w:val="00023694"/>
    <w:rsid w:val="00023847"/>
    <w:rsid w:val="00024659"/>
    <w:rsid w:val="000246FB"/>
    <w:rsid w:val="0002521A"/>
    <w:rsid w:val="00025FFA"/>
    <w:rsid w:val="00026588"/>
    <w:rsid w:val="0002678F"/>
    <w:rsid w:val="00026838"/>
    <w:rsid w:val="00026F80"/>
    <w:rsid w:val="000275BF"/>
    <w:rsid w:val="00027798"/>
    <w:rsid w:val="00030310"/>
    <w:rsid w:val="000303D6"/>
    <w:rsid w:val="00030BFE"/>
    <w:rsid w:val="00030C76"/>
    <w:rsid w:val="00030F57"/>
    <w:rsid w:val="00031A74"/>
    <w:rsid w:val="0003260F"/>
    <w:rsid w:val="000326EB"/>
    <w:rsid w:val="00032804"/>
    <w:rsid w:val="00032F93"/>
    <w:rsid w:val="00033718"/>
    <w:rsid w:val="0003461B"/>
    <w:rsid w:val="0003470D"/>
    <w:rsid w:val="000348E6"/>
    <w:rsid w:val="00035C7E"/>
    <w:rsid w:val="00036580"/>
    <w:rsid w:val="000365D6"/>
    <w:rsid w:val="00037013"/>
    <w:rsid w:val="000374E9"/>
    <w:rsid w:val="000378CF"/>
    <w:rsid w:val="000407A5"/>
    <w:rsid w:val="00040998"/>
    <w:rsid w:val="00040DE4"/>
    <w:rsid w:val="000416D7"/>
    <w:rsid w:val="00041994"/>
    <w:rsid w:val="00041F6D"/>
    <w:rsid w:val="0004276E"/>
    <w:rsid w:val="00044A0C"/>
    <w:rsid w:val="00044AF5"/>
    <w:rsid w:val="00044C17"/>
    <w:rsid w:val="00045722"/>
    <w:rsid w:val="00046527"/>
    <w:rsid w:val="000466C0"/>
    <w:rsid w:val="00046B6C"/>
    <w:rsid w:val="0004770D"/>
    <w:rsid w:val="00047713"/>
    <w:rsid w:val="00047A00"/>
    <w:rsid w:val="00047F9D"/>
    <w:rsid w:val="00050295"/>
    <w:rsid w:val="00051245"/>
    <w:rsid w:val="00051BCD"/>
    <w:rsid w:val="00051E1B"/>
    <w:rsid w:val="0005276B"/>
    <w:rsid w:val="00052C74"/>
    <w:rsid w:val="00053F19"/>
    <w:rsid w:val="0005474F"/>
    <w:rsid w:val="00054C16"/>
    <w:rsid w:val="00054C3A"/>
    <w:rsid w:val="00054F81"/>
    <w:rsid w:val="00055821"/>
    <w:rsid w:val="00055CE9"/>
    <w:rsid w:val="00056507"/>
    <w:rsid w:val="00056C1B"/>
    <w:rsid w:val="0005737C"/>
    <w:rsid w:val="0005781C"/>
    <w:rsid w:val="00057BD6"/>
    <w:rsid w:val="00060026"/>
    <w:rsid w:val="0006054F"/>
    <w:rsid w:val="00060839"/>
    <w:rsid w:val="00061732"/>
    <w:rsid w:val="00061D49"/>
    <w:rsid w:val="00061D84"/>
    <w:rsid w:val="0006232B"/>
    <w:rsid w:val="00062712"/>
    <w:rsid w:val="00062734"/>
    <w:rsid w:val="00062878"/>
    <w:rsid w:val="00062F96"/>
    <w:rsid w:val="00063FA0"/>
    <w:rsid w:val="0006488B"/>
    <w:rsid w:val="00065328"/>
    <w:rsid w:val="00065608"/>
    <w:rsid w:val="0006563F"/>
    <w:rsid w:val="000656E2"/>
    <w:rsid w:val="000659AB"/>
    <w:rsid w:val="000667FA"/>
    <w:rsid w:val="00066D54"/>
    <w:rsid w:val="000670BA"/>
    <w:rsid w:val="00067BEC"/>
    <w:rsid w:val="00070329"/>
    <w:rsid w:val="000704E1"/>
    <w:rsid w:val="0007071A"/>
    <w:rsid w:val="000711D7"/>
    <w:rsid w:val="00072845"/>
    <w:rsid w:val="000728B7"/>
    <w:rsid w:val="0007310C"/>
    <w:rsid w:val="00073723"/>
    <w:rsid w:val="00073D3E"/>
    <w:rsid w:val="00074038"/>
    <w:rsid w:val="00074422"/>
    <w:rsid w:val="000760AA"/>
    <w:rsid w:val="0007741C"/>
    <w:rsid w:val="0008086C"/>
    <w:rsid w:val="00081309"/>
    <w:rsid w:val="000815B0"/>
    <w:rsid w:val="00081B65"/>
    <w:rsid w:val="00081BFB"/>
    <w:rsid w:val="00082331"/>
    <w:rsid w:val="000824ED"/>
    <w:rsid w:val="000825ED"/>
    <w:rsid w:val="00082A18"/>
    <w:rsid w:val="000837AF"/>
    <w:rsid w:val="000837D5"/>
    <w:rsid w:val="00083B12"/>
    <w:rsid w:val="00083BE1"/>
    <w:rsid w:val="000842A3"/>
    <w:rsid w:val="000846AD"/>
    <w:rsid w:val="00084E74"/>
    <w:rsid w:val="000857AC"/>
    <w:rsid w:val="00086365"/>
    <w:rsid w:val="00086E8B"/>
    <w:rsid w:val="0008767C"/>
    <w:rsid w:val="0009037A"/>
    <w:rsid w:val="00090472"/>
    <w:rsid w:val="000917D0"/>
    <w:rsid w:val="00091C15"/>
    <w:rsid w:val="000932C7"/>
    <w:rsid w:val="000939E6"/>
    <w:rsid w:val="00093A57"/>
    <w:rsid w:val="000942F3"/>
    <w:rsid w:val="0009443C"/>
    <w:rsid w:val="00094A72"/>
    <w:rsid w:val="0009542A"/>
    <w:rsid w:val="000963F9"/>
    <w:rsid w:val="000979DC"/>
    <w:rsid w:val="00097FB5"/>
    <w:rsid w:val="00097FDD"/>
    <w:rsid w:val="000A0AA7"/>
    <w:rsid w:val="000A20F8"/>
    <w:rsid w:val="000A51C5"/>
    <w:rsid w:val="000A5AB6"/>
    <w:rsid w:val="000A5FFA"/>
    <w:rsid w:val="000A6FC3"/>
    <w:rsid w:val="000B00CC"/>
    <w:rsid w:val="000B13B4"/>
    <w:rsid w:val="000B1BF5"/>
    <w:rsid w:val="000B3010"/>
    <w:rsid w:val="000B3E54"/>
    <w:rsid w:val="000B4CA7"/>
    <w:rsid w:val="000B4E68"/>
    <w:rsid w:val="000B5491"/>
    <w:rsid w:val="000B6DC7"/>
    <w:rsid w:val="000B7D96"/>
    <w:rsid w:val="000B7F58"/>
    <w:rsid w:val="000C033E"/>
    <w:rsid w:val="000C05AE"/>
    <w:rsid w:val="000C11EF"/>
    <w:rsid w:val="000C149D"/>
    <w:rsid w:val="000C1DB6"/>
    <w:rsid w:val="000C2083"/>
    <w:rsid w:val="000C2358"/>
    <w:rsid w:val="000C2D5A"/>
    <w:rsid w:val="000C3006"/>
    <w:rsid w:val="000C334F"/>
    <w:rsid w:val="000C42F2"/>
    <w:rsid w:val="000C5459"/>
    <w:rsid w:val="000C575C"/>
    <w:rsid w:val="000C579F"/>
    <w:rsid w:val="000C5813"/>
    <w:rsid w:val="000C5D27"/>
    <w:rsid w:val="000C615E"/>
    <w:rsid w:val="000C6714"/>
    <w:rsid w:val="000C7A1A"/>
    <w:rsid w:val="000D0A2B"/>
    <w:rsid w:val="000D0FE0"/>
    <w:rsid w:val="000D11EE"/>
    <w:rsid w:val="000D1325"/>
    <w:rsid w:val="000D1535"/>
    <w:rsid w:val="000D15B0"/>
    <w:rsid w:val="000D1D3B"/>
    <w:rsid w:val="000D1FB9"/>
    <w:rsid w:val="000D2408"/>
    <w:rsid w:val="000D26EC"/>
    <w:rsid w:val="000D2B47"/>
    <w:rsid w:val="000D2D59"/>
    <w:rsid w:val="000D3433"/>
    <w:rsid w:val="000D3844"/>
    <w:rsid w:val="000D404C"/>
    <w:rsid w:val="000D43C6"/>
    <w:rsid w:val="000D55DD"/>
    <w:rsid w:val="000D7870"/>
    <w:rsid w:val="000D7CD4"/>
    <w:rsid w:val="000D7DD7"/>
    <w:rsid w:val="000D7E3A"/>
    <w:rsid w:val="000E0519"/>
    <w:rsid w:val="000E0D4E"/>
    <w:rsid w:val="000E1D96"/>
    <w:rsid w:val="000E20E7"/>
    <w:rsid w:val="000E21C4"/>
    <w:rsid w:val="000E22D7"/>
    <w:rsid w:val="000E2827"/>
    <w:rsid w:val="000E29F6"/>
    <w:rsid w:val="000E2A1D"/>
    <w:rsid w:val="000E3DE1"/>
    <w:rsid w:val="000E4CDD"/>
    <w:rsid w:val="000E581B"/>
    <w:rsid w:val="000E5843"/>
    <w:rsid w:val="000E6015"/>
    <w:rsid w:val="000E61B7"/>
    <w:rsid w:val="000E69F8"/>
    <w:rsid w:val="000E6B70"/>
    <w:rsid w:val="000E6D19"/>
    <w:rsid w:val="000E7213"/>
    <w:rsid w:val="000E7601"/>
    <w:rsid w:val="000E7A27"/>
    <w:rsid w:val="000E7AA8"/>
    <w:rsid w:val="000E7B66"/>
    <w:rsid w:val="000E7DE5"/>
    <w:rsid w:val="000F0999"/>
    <w:rsid w:val="000F0DB4"/>
    <w:rsid w:val="000F1F0B"/>
    <w:rsid w:val="000F27F4"/>
    <w:rsid w:val="000F3344"/>
    <w:rsid w:val="000F49ED"/>
    <w:rsid w:val="000F51DC"/>
    <w:rsid w:val="000F5463"/>
    <w:rsid w:val="000F5ADD"/>
    <w:rsid w:val="000F5B37"/>
    <w:rsid w:val="000F66A3"/>
    <w:rsid w:val="000F71F3"/>
    <w:rsid w:val="001001C2"/>
    <w:rsid w:val="00100FF4"/>
    <w:rsid w:val="00101A84"/>
    <w:rsid w:val="00102165"/>
    <w:rsid w:val="00102AFB"/>
    <w:rsid w:val="00102BB4"/>
    <w:rsid w:val="001030E7"/>
    <w:rsid w:val="00103C12"/>
    <w:rsid w:val="001045C3"/>
    <w:rsid w:val="001051AE"/>
    <w:rsid w:val="00105F87"/>
    <w:rsid w:val="00106258"/>
    <w:rsid w:val="001069C6"/>
    <w:rsid w:val="00106C81"/>
    <w:rsid w:val="0010783F"/>
    <w:rsid w:val="00110541"/>
    <w:rsid w:val="00110756"/>
    <w:rsid w:val="00110761"/>
    <w:rsid w:val="001110A6"/>
    <w:rsid w:val="0011149D"/>
    <w:rsid w:val="00112278"/>
    <w:rsid w:val="00112EA5"/>
    <w:rsid w:val="001135EC"/>
    <w:rsid w:val="00114351"/>
    <w:rsid w:val="00114691"/>
    <w:rsid w:val="001153AC"/>
    <w:rsid w:val="00116230"/>
    <w:rsid w:val="00116D16"/>
    <w:rsid w:val="00117335"/>
    <w:rsid w:val="0011793F"/>
    <w:rsid w:val="001205A8"/>
    <w:rsid w:val="00120FBB"/>
    <w:rsid w:val="00121F33"/>
    <w:rsid w:val="001221A8"/>
    <w:rsid w:val="00122666"/>
    <w:rsid w:val="001227E1"/>
    <w:rsid w:val="00123A20"/>
    <w:rsid w:val="001249AA"/>
    <w:rsid w:val="00124AFF"/>
    <w:rsid w:val="0012537A"/>
    <w:rsid w:val="001257C0"/>
    <w:rsid w:val="00127E24"/>
    <w:rsid w:val="00130278"/>
    <w:rsid w:val="00130350"/>
    <w:rsid w:val="00130680"/>
    <w:rsid w:val="0013098E"/>
    <w:rsid w:val="00130A90"/>
    <w:rsid w:val="00130ABF"/>
    <w:rsid w:val="00130D18"/>
    <w:rsid w:val="0013137C"/>
    <w:rsid w:val="00132089"/>
    <w:rsid w:val="0013216B"/>
    <w:rsid w:val="00132B49"/>
    <w:rsid w:val="00132D06"/>
    <w:rsid w:val="00133C6F"/>
    <w:rsid w:val="0013460F"/>
    <w:rsid w:val="00134F92"/>
    <w:rsid w:val="0013547A"/>
    <w:rsid w:val="00135907"/>
    <w:rsid w:val="00135968"/>
    <w:rsid w:val="001365D9"/>
    <w:rsid w:val="001369EB"/>
    <w:rsid w:val="00137300"/>
    <w:rsid w:val="00137343"/>
    <w:rsid w:val="00137990"/>
    <w:rsid w:val="00140169"/>
    <w:rsid w:val="00140BDD"/>
    <w:rsid w:val="00141076"/>
    <w:rsid w:val="001417E2"/>
    <w:rsid w:val="00141EBB"/>
    <w:rsid w:val="0014234C"/>
    <w:rsid w:val="001429A3"/>
    <w:rsid w:val="00142AFC"/>
    <w:rsid w:val="0014308A"/>
    <w:rsid w:val="00143CA1"/>
    <w:rsid w:val="0014402E"/>
    <w:rsid w:val="00144203"/>
    <w:rsid w:val="00144F85"/>
    <w:rsid w:val="001463BA"/>
    <w:rsid w:val="0014680B"/>
    <w:rsid w:val="00146B95"/>
    <w:rsid w:val="001474DF"/>
    <w:rsid w:val="0015042A"/>
    <w:rsid w:val="001508C6"/>
    <w:rsid w:val="00150DF3"/>
    <w:rsid w:val="00151539"/>
    <w:rsid w:val="0015344D"/>
    <w:rsid w:val="00153C8A"/>
    <w:rsid w:val="00153CD3"/>
    <w:rsid w:val="001550E2"/>
    <w:rsid w:val="001554A8"/>
    <w:rsid w:val="001560B1"/>
    <w:rsid w:val="001562D3"/>
    <w:rsid w:val="00156427"/>
    <w:rsid w:val="00156BE8"/>
    <w:rsid w:val="00157D6D"/>
    <w:rsid w:val="001607C6"/>
    <w:rsid w:val="00161260"/>
    <w:rsid w:val="001614E5"/>
    <w:rsid w:val="001616CE"/>
    <w:rsid w:val="00161EB8"/>
    <w:rsid w:val="00162803"/>
    <w:rsid w:val="00162917"/>
    <w:rsid w:val="00162BBF"/>
    <w:rsid w:val="00162F69"/>
    <w:rsid w:val="00163024"/>
    <w:rsid w:val="001639C5"/>
    <w:rsid w:val="00163B21"/>
    <w:rsid w:val="001641EF"/>
    <w:rsid w:val="001647EE"/>
    <w:rsid w:val="0016484D"/>
    <w:rsid w:val="00164B81"/>
    <w:rsid w:val="00164D28"/>
    <w:rsid w:val="00165877"/>
    <w:rsid w:val="00165BA5"/>
    <w:rsid w:val="00165D76"/>
    <w:rsid w:val="00166A71"/>
    <w:rsid w:val="001671A4"/>
    <w:rsid w:val="0016751E"/>
    <w:rsid w:val="00167684"/>
    <w:rsid w:val="0016773C"/>
    <w:rsid w:val="0016784D"/>
    <w:rsid w:val="00167C36"/>
    <w:rsid w:val="00167FF8"/>
    <w:rsid w:val="001700CA"/>
    <w:rsid w:val="001703C1"/>
    <w:rsid w:val="00172469"/>
    <w:rsid w:val="0017298E"/>
    <w:rsid w:val="00172DF3"/>
    <w:rsid w:val="00173102"/>
    <w:rsid w:val="001733A3"/>
    <w:rsid w:val="001734D8"/>
    <w:rsid w:val="001734EE"/>
    <w:rsid w:val="00173875"/>
    <w:rsid w:val="00174A0A"/>
    <w:rsid w:val="001750A2"/>
    <w:rsid w:val="001752BC"/>
    <w:rsid w:val="00175394"/>
    <w:rsid w:val="00175494"/>
    <w:rsid w:val="0017684A"/>
    <w:rsid w:val="00176CD4"/>
    <w:rsid w:val="0017761A"/>
    <w:rsid w:val="00177866"/>
    <w:rsid w:val="00177FB0"/>
    <w:rsid w:val="001808E3"/>
    <w:rsid w:val="00180997"/>
    <w:rsid w:val="00180A55"/>
    <w:rsid w:val="00180B7D"/>
    <w:rsid w:val="001812FD"/>
    <w:rsid w:val="00181410"/>
    <w:rsid w:val="001819B9"/>
    <w:rsid w:val="00181EFC"/>
    <w:rsid w:val="00182E08"/>
    <w:rsid w:val="00183019"/>
    <w:rsid w:val="00183714"/>
    <w:rsid w:val="00183891"/>
    <w:rsid w:val="00183AAA"/>
    <w:rsid w:val="001841F7"/>
    <w:rsid w:val="001843F9"/>
    <w:rsid w:val="00184B7F"/>
    <w:rsid w:val="00185D66"/>
    <w:rsid w:val="00185EDB"/>
    <w:rsid w:val="001861F3"/>
    <w:rsid w:val="001869EB"/>
    <w:rsid w:val="00187A76"/>
    <w:rsid w:val="00190068"/>
    <w:rsid w:val="00190378"/>
    <w:rsid w:val="00190762"/>
    <w:rsid w:val="0019149F"/>
    <w:rsid w:val="0019160E"/>
    <w:rsid w:val="00191963"/>
    <w:rsid w:val="00191F44"/>
    <w:rsid w:val="00191FCA"/>
    <w:rsid w:val="0019262B"/>
    <w:rsid w:val="00194180"/>
    <w:rsid w:val="001948B7"/>
    <w:rsid w:val="001955E3"/>
    <w:rsid w:val="001964E7"/>
    <w:rsid w:val="00197770"/>
    <w:rsid w:val="00197776"/>
    <w:rsid w:val="00197B64"/>
    <w:rsid w:val="001A15CB"/>
    <w:rsid w:val="001A1E42"/>
    <w:rsid w:val="001A26A6"/>
    <w:rsid w:val="001A3070"/>
    <w:rsid w:val="001A3292"/>
    <w:rsid w:val="001A34EB"/>
    <w:rsid w:val="001A4F63"/>
    <w:rsid w:val="001A5659"/>
    <w:rsid w:val="001A5F15"/>
    <w:rsid w:val="001A6937"/>
    <w:rsid w:val="001A6E13"/>
    <w:rsid w:val="001B0ACE"/>
    <w:rsid w:val="001B12A1"/>
    <w:rsid w:val="001B1929"/>
    <w:rsid w:val="001B1EFA"/>
    <w:rsid w:val="001B29C5"/>
    <w:rsid w:val="001B3186"/>
    <w:rsid w:val="001B3B6A"/>
    <w:rsid w:val="001B42EA"/>
    <w:rsid w:val="001B51C1"/>
    <w:rsid w:val="001B5671"/>
    <w:rsid w:val="001B619C"/>
    <w:rsid w:val="001B6454"/>
    <w:rsid w:val="001B6DCB"/>
    <w:rsid w:val="001B740C"/>
    <w:rsid w:val="001B7A91"/>
    <w:rsid w:val="001C08E4"/>
    <w:rsid w:val="001C0E34"/>
    <w:rsid w:val="001C13DB"/>
    <w:rsid w:val="001C1A8F"/>
    <w:rsid w:val="001C2EC3"/>
    <w:rsid w:val="001C31DC"/>
    <w:rsid w:val="001C3A42"/>
    <w:rsid w:val="001C43FE"/>
    <w:rsid w:val="001C461F"/>
    <w:rsid w:val="001C47DF"/>
    <w:rsid w:val="001C5DD8"/>
    <w:rsid w:val="001C6123"/>
    <w:rsid w:val="001C6B1C"/>
    <w:rsid w:val="001C79A5"/>
    <w:rsid w:val="001C7B21"/>
    <w:rsid w:val="001C7BF1"/>
    <w:rsid w:val="001C7C20"/>
    <w:rsid w:val="001D08A3"/>
    <w:rsid w:val="001D0B3A"/>
    <w:rsid w:val="001D0E3B"/>
    <w:rsid w:val="001D1955"/>
    <w:rsid w:val="001D20E5"/>
    <w:rsid w:val="001D2101"/>
    <w:rsid w:val="001D3622"/>
    <w:rsid w:val="001D3DC4"/>
    <w:rsid w:val="001D46DC"/>
    <w:rsid w:val="001D5497"/>
    <w:rsid w:val="001D5F4D"/>
    <w:rsid w:val="001D606F"/>
    <w:rsid w:val="001D7F77"/>
    <w:rsid w:val="001E0759"/>
    <w:rsid w:val="001E09F2"/>
    <w:rsid w:val="001E1A3D"/>
    <w:rsid w:val="001E1DC0"/>
    <w:rsid w:val="001E49F7"/>
    <w:rsid w:val="001E5D04"/>
    <w:rsid w:val="001E5E67"/>
    <w:rsid w:val="001E65A1"/>
    <w:rsid w:val="001E6E19"/>
    <w:rsid w:val="001E6E98"/>
    <w:rsid w:val="001E76C5"/>
    <w:rsid w:val="001E7EDC"/>
    <w:rsid w:val="001F09B5"/>
    <w:rsid w:val="001F0C5D"/>
    <w:rsid w:val="001F24F4"/>
    <w:rsid w:val="001F2CB5"/>
    <w:rsid w:val="001F420C"/>
    <w:rsid w:val="001F45DE"/>
    <w:rsid w:val="001F49DA"/>
    <w:rsid w:val="001F5267"/>
    <w:rsid w:val="001F5461"/>
    <w:rsid w:val="001F5E3A"/>
    <w:rsid w:val="001F5ED5"/>
    <w:rsid w:val="001F611F"/>
    <w:rsid w:val="001F62B3"/>
    <w:rsid w:val="001F683C"/>
    <w:rsid w:val="001F6AA4"/>
    <w:rsid w:val="001F7AD0"/>
    <w:rsid w:val="001F7CCD"/>
    <w:rsid w:val="002010BC"/>
    <w:rsid w:val="002012AF"/>
    <w:rsid w:val="00201363"/>
    <w:rsid w:val="002018EC"/>
    <w:rsid w:val="00202CB9"/>
    <w:rsid w:val="002035D8"/>
    <w:rsid w:val="00204485"/>
    <w:rsid w:val="00204561"/>
    <w:rsid w:val="00205741"/>
    <w:rsid w:val="00205CED"/>
    <w:rsid w:val="00206267"/>
    <w:rsid w:val="0020654B"/>
    <w:rsid w:val="00206AE6"/>
    <w:rsid w:val="00206CF6"/>
    <w:rsid w:val="0020736C"/>
    <w:rsid w:val="002104DB"/>
    <w:rsid w:val="002121B6"/>
    <w:rsid w:val="0021222A"/>
    <w:rsid w:val="00214E06"/>
    <w:rsid w:val="002156D0"/>
    <w:rsid w:val="00215CAA"/>
    <w:rsid w:val="00216346"/>
    <w:rsid w:val="002169B1"/>
    <w:rsid w:val="00216F5E"/>
    <w:rsid w:val="002170E3"/>
    <w:rsid w:val="0021785B"/>
    <w:rsid w:val="00217943"/>
    <w:rsid w:val="00217973"/>
    <w:rsid w:val="00217C20"/>
    <w:rsid w:val="002200E4"/>
    <w:rsid w:val="00220564"/>
    <w:rsid w:val="00220F2D"/>
    <w:rsid w:val="0022125F"/>
    <w:rsid w:val="00221385"/>
    <w:rsid w:val="002224AC"/>
    <w:rsid w:val="00222625"/>
    <w:rsid w:val="00222A29"/>
    <w:rsid w:val="00222ECA"/>
    <w:rsid w:val="0022310E"/>
    <w:rsid w:val="002231F8"/>
    <w:rsid w:val="002247C8"/>
    <w:rsid w:val="00225461"/>
    <w:rsid w:val="00225BA2"/>
    <w:rsid w:val="00225C5F"/>
    <w:rsid w:val="00225D0E"/>
    <w:rsid w:val="00225FC9"/>
    <w:rsid w:val="0022635A"/>
    <w:rsid w:val="00226572"/>
    <w:rsid w:val="0022750D"/>
    <w:rsid w:val="00227CB8"/>
    <w:rsid w:val="002308BB"/>
    <w:rsid w:val="00230AB7"/>
    <w:rsid w:val="00230B7B"/>
    <w:rsid w:val="00230BA1"/>
    <w:rsid w:val="00230BBB"/>
    <w:rsid w:val="0023160A"/>
    <w:rsid w:val="00232147"/>
    <w:rsid w:val="0023354E"/>
    <w:rsid w:val="002339AC"/>
    <w:rsid w:val="00233BDB"/>
    <w:rsid w:val="00233C5B"/>
    <w:rsid w:val="0023465B"/>
    <w:rsid w:val="00235B40"/>
    <w:rsid w:val="00236D02"/>
    <w:rsid w:val="00237302"/>
    <w:rsid w:val="00237597"/>
    <w:rsid w:val="002377FC"/>
    <w:rsid w:val="00237AD1"/>
    <w:rsid w:val="00237FDD"/>
    <w:rsid w:val="002401B4"/>
    <w:rsid w:val="00241948"/>
    <w:rsid w:val="00241D65"/>
    <w:rsid w:val="002420B0"/>
    <w:rsid w:val="0024288D"/>
    <w:rsid w:val="00243EAE"/>
    <w:rsid w:val="00243FFC"/>
    <w:rsid w:val="0024420B"/>
    <w:rsid w:val="00244747"/>
    <w:rsid w:val="00244B5F"/>
    <w:rsid w:val="00244FBB"/>
    <w:rsid w:val="00246124"/>
    <w:rsid w:val="00247005"/>
    <w:rsid w:val="002475FA"/>
    <w:rsid w:val="002479B5"/>
    <w:rsid w:val="00250483"/>
    <w:rsid w:val="00250659"/>
    <w:rsid w:val="00252341"/>
    <w:rsid w:val="00252E95"/>
    <w:rsid w:val="002539DD"/>
    <w:rsid w:val="00253E2E"/>
    <w:rsid w:val="00254F37"/>
    <w:rsid w:val="002557C9"/>
    <w:rsid w:val="002561FA"/>
    <w:rsid w:val="002564EE"/>
    <w:rsid w:val="00256F6E"/>
    <w:rsid w:val="002574BD"/>
    <w:rsid w:val="002600E5"/>
    <w:rsid w:val="002603FD"/>
    <w:rsid w:val="0026080E"/>
    <w:rsid w:val="00260ADB"/>
    <w:rsid w:val="00260B75"/>
    <w:rsid w:val="00260C2B"/>
    <w:rsid w:val="00261D4B"/>
    <w:rsid w:val="00262802"/>
    <w:rsid w:val="00262CCA"/>
    <w:rsid w:val="00262FCC"/>
    <w:rsid w:val="002632C8"/>
    <w:rsid w:val="002633AB"/>
    <w:rsid w:val="00263847"/>
    <w:rsid w:val="00263856"/>
    <w:rsid w:val="002648A6"/>
    <w:rsid w:val="00264CB1"/>
    <w:rsid w:val="00264F8B"/>
    <w:rsid w:val="002655C9"/>
    <w:rsid w:val="002659C6"/>
    <w:rsid w:val="00266580"/>
    <w:rsid w:val="00266E59"/>
    <w:rsid w:val="00267D68"/>
    <w:rsid w:val="0027074D"/>
    <w:rsid w:val="0027176A"/>
    <w:rsid w:val="0027176E"/>
    <w:rsid w:val="00273127"/>
    <w:rsid w:val="002741E9"/>
    <w:rsid w:val="00274B07"/>
    <w:rsid w:val="00274F4B"/>
    <w:rsid w:val="002757C8"/>
    <w:rsid w:val="00276C8A"/>
    <w:rsid w:val="00276D6F"/>
    <w:rsid w:val="00277DFB"/>
    <w:rsid w:val="0028152C"/>
    <w:rsid w:val="0028287B"/>
    <w:rsid w:val="002831DF"/>
    <w:rsid w:val="00284F8E"/>
    <w:rsid w:val="002853C7"/>
    <w:rsid w:val="0028541C"/>
    <w:rsid w:val="002854BA"/>
    <w:rsid w:val="00285FEB"/>
    <w:rsid w:val="002869CD"/>
    <w:rsid w:val="00286AF2"/>
    <w:rsid w:val="00286BAD"/>
    <w:rsid w:val="00286FC7"/>
    <w:rsid w:val="00287097"/>
    <w:rsid w:val="00287389"/>
    <w:rsid w:val="002877D0"/>
    <w:rsid w:val="002877EF"/>
    <w:rsid w:val="0029006E"/>
    <w:rsid w:val="0029094F"/>
    <w:rsid w:val="0029167D"/>
    <w:rsid w:val="00291C9E"/>
    <w:rsid w:val="00292339"/>
    <w:rsid w:val="002935A6"/>
    <w:rsid w:val="002935CE"/>
    <w:rsid w:val="00294874"/>
    <w:rsid w:val="0029729F"/>
    <w:rsid w:val="00297879"/>
    <w:rsid w:val="00297917"/>
    <w:rsid w:val="002A028A"/>
    <w:rsid w:val="002A0C76"/>
    <w:rsid w:val="002A1862"/>
    <w:rsid w:val="002A285D"/>
    <w:rsid w:val="002A2D44"/>
    <w:rsid w:val="002A2D64"/>
    <w:rsid w:val="002A2EC4"/>
    <w:rsid w:val="002A3326"/>
    <w:rsid w:val="002A3485"/>
    <w:rsid w:val="002A40FF"/>
    <w:rsid w:val="002A442C"/>
    <w:rsid w:val="002A4AC9"/>
    <w:rsid w:val="002A63D7"/>
    <w:rsid w:val="002A67A5"/>
    <w:rsid w:val="002A6AAD"/>
    <w:rsid w:val="002A7054"/>
    <w:rsid w:val="002A7230"/>
    <w:rsid w:val="002A7543"/>
    <w:rsid w:val="002A764B"/>
    <w:rsid w:val="002A7B16"/>
    <w:rsid w:val="002A7E89"/>
    <w:rsid w:val="002B0058"/>
    <w:rsid w:val="002B0344"/>
    <w:rsid w:val="002B0BBA"/>
    <w:rsid w:val="002B158D"/>
    <w:rsid w:val="002B1622"/>
    <w:rsid w:val="002B243B"/>
    <w:rsid w:val="002B285C"/>
    <w:rsid w:val="002B346C"/>
    <w:rsid w:val="002B4487"/>
    <w:rsid w:val="002B4709"/>
    <w:rsid w:val="002B49C9"/>
    <w:rsid w:val="002B4ACE"/>
    <w:rsid w:val="002B51CC"/>
    <w:rsid w:val="002B638E"/>
    <w:rsid w:val="002B6417"/>
    <w:rsid w:val="002B681E"/>
    <w:rsid w:val="002B6FEE"/>
    <w:rsid w:val="002B78C3"/>
    <w:rsid w:val="002B7B77"/>
    <w:rsid w:val="002C1209"/>
    <w:rsid w:val="002C1ADF"/>
    <w:rsid w:val="002C1B66"/>
    <w:rsid w:val="002C22CC"/>
    <w:rsid w:val="002C2303"/>
    <w:rsid w:val="002C3A7B"/>
    <w:rsid w:val="002C3C17"/>
    <w:rsid w:val="002C4939"/>
    <w:rsid w:val="002C50E1"/>
    <w:rsid w:val="002C60BB"/>
    <w:rsid w:val="002C631E"/>
    <w:rsid w:val="002C66C5"/>
    <w:rsid w:val="002C675F"/>
    <w:rsid w:val="002C7227"/>
    <w:rsid w:val="002C7722"/>
    <w:rsid w:val="002C7985"/>
    <w:rsid w:val="002C7DF8"/>
    <w:rsid w:val="002C7EB6"/>
    <w:rsid w:val="002D0178"/>
    <w:rsid w:val="002D071D"/>
    <w:rsid w:val="002D0D78"/>
    <w:rsid w:val="002D3018"/>
    <w:rsid w:val="002D38E0"/>
    <w:rsid w:val="002D3CEC"/>
    <w:rsid w:val="002D52A1"/>
    <w:rsid w:val="002D5800"/>
    <w:rsid w:val="002D5E5B"/>
    <w:rsid w:val="002D658F"/>
    <w:rsid w:val="002D6875"/>
    <w:rsid w:val="002D78CB"/>
    <w:rsid w:val="002E01E3"/>
    <w:rsid w:val="002E0321"/>
    <w:rsid w:val="002E09C6"/>
    <w:rsid w:val="002E0E0D"/>
    <w:rsid w:val="002E1A15"/>
    <w:rsid w:val="002E1BAF"/>
    <w:rsid w:val="002E36C6"/>
    <w:rsid w:val="002E3A9F"/>
    <w:rsid w:val="002E3C8E"/>
    <w:rsid w:val="002E3E10"/>
    <w:rsid w:val="002E4927"/>
    <w:rsid w:val="002E4A11"/>
    <w:rsid w:val="002E4B53"/>
    <w:rsid w:val="002E4C3D"/>
    <w:rsid w:val="002E56EB"/>
    <w:rsid w:val="002E5D6E"/>
    <w:rsid w:val="002E603E"/>
    <w:rsid w:val="002E65E3"/>
    <w:rsid w:val="002E73C1"/>
    <w:rsid w:val="002E7FF8"/>
    <w:rsid w:val="002F0B7F"/>
    <w:rsid w:val="002F116F"/>
    <w:rsid w:val="002F1D77"/>
    <w:rsid w:val="002F3E17"/>
    <w:rsid w:val="002F4AC6"/>
    <w:rsid w:val="002F50B3"/>
    <w:rsid w:val="002F51EB"/>
    <w:rsid w:val="002F54CF"/>
    <w:rsid w:val="002F58E5"/>
    <w:rsid w:val="002F6003"/>
    <w:rsid w:val="002F6142"/>
    <w:rsid w:val="002F639E"/>
    <w:rsid w:val="002F66CE"/>
    <w:rsid w:val="002F6C3D"/>
    <w:rsid w:val="002F6DDB"/>
    <w:rsid w:val="002F7160"/>
    <w:rsid w:val="002F758F"/>
    <w:rsid w:val="002F7922"/>
    <w:rsid w:val="002F7E01"/>
    <w:rsid w:val="002F7F7D"/>
    <w:rsid w:val="003001F2"/>
    <w:rsid w:val="00300BF8"/>
    <w:rsid w:val="003014FB"/>
    <w:rsid w:val="003015EB"/>
    <w:rsid w:val="0030187F"/>
    <w:rsid w:val="00302933"/>
    <w:rsid w:val="00303210"/>
    <w:rsid w:val="003038A5"/>
    <w:rsid w:val="0030429B"/>
    <w:rsid w:val="003048A3"/>
    <w:rsid w:val="00304F19"/>
    <w:rsid w:val="003053B7"/>
    <w:rsid w:val="00305F80"/>
    <w:rsid w:val="003064FD"/>
    <w:rsid w:val="00310059"/>
    <w:rsid w:val="00310C95"/>
    <w:rsid w:val="003111D8"/>
    <w:rsid w:val="00312261"/>
    <w:rsid w:val="0031275D"/>
    <w:rsid w:val="00312761"/>
    <w:rsid w:val="00312819"/>
    <w:rsid w:val="00312E21"/>
    <w:rsid w:val="0031346E"/>
    <w:rsid w:val="00313D79"/>
    <w:rsid w:val="00314A5D"/>
    <w:rsid w:val="00315777"/>
    <w:rsid w:val="00316415"/>
    <w:rsid w:val="00316557"/>
    <w:rsid w:val="00316B30"/>
    <w:rsid w:val="00317D31"/>
    <w:rsid w:val="00320703"/>
    <w:rsid w:val="00320AFF"/>
    <w:rsid w:val="00321159"/>
    <w:rsid w:val="0032184D"/>
    <w:rsid w:val="0032225E"/>
    <w:rsid w:val="003228FE"/>
    <w:rsid w:val="0032312A"/>
    <w:rsid w:val="003237C7"/>
    <w:rsid w:val="003244FF"/>
    <w:rsid w:val="0032564E"/>
    <w:rsid w:val="003260D0"/>
    <w:rsid w:val="003264F2"/>
    <w:rsid w:val="00327408"/>
    <w:rsid w:val="003274B3"/>
    <w:rsid w:val="00327824"/>
    <w:rsid w:val="00327A2A"/>
    <w:rsid w:val="00327B0C"/>
    <w:rsid w:val="00330755"/>
    <w:rsid w:val="003307C9"/>
    <w:rsid w:val="003308BA"/>
    <w:rsid w:val="00330E21"/>
    <w:rsid w:val="00331276"/>
    <w:rsid w:val="0033220D"/>
    <w:rsid w:val="00332CE6"/>
    <w:rsid w:val="00334856"/>
    <w:rsid w:val="0033493C"/>
    <w:rsid w:val="003370EE"/>
    <w:rsid w:val="0033752B"/>
    <w:rsid w:val="00340092"/>
    <w:rsid w:val="0034084C"/>
    <w:rsid w:val="00341318"/>
    <w:rsid w:val="00341771"/>
    <w:rsid w:val="00341F8D"/>
    <w:rsid w:val="00342340"/>
    <w:rsid w:val="00342A45"/>
    <w:rsid w:val="00343336"/>
    <w:rsid w:val="00343488"/>
    <w:rsid w:val="00343803"/>
    <w:rsid w:val="00344429"/>
    <w:rsid w:val="00344790"/>
    <w:rsid w:val="00344D31"/>
    <w:rsid w:val="00345775"/>
    <w:rsid w:val="00347108"/>
    <w:rsid w:val="00347724"/>
    <w:rsid w:val="00350155"/>
    <w:rsid w:val="00350689"/>
    <w:rsid w:val="00350A44"/>
    <w:rsid w:val="00350F35"/>
    <w:rsid w:val="00351941"/>
    <w:rsid w:val="0035219D"/>
    <w:rsid w:val="00353505"/>
    <w:rsid w:val="00353FAD"/>
    <w:rsid w:val="003546FF"/>
    <w:rsid w:val="00354A12"/>
    <w:rsid w:val="00354C3F"/>
    <w:rsid w:val="00355493"/>
    <w:rsid w:val="003573DE"/>
    <w:rsid w:val="003578DD"/>
    <w:rsid w:val="00357B58"/>
    <w:rsid w:val="00357E43"/>
    <w:rsid w:val="00360025"/>
    <w:rsid w:val="003601DD"/>
    <w:rsid w:val="00360881"/>
    <w:rsid w:val="003609A9"/>
    <w:rsid w:val="00360C27"/>
    <w:rsid w:val="00361225"/>
    <w:rsid w:val="0036156E"/>
    <w:rsid w:val="003615AB"/>
    <w:rsid w:val="003617DD"/>
    <w:rsid w:val="00361FAB"/>
    <w:rsid w:val="003626A8"/>
    <w:rsid w:val="003628D5"/>
    <w:rsid w:val="0036311C"/>
    <w:rsid w:val="003637D0"/>
    <w:rsid w:val="0036438C"/>
    <w:rsid w:val="00365CB1"/>
    <w:rsid w:val="00366168"/>
    <w:rsid w:val="00367272"/>
    <w:rsid w:val="00370649"/>
    <w:rsid w:val="0037195E"/>
    <w:rsid w:val="00371A19"/>
    <w:rsid w:val="00371B8F"/>
    <w:rsid w:val="00371C5F"/>
    <w:rsid w:val="00372C6F"/>
    <w:rsid w:val="0037303C"/>
    <w:rsid w:val="00373293"/>
    <w:rsid w:val="00373DEA"/>
    <w:rsid w:val="00376DEA"/>
    <w:rsid w:val="00377AB5"/>
    <w:rsid w:val="003806EB"/>
    <w:rsid w:val="00381439"/>
    <w:rsid w:val="003815F7"/>
    <w:rsid w:val="00381725"/>
    <w:rsid w:val="003833AD"/>
    <w:rsid w:val="003838E7"/>
    <w:rsid w:val="003840C8"/>
    <w:rsid w:val="00386216"/>
    <w:rsid w:val="0038741C"/>
    <w:rsid w:val="003878B7"/>
    <w:rsid w:val="00390696"/>
    <w:rsid w:val="00391B6C"/>
    <w:rsid w:val="00391C44"/>
    <w:rsid w:val="00391E01"/>
    <w:rsid w:val="00392AC2"/>
    <w:rsid w:val="00392D54"/>
    <w:rsid w:val="00392F66"/>
    <w:rsid w:val="0039392A"/>
    <w:rsid w:val="00393A38"/>
    <w:rsid w:val="00393DC6"/>
    <w:rsid w:val="003949D4"/>
    <w:rsid w:val="00395A54"/>
    <w:rsid w:val="00396342"/>
    <w:rsid w:val="0039696B"/>
    <w:rsid w:val="00396DD7"/>
    <w:rsid w:val="00397BE5"/>
    <w:rsid w:val="00397C9A"/>
    <w:rsid w:val="00397E25"/>
    <w:rsid w:val="003A063C"/>
    <w:rsid w:val="003A0EDE"/>
    <w:rsid w:val="003A121E"/>
    <w:rsid w:val="003A2BBB"/>
    <w:rsid w:val="003A3AF1"/>
    <w:rsid w:val="003A3E0B"/>
    <w:rsid w:val="003A40EC"/>
    <w:rsid w:val="003A4472"/>
    <w:rsid w:val="003A4A15"/>
    <w:rsid w:val="003A4D84"/>
    <w:rsid w:val="003A5DD5"/>
    <w:rsid w:val="003A664D"/>
    <w:rsid w:val="003A70A4"/>
    <w:rsid w:val="003A79F2"/>
    <w:rsid w:val="003B0686"/>
    <w:rsid w:val="003B13D3"/>
    <w:rsid w:val="003B194D"/>
    <w:rsid w:val="003B1A73"/>
    <w:rsid w:val="003B1FC9"/>
    <w:rsid w:val="003B202E"/>
    <w:rsid w:val="003B2E1E"/>
    <w:rsid w:val="003B3410"/>
    <w:rsid w:val="003B3BC4"/>
    <w:rsid w:val="003B3FA6"/>
    <w:rsid w:val="003B42CC"/>
    <w:rsid w:val="003B4622"/>
    <w:rsid w:val="003B4759"/>
    <w:rsid w:val="003B57C6"/>
    <w:rsid w:val="003B5CA6"/>
    <w:rsid w:val="003B7912"/>
    <w:rsid w:val="003B7A0E"/>
    <w:rsid w:val="003C04F5"/>
    <w:rsid w:val="003C0C7B"/>
    <w:rsid w:val="003C1ED5"/>
    <w:rsid w:val="003C243D"/>
    <w:rsid w:val="003C385D"/>
    <w:rsid w:val="003C3D66"/>
    <w:rsid w:val="003C416E"/>
    <w:rsid w:val="003C4A53"/>
    <w:rsid w:val="003C5737"/>
    <w:rsid w:val="003C598D"/>
    <w:rsid w:val="003C5D6E"/>
    <w:rsid w:val="003C6507"/>
    <w:rsid w:val="003C6C58"/>
    <w:rsid w:val="003C6E97"/>
    <w:rsid w:val="003C71BE"/>
    <w:rsid w:val="003C7888"/>
    <w:rsid w:val="003C7EDC"/>
    <w:rsid w:val="003C7FB3"/>
    <w:rsid w:val="003D1234"/>
    <w:rsid w:val="003D18D9"/>
    <w:rsid w:val="003D1F3F"/>
    <w:rsid w:val="003D3C6C"/>
    <w:rsid w:val="003D4785"/>
    <w:rsid w:val="003D4CA0"/>
    <w:rsid w:val="003D5A81"/>
    <w:rsid w:val="003D5C12"/>
    <w:rsid w:val="003D5C4B"/>
    <w:rsid w:val="003D6A53"/>
    <w:rsid w:val="003D6F70"/>
    <w:rsid w:val="003D74E1"/>
    <w:rsid w:val="003D76F7"/>
    <w:rsid w:val="003D7763"/>
    <w:rsid w:val="003E1B5B"/>
    <w:rsid w:val="003E1FC7"/>
    <w:rsid w:val="003E2177"/>
    <w:rsid w:val="003E242C"/>
    <w:rsid w:val="003E2452"/>
    <w:rsid w:val="003E2549"/>
    <w:rsid w:val="003E39F2"/>
    <w:rsid w:val="003E3CBD"/>
    <w:rsid w:val="003E41BD"/>
    <w:rsid w:val="003E4217"/>
    <w:rsid w:val="003E47E6"/>
    <w:rsid w:val="003E5558"/>
    <w:rsid w:val="003E5969"/>
    <w:rsid w:val="003E59F2"/>
    <w:rsid w:val="003E6230"/>
    <w:rsid w:val="003E646C"/>
    <w:rsid w:val="003E6B68"/>
    <w:rsid w:val="003E75AB"/>
    <w:rsid w:val="003E7C0C"/>
    <w:rsid w:val="003E7C88"/>
    <w:rsid w:val="003E7D42"/>
    <w:rsid w:val="003F00CA"/>
    <w:rsid w:val="003F01AE"/>
    <w:rsid w:val="003F0377"/>
    <w:rsid w:val="003F0E33"/>
    <w:rsid w:val="003F1042"/>
    <w:rsid w:val="003F11DB"/>
    <w:rsid w:val="003F1E4E"/>
    <w:rsid w:val="003F29C9"/>
    <w:rsid w:val="003F2BDB"/>
    <w:rsid w:val="003F36F8"/>
    <w:rsid w:val="003F474F"/>
    <w:rsid w:val="003F5290"/>
    <w:rsid w:val="003F564F"/>
    <w:rsid w:val="003F5C58"/>
    <w:rsid w:val="003F5ECA"/>
    <w:rsid w:val="003F60A8"/>
    <w:rsid w:val="003F64C6"/>
    <w:rsid w:val="003F6626"/>
    <w:rsid w:val="003F6793"/>
    <w:rsid w:val="003F68B1"/>
    <w:rsid w:val="004005C8"/>
    <w:rsid w:val="004005CC"/>
    <w:rsid w:val="00400D85"/>
    <w:rsid w:val="00401B3A"/>
    <w:rsid w:val="00401CAE"/>
    <w:rsid w:val="00402896"/>
    <w:rsid w:val="00403213"/>
    <w:rsid w:val="00403AB3"/>
    <w:rsid w:val="00403DFE"/>
    <w:rsid w:val="0040513D"/>
    <w:rsid w:val="00405C55"/>
    <w:rsid w:val="00405F8C"/>
    <w:rsid w:val="004075C9"/>
    <w:rsid w:val="004079C6"/>
    <w:rsid w:val="00410E6F"/>
    <w:rsid w:val="00412C51"/>
    <w:rsid w:val="00413040"/>
    <w:rsid w:val="004138A3"/>
    <w:rsid w:val="00414B69"/>
    <w:rsid w:val="00414BF9"/>
    <w:rsid w:val="00415B71"/>
    <w:rsid w:val="00416203"/>
    <w:rsid w:val="00416328"/>
    <w:rsid w:val="00416427"/>
    <w:rsid w:val="00416515"/>
    <w:rsid w:val="00416865"/>
    <w:rsid w:val="004174DE"/>
    <w:rsid w:val="00420068"/>
    <w:rsid w:val="00420B29"/>
    <w:rsid w:val="00421047"/>
    <w:rsid w:val="004219FE"/>
    <w:rsid w:val="00422000"/>
    <w:rsid w:val="004220CB"/>
    <w:rsid w:val="00422427"/>
    <w:rsid w:val="00423E80"/>
    <w:rsid w:val="00424408"/>
    <w:rsid w:val="00425422"/>
    <w:rsid w:val="004257F4"/>
    <w:rsid w:val="00426202"/>
    <w:rsid w:val="00427263"/>
    <w:rsid w:val="0043046B"/>
    <w:rsid w:val="004308AF"/>
    <w:rsid w:val="004312C4"/>
    <w:rsid w:val="00431518"/>
    <w:rsid w:val="004321AC"/>
    <w:rsid w:val="00432740"/>
    <w:rsid w:val="00434567"/>
    <w:rsid w:val="00434A04"/>
    <w:rsid w:val="00434AD5"/>
    <w:rsid w:val="00435411"/>
    <w:rsid w:val="00436062"/>
    <w:rsid w:val="0043652E"/>
    <w:rsid w:val="00436FDF"/>
    <w:rsid w:val="0043713C"/>
    <w:rsid w:val="004408FB"/>
    <w:rsid w:val="00441762"/>
    <w:rsid w:val="00441B93"/>
    <w:rsid w:val="0044225B"/>
    <w:rsid w:val="00442354"/>
    <w:rsid w:val="00442B41"/>
    <w:rsid w:val="00444474"/>
    <w:rsid w:val="00444534"/>
    <w:rsid w:val="0044535F"/>
    <w:rsid w:val="0044550B"/>
    <w:rsid w:val="00445544"/>
    <w:rsid w:val="00450782"/>
    <w:rsid w:val="00452CA6"/>
    <w:rsid w:val="00452D77"/>
    <w:rsid w:val="0045351A"/>
    <w:rsid w:val="0045426F"/>
    <w:rsid w:val="0045535C"/>
    <w:rsid w:val="004568C7"/>
    <w:rsid w:val="004570AB"/>
    <w:rsid w:val="00457140"/>
    <w:rsid w:val="00457CA9"/>
    <w:rsid w:val="00460362"/>
    <w:rsid w:val="00460C98"/>
    <w:rsid w:val="00460E64"/>
    <w:rsid w:val="004611C4"/>
    <w:rsid w:val="004616CB"/>
    <w:rsid w:val="004623A3"/>
    <w:rsid w:val="0046248B"/>
    <w:rsid w:val="0046261D"/>
    <w:rsid w:val="00462B77"/>
    <w:rsid w:val="004656EF"/>
    <w:rsid w:val="00465DE5"/>
    <w:rsid w:val="0046619B"/>
    <w:rsid w:val="004662E7"/>
    <w:rsid w:val="0046632C"/>
    <w:rsid w:val="004666C6"/>
    <w:rsid w:val="00467407"/>
    <w:rsid w:val="00467E2C"/>
    <w:rsid w:val="00470143"/>
    <w:rsid w:val="004702FF"/>
    <w:rsid w:val="004703A8"/>
    <w:rsid w:val="00470781"/>
    <w:rsid w:val="0047134E"/>
    <w:rsid w:val="00471851"/>
    <w:rsid w:val="00471F9F"/>
    <w:rsid w:val="004725F2"/>
    <w:rsid w:val="00473C1B"/>
    <w:rsid w:val="00473D39"/>
    <w:rsid w:val="00473E45"/>
    <w:rsid w:val="00473E48"/>
    <w:rsid w:val="00473E7E"/>
    <w:rsid w:val="004740C0"/>
    <w:rsid w:val="004741F6"/>
    <w:rsid w:val="00474FA1"/>
    <w:rsid w:val="004765B9"/>
    <w:rsid w:val="00476EF8"/>
    <w:rsid w:val="004771A1"/>
    <w:rsid w:val="00477920"/>
    <w:rsid w:val="00477EA5"/>
    <w:rsid w:val="00477F53"/>
    <w:rsid w:val="00480821"/>
    <w:rsid w:val="00481834"/>
    <w:rsid w:val="00481CEA"/>
    <w:rsid w:val="00481E2B"/>
    <w:rsid w:val="004825D0"/>
    <w:rsid w:val="004828FD"/>
    <w:rsid w:val="004839CB"/>
    <w:rsid w:val="00484678"/>
    <w:rsid w:val="00484C12"/>
    <w:rsid w:val="00484CBB"/>
    <w:rsid w:val="00485239"/>
    <w:rsid w:val="004858F1"/>
    <w:rsid w:val="00485966"/>
    <w:rsid w:val="004861FB"/>
    <w:rsid w:val="00486499"/>
    <w:rsid w:val="004865CB"/>
    <w:rsid w:val="004868EA"/>
    <w:rsid w:val="00486961"/>
    <w:rsid w:val="004874B7"/>
    <w:rsid w:val="00487AB8"/>
    <w:rsid w:val="00487E9F"/>
    <w:rsid w:val="0049014E"/>
    <w:rsid w:val="0049246D"/>
    <w:rsid w:val="00492A34"/>
    <w:rsid w:val="00492AA5"/>
    <w:rsid w:val="004930D2"/>
    <w:rsid w:val="00493358"/>
    <w:rsid w:val="0049395B"/>
    <w:rsid w:val="00494A5F"/>
    <w:rsid w:val="00494EF9"/>
    <w:rsid w:val="004958CC"/>
    <w:rsid w:val="004964A3"/>
    <w:rsid w:val="0049683E"/>
    <w:rsid w:val="00496C99"/>
    <w:rsid w:val="00496EF0"/>
    <w:rsid w:val="00497739"/>
    <w:rsid w:val="00497956"/>
    <w:rsid w:val="00497D00"/>
    <w:rsid w:val="004A0D19"/>
    <w:rsid w:val="004A0D92"/>
    <w:rsid w:val="004A1261"/>
    <w:rsid w:val="004A187D"/>
    <w:rsid w:val="004A3CEA"/>
    <w:rsid w:val="004A4142"/>
    <w:rsid w:val="004A4FE5"/>
    <w:rsid w:val="004A565C"/>
    <w:rsid w:val="004A5BAD"/>
    <w:rsid w:val="004A5E92"/>
    <w:rsid w:val="004A6112"/>
    <w:rsid w:val="004A6520"/>
    <w:rsid w:val="004A6765"/>
    <w:rsid w:val="004A6D7B"/>
    <w:rsid w:val="004A7112"/>
    <w:rsid w:val="004A7EF6"/>
    <w:rsid w:val="004A7FBB"/>
    <w:rsid w:val="004B04DD"/>
    <w:rsid w:val="004B0798"/>
    <w:rsid w:val="004B0E7A"/>
    <w:rsid w:val="004B12AD"/>
    <w:rsid w:val="004B1717"/>
    <w:rsid w:val="004B2FC0"/>
    <w:rsid w:val="004B3ECA"/>
    <w:rsid w:val="004B4518"/>
    <w:rsid w:val="004B451E"/>
    <w:rsid w:val="004B45C9"/>
    <w:rsid w:val="004B5820"/>
    <w:rsid w:val="004B5D73"/>
    <w:rsid w:val="004B60AF"/>
    <w:rsid w:val="004B64E7"/>
    <w:rsid w:val="004B7EBA"/>
    <w:rsid w:val="004C060E"/>
    <w:rsid w:val="004C077B"/>
    <w:rsid w:val="004C10B3"/>
    <w:rsid w:val="004C1CFC"/>
    <w:rsid w:val="004C1E18"/>
    <w:rsid w:val="004C1F1A"/>
    <w:rsid w:val="004C259F"/>
    <w:rsid w:val="004C27F8"/>
    <w:rsid w:val="004C29F9"/>
    <w:rsid w:val="004C35BF"/>
    <w:rsid w:val="004C4786"/>
    <w:rsid w:val="004C4C09"/>
    <w:rsid w:val="004C66DF"/>
    <w:rsid w:val="004C6E1D"/>
    <w:rsid w:val="004C6F73"/>
    <w:rsid w:val="004C7189"/>
    <w:rsid w:val="004C71F5"/>
    <w:rsid w:val="004C745C"/>
    <w:rsid w:val="004D11AC"/>
    <w:rsid w:val="004D1401"/>
    <w:rsid w:val="004D18D1"/>
    <w:rsid w:val="004D23CB"/>
    <w:rsid w:val="004D24BA"/>
    <w:rsid w:val="004D28B2"/>
    <w:rsid w:val="004D2919"/>
    <w:rsid w:val="004D2A96"/>
    <w:rsid w:val="004D3218"/>
    <w:rsid w:val="004D35F0"/>
    <w:rsid w:val="004D7B18"/>
    <w:rsid w:val="004E1090"/>
    <w:rsid w:val="004E23F7"/>
    <w:rsid w:val="004E28C1"/>
    <w:rsid w:val="004E38A1"/>
    <w:rsid w:val="004E3930"/>
    <w:rsid w:val="004E3BEF"/>
    <w:rsid w:val="004E3FBB"/>
    <w:rsid w:val="004E403C"/>
    <w:rsid w:val="004E454C"/>
    <w:rsid w:val="004E4A85"/>
    <w:rsid w:val="004E4AEF"/>
    <w:rsid w:val="004E4FC3"/>
    <w:rsid w:val="004E5298"/>
    <w:rsid w:val="004E55D6"/>
    <w:rsid w:val="004E5A0D"/>
    <w:rsid w:val="004E6D34"/>
    <w:rsid w:val="004F02BE"/>
    <w:rsid w:val="004F03C8"/>
    <w:rsid w:val="004F0D18"/>
    <w:rsid w:val="004F10D9"/>
    <w:rsid w:val="004F14FE"/>
    <w:rsid w:val="004F1886"/>
    <w:rsid w:val="004F192F"/>
    <w:rsid w:val="004F4157"/>
    <w:rsid w:val="004F442D"/>
    <w:rsid w:val="004F446F"/>
    <w:rsid w:val="004F47FC"/>
    <w:rsid w:val="004F570A"/>
    <w:rsid w:val="004F5F5A"/>
    <w:rsid w:val="004F618C"/>
    <w:rsid w:val="004F61F8"/>
    <w:rsid w:val="004F679C"/>
    <w:rsid w:val="004F68FA"/>
    <w:rsid w:val="004F6B47"/>
    <w:rsid w:val="004F744D"/>
    <w:rsid w:val="004F7758"/>
    <w:rsid w:val="00500497"/>
    <w:rsid w:val="005006E6"/>
    <w:rsid w:val="00500850"/>
    <w:rsid w:val="00500E7A"/>
    <w:rsid w:val="00501341"/>
    <w:rsid w:val="0050146B"/>
    <w:rsid w:val="00501B6F"/>
    <w:rsid w:val="005027E4"/>
    <w:rsid w:val="00502A24"/>
    <w:rsid w:val="00503F01"/>
    <w:rsid w:val="00504334"/>
    <w:rsid w:val="00504576"/>
    <w:rsid w:val="005055C8"/>
    <w:rsid w:val="0050595D"/>
    <w:rsid w:val="00505AB4"/>
    <w:rsid w:val="005063AB"/>
    <w:rsid w:val="00506434"/>
    <w:rsid w:val="00506999"/>
    <w:rsid w:val="00507B42"/>
    <w:rsid w:val="005105E2"/>
    <w:rsid w:val="00511531"/>
    <w:rsid w:val="00511E9E"/>
    <w:rsid w:val="00513517"/>
    <w:rsid w:val="00513889"/>
    <w:rsid w:val="00515704"/>
    <w:rsid w:val="00515937"/>
    <w:rsid w:val="00516366"/>
    <w:rsid w:val="00516F30"/>
    <w:rsid w:val="00517374"/>
    <w:rsid w:val="00517378"/>
    <w:rsid w:val="00517A5B"/>
    <w:rsid w:val="0052037D"/>
    <w:rsid w:val="00520951"/>
    <w:rsid w:val="00520BCC"/>
    <w:rsid w:val="00520EBB"/>
    <w:rsid w:val="00521C88"/>
    <w:rsid w:val="00522264"/>
    <w:rsid w:val="00522C4A"/>
    <w:rsid w:val="00524300"/>
    <w:rsid w:val="00524D98"/>
    <w:rsid w:val="005252DD"/>
    <w:rsid w:val="00525542"/>
    <w:rsid w:val="00525631"/>
    <w:rsid w:val="0052581D"/>
    <w:rsid w:val="00525C76"/>
    <w:rsid w:val="00525CC2"/>
    <w:rsid w:val="0052633C"/>
    <w:rsid w:val="00526813"/>
    <w:rsid w:val="005269B6"/>
    <w:rsid w:val="00526E66"/>
    <w:rsid w:val="00527250"/>
    <w:rsid w:val="00527727"/>
    <w:rsid w:val="005277DF"/>
    <w:rsid w:val="00527AFF"/>
    <w:rsid w:val="00530569"/>
    <w:rsid w:val="00530A81"/>
    <w:rsid w:val="005318BD"/>
    <w:rsid w:val="005329EE"/>
    <w:rsid w:val="00532C13"/>
    <w:rsid w:val="00532E39"/>
    <w:rsid w:val="005340DB"/>
    <w:rsid w:val="00535873"/>
    <w:rsid w:val="00535BFA"/>
    <w:rsid w:val="00535E0B"/>
    <w:rsid w:val="005369AB"/>
    <w:rsid w:val="00536B77"/>
    <w:rsid w:val="00536D39"/>
    <w:rsid w:val="0054014F"/>
    <w:rsid w:val="0054024D"/>
    <w:rsid w:val="00541288"/>
    <w:rsid w:val="0054135B"/>
    <w:rsid w:val="005414A2"/>
    <w:rsid w:val="0054172B"/>
    <w:rsid w:val="005419DA"/>
    <w:rsid w:val="0054235A"/>
    <w:rsid w:val="0054242B"/>
    <w:rsid w:val="00542FFA"/>
    <w:rsid w:val="00543007"/>
    <w:rsid w:val="00543AB7"/>
    <w:rsid w:val="00544649"/>
    <w:rsid w:val="005446C8"/>
    <w:rsid w:val="00544DAD"/>
    <w:rsid w:val="00544E5D"/>
    <w:rsid w:val="00544E7F"/>
    <w:rsid w:val="005451CA"/>
    <w:rsid w:val="005457A5"/>
    <w:rsid w:val="00545EF3"/>
    <w:rsid w:val="00546229"/>
    <w:rsid w:val="00546978"/>
    <w:rsid w:val="005473A3"/>
    <w:rsid w:val="00550913"/>
    <w:rsid w:val="00550CA9"/>
    <w:rsid w:val="00552021"/>
    <w:rsid w:val="005527BA"/>
    <w:rsid w:val="00552B4F"/>
    <w:rsid w:val="005534B7"/>
    <w:rsid w:val="00553B76"/>
    <w:rsid w:val="00555A11"/>
    <w:rsid w:val="00555E4A"/>
    <w:rsid w:val="00556375"/>
    <w:rsid w:val="00556621"/>
    <w:rsid w:val="005567FD"/>
    <w:rsid w:val="00556C72"/>
    <w:rsid w:val="00556DE1"/>
    <w:rsid w:val="0055773A"/>
    <w:rsid w:val="00557895"/>
    <w:rsid w:val="005579EA"/>
    <w:rsid w:val="0056078B"/>
    <w:rsid w:val="00560C85"/>
    <w:rsid w:val="00560E00"/>
    <w:rsid w:val="00560FA3"/>
    <w:rsid w:val="00561A94"/>
    <w:rsid w:val="0056204A"/>
    <w:rsid w:val="00562376"/>
    <w:rsid w:val="005623E1"/>
    <w:rsid w:val="005629BD"/>
    <w:rsid w:val="00562D68"/>
    <w:rsid w:val="00562E66"/>
    <w:rsid w:val="00562F31"/>
    <w:rsid w:val="005638F3"/>
    <w:rsid w:val="0056409E"/>
    <w:rsid w:val="00564E9A"/>
    <w:rsid w:val="00566462"/>
    <w:rsid w:val="0056654B"/>
    <w:rsid w:val="00566BF6"/>
    <w:rsid w:val="00566E04"/>
    <w:rsid w:val="00567958"/>
    <w:rsid w:val="005701F0"/>
    <w:rsid w:val="00572A0B"/>
    <w:rsid w:val="0057331E"/>
    <w:rsid w:val="00574303"/>
    <w:rsid w:val="00574438"/>
    <w:rsid w:val="005760C5"/>
    <w:rsid w:val="00576CC4"/>
    <w:rsid w:val="00576E7B"/>
    <w:rsid w:val="0058021A"/>
    <w:rsid w:val="0058084B"/>
    <w:rsid w:val="00580961"/>
    <w:rsid w:val="00580AD9"/>
    <w:rsid w:val="00580AF7"/>
    <w:rsid w:val="00581A51"/>
    <w:rsid w:val="00581F4B"/>
    <w:rsid w:val="005820C0"/>
    <w:rsid w:val="00582DC8"/>
    <w:rsid w:val="005836EE"/>
    <w:rsid w:val="00583872"/>
    <w:rsid w:val="00583BA8"/>
    <w:rsid w:val="00583CE4"/>
    <w:rsid w:val="00583EB8"/>
    <w:rsid w:val="00583F04"/>
    <w:rsid w:val="0058430B"/>
    <w:rsid w:val="0058468C"/>
    <w:rsid w:val="005849B5"/>
    <w:rsid w:val="00584BAA"/>
    <w:rsid w:val="0058555F"/>
    <w:rsid w:val="0058596A"/>
    <w:rsid w:val="005866CC"/>
    <w:rsid w:val="00586BA5"/>
    <w:rsid w:val="0058786F"/>
    <w:rsid w:val="00587F05"/>
    <w:rsid w:val="00587F2A"/>
    <w:rsid w:val="0059196C"/>
    <w:rsid w:val="00592240"/>
    <w:rsid w:val="0059386B"/>
    <w:rsid w:val="0059393C"/>
    <w:rsid w:val="005956B0"/>
    <w:rsid w:val="00595B20"/>
    <w:rsid w:val="0059715D"/>
    <w:rsid w:val="005971FA"/>
    <w:rsid w:val="00597AAE"/>
    <w:rsid w:val="005A04A8"/>
    <w:rsid w:val="005A052E"/>
    <w:rsid w:val="005A0DEF"/>
    <w:rsid w:val="005A1D78"/>
    <w:rsid w:val="005A2005"/>
    <w:rsid w:val="005A2881"/>
    <w:rsid w:val="005A2C71"/>
    <w:rsid w:val="005A3073"/>
    <w:rsid w:val="005A3D70"/>
    <w:rsid w:val="005A3D88"/>
    <w:rsid w:val="005A40D5"/>
    <w:rsid w:val="005A4392"/>
    <w:rsid w:val="005A44D9"/>
    <w:rsid w:val="005A4B54"/>
    <w:rsid w:val="005A5036"/>
    <w:rsid w:val="005A533A"/>
    <w:rsid w:val="005A67FA"/>
    <w:rsid w:val="005A715A"/>
    <w:rsid w:val="005A77ED"/>
    <w:rsid w:val="005A787B"/>
    <w:rsid w:val="005A7E86"/>
    <w:rsid w:val="005B0326"/>
    <w:rsid w:val="005B0A2B"/>
    <w:rsid w:val="005B14AF"/>
    <w:rsid w:val="005B242A"/>
    <w:rsid w:val="005B26CF"/>
    <w:rsid w:val="005B2A9D"/>
    <w:rsid w:val="005B3891"/>
    <w:rsid w:val="005B4111"/>
    <w:rsid w:val="005B4625"/>
    <w:rsid w:val="005B48BA"/>
    <w:rsid w:val="005B4B9E"/>
    <w:rsid w:val="005B54C8"/>
    <w:rsid w:val="005B5933"/>
    <w:rsid w:val="005B5C89"/>
    <w:rsid w:val="005B6316"/>
    <w:rsid w:val="005C0875"/>
    <w:rsid w:val="005C0D74"/>
    <w:rsid w:val="005C1408"/>
    <w:rsid w:val="005C14D4"/>
    <w:rsid w:val="005C155E"/>
    <w:rsid w:val="005C1576"/>
    <w:rsid w:val="005C1B11"/>
    <w:rsid w:val="005C32EE"/>
    <w:rsid w:val="005C3670"/>
    <w:rsid w:val="005C4187"/>
    <w:rsid w:val="005C64A4"/>
    <w:rsid w:val="005C6892"/>
    <w:rsid w:val="005C738C"/>
    <w:rsid w:val="005C74B5"/>
    <w:rsid w:val="005C756E"/>
    <w:rsid w:val="005C77FB"/>
    <w:rsid w:val="005C7AC1"/>
    <w:rsid w:val="005C7E94"/>
    <w:rsid w:val="005C7EE0"/>
    <w:rsid w:val="005D10C2"/>
    <w:rsid w:val="005D1E60"/>
    <w:rsid w:val="005D297D"/>
    <w:rsid w:val="005D29E9"/>
    <w:rsid w:val="005D3225"/>
    <w:rsid w:val="005D3E21"/>
    <w:rsid w:val="005D3E28"/>
    <w:rsid w:val="005D4B96"/>
    <w:rsid w:val="005D4EC8"/>
    <w:rsid w:val="005D5097"/>
    <w:rsid w:val="005D5A35"/>
    <w:rsid w:val="005D68C4"/>
    <w:rsid w:val="005D76F1"/>
    <w:rsid w:val="005E0CA3"/>
    <w:rsid w:val="005E1136"/>
    <w:rsid w:val="005E18C0"/>
    <w:rsid w:val="005E2021"/>
    <w:rsid w:val="005E28F6"/>
    <w:rsid w:val="005E2DB2"/>
    <w:rsid w:val="005E376D"/>
    <w:rsid w:val="005E3952"/>
    <w:rsid w:val="005E424B"/>
    <w:rsid w:val="005E43C7"/>
    <w:rsid w:val="005E459C"/>
    <w:rsid w:val="005E4D36"/>
    <w:rsid w:val="005E4FC2"/>
    <w:rsid w:val="005E5800"/>
    <w:rsid w:val="005E74D4"/>
    <w:rsid w:val="005F0FB8"/>
    <w:rsid w:val="005F16DD"/>
    <w:rsid w:val="005F1C88"/>
    <w:rsid w:val="005F2C12"/>
    <w:rsid w:val="005F2D00"/>
    <w:rsid w:val="005F5837"/>
    <w:rsid w:val="005F5DF4"/>
    <w:rsid w:val="005F6F04"/>
    <w:rsid w:val="005F6F9C"/>
    <w:rsid w:val="005F768F"/>
    <w:rsid w:val="005F7A51"/>
    <w:rsid w:val="006005CA"/>
    <w:rsid w:val="00600650"/>
    <w:rsid w:val="00600844"/>
    <w:rsid w:val="006020AE"/>
    <w:rsid w:val="006020CC"/>
    <w:rsid w:val="00602376"/>
    <w:rsid w:val="00602FAF"/>
    <w:rsid w:val="00603075"/>
    <w:rsid w:val="00604DB8"/>
    <w:rsid w:val="006067F5"/>
    <w:rsid w:val="0060687F"/>
    <w:rsid w:val="00606B3E"/>
    <w:rsid w:val="00606E9B"/>
    <w:rsid w:val="0061007D"/>
    <w:rsid w:val="006102A4"/>
    <w:rsid w:val="00610E6E"/>
    <w:rsid w:val="0061143B"/>
    <w:rsid w:val="006119B4"/>
    <w:rsid w:val="00612583"/>
    <w:rsid w:val="006134A9"/>
    <w:rsid w:val="00614C2E"/>
    <w:rsid w:val="00614C5F"/>
    <w:rsid w:val="00614C70"/>
    <w:rsid w:val="00614E7A"/>
    <w:rsid w:val="0061516C"/>
    <w:rsid w:val="0061549C"/>
    <w:rsid w:val="006157EF"/>
    <w:rsid w:val="00616DBD"/>
    <w:rsid w:val="006174BB"/>
    <w:rsid w:val="00620882"/>
    <w:rsid w:val="0062219F"/>
    <w:rsid w:val="0062288C"/>
    <w:rsid w:val="00623C66"/>
    <w:rsid w:val="00623D94"/>
    <w:rsid w:val="00624CCB"/>
    <w:rsid w:val="0062503A"/>
    <w:rsid w:val="0062508D"/>
    <w:rsid w:val="006250DE"/>
    <w:rsid w:val="0062603F"/>
    <w:rsid w:val="006261FB"/>
    <w:rsid w:val="00626878"/>
    <w:rsid w:val="00626C5B"/>
    <w:rsid w:val="00626DDB"/>
    <w:rsid w:val="0062784C"/>
    <w:rsid w:val="00627E87"/>
    <w:rsid w:val="00630F35"/>
    <w:rsid w:val="0063108B"/>
    <w:rsid w:val="0063171C"/>
    <w:rsid w:val="006325B3"/>
    <w:rsid w:val="00632757"/>
    <w:rsid w:val="00632CAD"/>
    <w:rsid w:val="00632E01"/>
    <w:rsid w:val="0063350A"/>
    <w:rsid w:val="00633CFB"/>
    <w:rsid w:val="00633F51"/>
    <w:rsid w:val="006343FE"/>
    <w:rsid w:val="006344DA"/>
    <w:rsid w:val="00634E9F"/>
    <w:rsid w:val="0063602A"/>
    <w:rsid w:val="0063617E"/>
    <w:rsid w:val="006365DD"/>
    <w:rsid w:val="00637233"/>
    <w:rsid w:val="00637399"/>
    <w:rsid w:val="00637D1E"/>
    <w:rsid w:val="00637FBF"/>
    <w:rsid w:val="00640203"/>
    <w:rsid w:val="00640965"/>
    <w:rsid w:val="00641118"/>
    <w:rsid w:val="00641321"/>
    <w:rsid w:val="006422E3"/>
    <w:rsid w:val="00642C0B"/>
    <w:rsid w:val="00642DB7"/>
    <w:rsid w:val="00643192"/>
    <w:rsid w:val="0064324E"/>
    <w:rsid w:val="00644311"/>
    <w:rsid w:val="006446B8"/>
    <w:rsid w:val="00644A69"/>
    <w:rsid w:val="00645350"/>
    <w:rsid w:val="00645403"/>
    <w:rsid w:val="0064589F"/>
    <w:rsid w:val="00646314"/>
    <w:rsid w:val="00647B2B"/>
    <w:rsid w:val="00647EB5"/>
    <w:rsid w:val="00647EE3"/>
    <w:rsid w:val="00650B72"/>
    <w:rsid w:val="00650C5B"/>
    <w:rsid w:val="00651349"/>
    <w:rsid w:val="006516F0"/>
    <w:rsid w:val="00652B8D"/>
    <w:rsid w:val="006530E9"/>
    <w:rsid w:val="00653451"/>
    <w:rsid w:val="00654C98"/>
    <w:rsid w:val="00654E55"/>
    <w:rsid w:val="006555EC"/>
    <w:rsid w:val="00655D97"/>
    <w:rsid w:val="006561B4"/>
    <w:rsid w:val="00656503"/>
    <w:rsid w:val="006565C6"/>
    <w:rsid w:val="006571B6"/>
    <w:rsid w:val="00657698"/>
    <w:rsid w:val="00657FB3"/>
    <w:rsid w:val="006607FA"/>
    <w:rsid w:val="006624C5"/>
    <w:rsid w:val="006636FB"/>
    <w:rsid w:val="00663A3C"/>
    <w:rsid w:val="00663D0E"/>
    <w:rsid w:val="0066534A"/>
    <w:rsid w:val="006660C5"/>
    <w:rsid w:val="0066649D"/>
    <w:rsid w:val="0066661D"/>
    <w:rsid w:val="00666DEE"/>
    <w:rsid w:val="00666F98"/>
    <w:rsid w:val="00666FFB"/>
    <w:rsid w:val="00667E37"/>
    <w:rsid w:val="00667FDB"/>
    <w:rsid w:val="0067027B"/>
    <w:rsid w:val="0067131A"/>
    <w:rsid w:val="0067140A"/>
    <w:rsid w:val="00672322"/>
    <w:rsid w:val="0067259E"/>
    <w:rsid w:val="00672629"/>
    <w:rsid w:val="0067274B"/>
    <w:rsid w:val="006745D1"/>
    <w:rsid w:val="00674796"/>
    <w:rsid w:val="00674BD2"/>
    <w:rsid w:val="00674C90"/>
    <w:rsid w:val="006768EF"/>
    <w:rsid w:val="00676ADC"/>
    <w:rsid w:val="00677743"/>
    <w:rsid w:val="00677DCC"/>
    <w:rsid w:val="00680F26"/>
    <w:rsid w:val="00681012"/>
    <w:rsid w:val="00681391"/>
    <w:rsid w:val="00681804"/>
    <w:rsid w:val="00681815"/>
    <w:rsid w:val="00681ED1"/>
    <w:rsid w:val="00682E3B"/>
    <w:rsid w:val="00682F92"/>
    <w:rsid w:val="00683457"/>
    <w:rsid w:val="00684FD4"/>
    <w:rsid w:val="00685BB4"/>
    <w:rsid w:val="00685DBA"/>
    <w:rsid w:val="00687369"/>
    <w:rsid w:val="00690197"/>
    <w:rsid w:val="00690216"/>
    <w:rsid w:val="006911D2"/>
    <w:rsid w:val="0069126B"/>
    <w:rsid w:val="0069132A"/>
    <w:rsid w:val="006913CB"/>
    <w:rsid w:val="006917E0"/>
    <w:rsid w:val="00691E37"/>
    <w:rsid w:val="006929BB"/>
    <w:rsid w:val="00693875"/>
    <w:rsid w:val="00694845"/>
    <w:rsid w:val="00695025"/>
    <w:rsid w:val="00695425"/>
    <w:rsid w:val="00695981"/>
    <w:rsid w:val="00696DA8"/>
    <w:rsid w:val="006977AF"/>
    <w:rsid w:val="00697C67"/>
    <w:rsid w:val="006A02BB"/>
    <w:rsid w:val="006A0BD8"/>
    <w:rsid w:val="006A0C44"/>
    <w:rsid w:val="006A17F7"/>
    <w:rsid w:val="006A1A6E"/>
    <w:rsid w:val="006A2085"/>
    <w:rsid w:val="006A3966"/>
    <w:rsid w:val="006A40D6"/>
    <w:rsid w:val="006A45BC"/>
    <w:rsid w:val="006A45FC"/>
    <w:rsid w:val="006A52F0"/>
    <w:rsid w:val="006A556A"/>
    <w:rsid w:val="006A56BD"/>
    <w:rsid w:val="006A5D1A"/>
    <w:rsid w:val="006A60F2"/>
    <w:rsid w:val="006A6627"/>
    <w:rsid w:val="006A6954"/>
    <w:rsid w:val="006A794D"/>
    <w:rsid w:val="006B015F"/>
    <w:rsid w:val="006B09CC"/>
    <w:rsid w:val="006B0A01"/>
    <w:rsid w:val="006B0F4E"/>
    <w:rsid w:val="006B1FF8"/>
    <w:rsid w:val="006B29C1"/>
    <w:rsid w:val="006B2D55"/>
    <w:rsid w:val="006B308B"/>
    <w:rsid w:val="006B30F6"/>
    <w:rsid w:val="006B3300"/>
    <w:rsid w:val="006B392B"/>
    <w:rsid w:val="006B41F4"/>
    <w:rsid w:val="006B472A"/>
    <w:rsid w:val="006B503A"/>
    <w:rsid w:val="006B5411"/>
    <w:rsid w:val="006B5D16"/>
    <w:rsid w:val="006B6C0B"/>
    <w:rsid w:val="006B6FEE"/>
    <w:rsid w:val="006B7713"/>
    <w:rsid w:val="006B7F6E"/>
    <w:rsid w:val="006C051F"/>
    <w:rsid w:val="006C0A93"/>
    <w:rsid w:val="006C2122"/>
    <w:rsid w:val="006C2E39"/>
    <w:rsid w:val="006C2FA1"/>
    <w:rsid w:val="006C30A2"/>
    <w:rsid w:val="006C3593"/>
    <w:rsid w:val="006C418F"/>
    <w:rsid w:val="006C4532"/>
    <w:rsid w:val="006C46DE"/>
    <w:rsid w:val="006C478E"/>
    <w:rsid w:val="006C4C6F"/>
    <w:rsid w:val="006C5E24"/>
    <w:rsid w:val="006C5EB0"/>
    <w:rsid w:val="006C64AE"/>
    <w:rsid w:val="006C6DFD"/>
    <w:rsid w:val="006C6EC0"/>
    <w:rsid w:val="006C74D9"/>
    <w:rsid w:val="006D06C6"/>
    <w:rsid w:val="006D098F"/>
    <w:rsid w:val="006D1BBC"/>
    <w:rsid w:val="006D325D"/>
    <w:rsid w:val="006D43DC"/>
    <w:rsid w:val="006D4662"/>
    <w:rsid w:val="006D533E"/>
    <w:rsid w:val="006D53CF"/>
    <w:rsid w:val="006D57D3"/>
    <w:rsid w:val="006D5B0B"/>
    <w:rsid w:val="006D6568"/>
    <w:rsid w:val="006D6748"/>
    <w:rsid w:val="006D733B"/>
    <w:rsid w:val="006D73DC"/>
    <w:rsid w:val="006D7989"/>
    <w:rsid w:val="006E0715"/>
    <w:rsid w:val="006E2782"/>
    <w:rsid w:val="006E323B"/>
    <w:rsid w:val="006E3E9D"/>
    <w:rsid w:val="006E5311"/>
    <w:rsid w:val="006E544D"/>
    <w:rsid w:val="006E5BE2"/>
    <w:rsid w:val="006E5C92"/>
    <w:rsid w:val="006E673B"/>
    <w:rsid w:val="006E6863"/>
    <w:rsid w:val="006E6A5E"/>
    <w:rsid w:val="006E75C0"/>
    <w:rsid w:val="006F0696"/>
    <w:rsid w:val="006F074E"/>
    <w:rsid w:val="006F0E88"/>
    <w:rsid w:val="006F1AB5"/>
    <w:rsid w:val="006F1E46"/>
    <w:rsid w:val="006F2B90"/>
    <w:rsid w:val="006F2F19"/>
    <w:rsid w:val="006F2FCC"/>
    <w:rsid w:val="006F2FDF"/>
    <w:rsid w:val="006F32B5"/>
    <w:rsid w:val="006F349A"/>
    <w:rsid w:val="006F3A9E"/>
    <w:rsid w:val="006F4D9F"/>
    <w:rsid w:val="006F548F"/>
    <w:rsid w:val="006F5C6C"/>
    <w:rsid w:val="006F705C"/>
    <w:rsid w:val="0070030E"/>
    <w:rsid w:val="0070177A"/>
    <w:rsid w:val="007042C6"/>
    <w:rsid w:val="0070433B"/>
    <w:rsid w:val="00704704"/>
    <w:rsid w:val="00704848"/>
    <w:rsid w:val="00705087"/>
    <w:rsid w:val="00705607"/>
    <w:rsid w:val="0070565C"/>
    <w:rsid w:val="007056CC"/>
    <w:rsid w:val="00705D25"/>
    <w:rsid w:val="0070638F"/>
    <w:rsid w:val="00706BAA"/>
    <w:rsid w:val="0070705B"/>
    <w:rsid w:val="00707104"/>
    <w:rsid w:val="00707F02"/>
    <w:rsid w:val="00707FFA"/>
    <w:rsid w:val="007108FD"/>
    <w:rsid w:val="007111D5"/>
    <w:rsid w:val="00711A30"/>
    <w:rsid w:val="007120AF"/>
    <w:rsid w:val="007123C7"/>
    <w:rsid w:val="00716384"/>
    <w:rsid w:val="00716EFF"/>
    <w:rsid w:val="007179E0"/>
    <w:rsid w:val="00717C2B"/>
    <w:rsid w:val="00717C89"/>
    <w:rsid w:val="007206B3"/>
    <w:rsid w:val="0072108B"/>
    <w:rsid w:val="00721D9B"/>
    <w:rsid w:val="00721E98"/>
    <w:rsid w:val="007223F8"/>
    <w:rsid w:val="0072270C"/>
    <w:rsid w:val="00722786"/>
    <w:rsid w:val="007228BD"/>
    <w:rsid w:val="00722ED4"/>
    <w:rsid w:val="00723075"/>
    <w:rsid w:val="00723A1B"/>
    <w:rsid w:val="00724202"/>
    <w:rsid w:val="0072493E"/>
    <w:rsid w:val="007250E1"/>
    <w:rsid w:val="0072563D"/>
    <w:rsid w:val="0073075E"/>
    <w:rsid w:val="00730BAC"/>
    <w:rsid w:val="00732858"/>
    <w:rsid w:val="00733406"/>
    <w:rsid w:val="0073361C"/>
    <w:rsid w:val="00734CA9"/>
    <w:rsid w:val="00734E6C"/>
    <w:rsid w:val="00735142"/>
    <w:rsid w:val="007352E5"/>
    <w:rsid w:val="00735AE9"/>
    <w:rsid w:val="00735D96"/>
    <w:rsid w:val="00735FE8"/>
    <w:rsid w:val="00736932"/>
    <w:rsid w:val="00737310"/>
    <w:rsid w:val="007375FB"/>
    <w:rsid w:val="00737ED3"/>
    <w:rsid w:val="0074033E"/>
    <w:rsid w:val="00740FA4"/>
    <w:rsid w:val="00740FD5"/>
    <w:rsid w:val="00741830"/>
    <w:rsid w:val="0074288F"/>
    <w:rsid w:val="00742972"/>
    <w:rsid w:val="007444E2"/>
    <w:rsid w:val="00746CA3"/>
    <w:rsid w:val="007470AB"/>
    <w:rsid w:val="00747D80"/>
    <w:rsid w:val="0075269C"/>
    <w:rsid w:val="00752BC7"/>
    <w:rsid w:val="00754011"/>
    <w:rsid w:val="00754D8F"/>
    <w:rsid w:val="00754DF5"/>
    <w:rsid w:val="007556FB"/>
    <w:rsid w:val="00755F67"/>
    <w:rsid w:val="00756F7B"/>
    <w:rsid w:val="00760264"/>
    <w:rsid w:val="00760651"/>
    <w:rsid w:val="007608F6"/>
    <w:rsid w:val="007609D9"/>
    <w:rsid w:val="00760A7B"/>
    <w:rsid w:val="007616A2"/>
    <w:rsid w:val="007616CE"/>
    <w:rsid w:val="007619DB"/>
    <w:rsid w:val="007623F8"/>
    <w:rsid w:val="00762B4F"/>
    <w:rsid w:val="00762C9A"/>
    <w:rsid w:val="00763868"/>
    <w:rsid w:val="00763C08"/>
    <w:rsid w:val="00764640"/>
    <w:rsid w:val="00764AFE"/>
    <w:rsid w:val="0076527B"/>
    <w:rsid w:val="0076557D"/>
    <w:rsid w:val="0076614D"/>
    <w:rsid w:val="00766B4C"/>
    <w:rsid w:val="00766F86"/>
    <w:rsid w:val="00766F9F"/>
    <w:rsid w:val="007677C2"/>
    <w:rsid w:val="00770414"/>
    <w:rsid w:val="00770A78"/>
    <w:rsid w:val="007719DA"/>
    <w:rsid w:val="00771E0B"/>
    <w:rsid w:val="007720FD"/>
    <w:rsid w:val="00772B09"/>
    <w:rsid w:val="00772B97"/>
    <w:rsid w:val="00772E93"/>
    <w:rsid w:val="00772EDC"/>
    <w:rsid w:val="007733A5"/>
    <w:rsid w:val="00773E7E"/>
    <w:rsid w:val="00774902"/>
    <w:rsid w:val="007749B4"/>
    <w:rsid w:val="00776515"/>
    <w:rsid w:val="007765E9"/>
    <w:rsid w:val="0077677B"/>
    <w:rsid w:val="007769FB"/>
    <w:rsid w:val="00776EBB"/>
    <w:rsid w:val="00777641"/>
    <w:rsid w:val="00777BB3"/>
    <w:rsid w:val="00780426"/>
    <w:rsid w:val="00781CA5"/>
    <w:rsid w:val="00782694"/>
    <w:rsid w:val="00782DE3"/>
    <w:rsid w:val="00782DFE"/>
    <w:rsid w:val="007844D4"/>
    <w:rsid w:val="007848BE"/>
    <w:rsid w:val="007854F6"/>
    <w:rsid w:val="007857CA"/>
    <w:rsid w:val="007862DD"/>
    <w:rsid w:val="00786D89"/>
    <w:rsid w:val="0078705D"/>
    <w:rsid w:val="007903BA"/>
    <w:rsid w:val="00790D8D"/>
    <w:rsid w:val="007912BD"/>
    <w:rsid w:val="007916B0"/>
    <w:rsid w:val="007924C3"/>
    <w:rsid w:val="0079263D"/>
    <w:rsid w:val="007926CD"/>
    <w:rsid w:val="007936A0"/>
    <w:rsid w:val="00793890"/>
    <w:rsid w:val="007949DD"/>
    <w:rsid w:val="00794BE0"/>
    <w:rsid w:val="00794F33"/>
    <w:rsid w:val="007970C4"/>
    <w:rsid w:val="00797359"/>
    <w:rsid w:val="007A02A9"/>
    <w:rsid w:val="007A05A4"/>
    <w:rsid w:val="007A05BA"/>
    <w:rsid w:val="007A0AA6"/>
    <w:rsid w:val="007A11FA"/>
    <w:rsid w:val="007A133C"/>
    <w:rsid w:val="007A137C"/>
    <w:rsid w:val="007A1653"/>
    <w:rsid w:val="007A26B5"/>
    <w:rsid w:val="007A3EB0"/>
    <w:rsid w:val="007A3F15"/>
    <w:rsid w:val="007A4771"/>
    <w:rsid w:val="007A5941"/>
    <w:rsid w:val="007A5F80"/>
    <w:rsid w:val="007A67B3"/>
    <w:rsid w:val="007A6A3E"/>
    <w:rsid w:val="007A6C70"/>
    <w:rsid w:val="007A7DC8"/>
    <w:rsid w:val="007B0747"/>
    <w:rsid w:val="007B08D1"/>
    <w:rsid w:val="007B09B3"/>
    <w:rsid w:val="007B0A94"/>
    <w:rsid w:val="007B15DA"/>
    <w:rsid w:val="007B1837"/>
    <w:rsid w:val="007B36BB"/>
    <w:rsid w:val="007B3B21"/>
    <w:rsid w:val="007B4323"/>
    <w:rsid w:val="007B4813"/>
    <w:rsid w:val="007B5057"/>
    <w:rsid w:val="007B55DE"/>
    <w:rsid w:val="007B5923"/>
    <w:rsid w:val="007B59DA"/>
    <w:rsid w:val="007B5D7A"/>
    <w:rsid w:val="007B5E82"/>
    <w:rsid w:val="007B5FF4"/>
    <w:rsid w:val="007B6095"/>
    <w:rsid w:val="007B6BF3"/>
    <w:rsid w:val="007B7C62"/>
    <w:rsid w:val="007C07D5"/>
    <w:rsid w:val="007C0E38"/>
    <w:rsid w:val="007C0E64"/>
    <w:rsid w:val="007C12F9"/>
    <w:rsid w:val="007C143A"/>
    <w:rsid w:val="007C34C6"/>
    <w:rsid w:val="007C3763"/>
    <w:rsid w:val="007C4208"/>
    <w:rsid w:val="007C4276"/>
    <w:rsid w:val="007C468C"/>
    <w:rsid w:val="007C5659"/>
    <w:rsid w:val="007C66FE"/>
    <w:rsid w:val="007C706E"/>
    <w:rsid w:val="007C70C7"/>
    <w:rsid w:val="007C718B"/>
    <w:rsid w:val="007C7A10"/>
    <w:rsid w:val="007C7BD5"/>
    <w:rsid w:val="007D0688"/>
    <w:rsid w:val="007D0906"/>
    <w:rsid w:val="007D0E06"/>
    <w:rsid w:val="007D0EE6"/>
    <w:rsid w:val="007D12BD"/>
    <w:rsid w:val="007D1307"/>
    <w:rsid w:val="007D1394"/>
    <w:rsid w:val="007D196A"/>
    <w:rsid w:val="007D248B"/>
    <w:rsid w:val="007D2536"/>
    <w:rsid w:val="007D2CDF"/>
    <w:rsid w:val="007D349B"/>
    <w:rsid w:val="007D3889"/>
    <w:rsid w:val="007D3DAC"/>
    <w:rsid w:val="007D4046"/>
    <w:rsid w:val="007D429A"/>
    <w:rsid w:val="007D477A"/>
    <w:rsid w:val="007D47A4"/>
    <w:rsid w:val="007D5200"/>
    <w:rsid w:val="007D5DFF"/>
    <w:rsid w:val="007D6035"/>
    <w:rsid w:val="007D6A07"/>
    <w:rsid w:val="007D6C24"/>
    <w:rsid w:val="007D6C48"/>
    <w:rsid w:val="007D7983"/>
    <w:rsid w:val="007D7BD0"/>
    <w:rsid w:val="007D7F75"/>
    <w:rsid w:val="007E0E1D"/>
    <w:rsid w:val="007E1034"/>
    <w:rsid w:val="007E200C"/>
    <w:rsid w:val="007E2030"/>
    <w:rsid w:val="007E2388"/>
    <w:rsid w:val="007E2663"/>
    <w:rsid w:val="007E3844"/>
    <w:rsid w:val="007E3ABA"/>
    <w:rsid w:val="007E4D26"/>
    <w:rsid w:val="007E4D3A"/>
    <w:rsid w:val="007E505D"/>
    <w:rsid w:val="007E51F4"/>
    <w:rsid w:val="007E54BF"/>
    <w:rsid w:val="007E5FBC"/>
    <w:rsid w:val="007E60E3"/>
    <w:rsid w:val="007E62E0"/>
    <w:rsid w:val="007E6346"/>
    <w:rsid w:val="007E6903"/>
    <w:rsid w:val="007E6AAA"/>
    <w:rsid w:val="007E71A1"/>
    <w:rsid w:val="007E7896"/>
    <w:rsid w:val="007E7DE7"/>
    <w:rsid w:val="007F09E4"/>
    <w:rsid w:val="007F0B7A"/>
    <w:rsid w:val="007F0CD6"/>
    <w:rsid w:val="007F0D1A"/>
    <w:rsid w:val="007F0E1E"/>
    <w:rsid w:val="007F1108"/>
    <w:rsid w:val="007F1109"/>
    <w:rsid w:val="007F1919"/>
    <w:rsid w:val="007F1B85"/>
    <w:rsid w:val="007F2448"/>
    <w:rsid w:val="007F27E3"/>
    <w:rsid w:val="007F28AF"/>
    <w:rsid w:val="007F29DA"/>
    <w:rsid w:val="007F2A40"/>
    <w:rsid w:val="007F2D07"/>
    <w:rsid w:val="007F32E9"/>
    <w:rsid w:val="007F3335"/>
    <w:rsid w:val="007F3A33"/>
    <w:rsid w:val="007F3D17"/>
    <w:rsid w:val="007F3DAB"/>
    <w:rsid w:val="007F3E0D"/>
    <w:rsid w:val="007F3F6F"/>
    <w:rsid w:val="007F3FFE"/>
    <w:rsid w:val="007F46E4"/>
    <w:rsid w:val="007F551B"/>
    <w:rsid w:val="007F5EA7"/>
    <w:rsid w:val="007F6B5E"/>
    <w:rsid w:val="007F7341"/>
    <w:rsid w:val="00800858"/>
    <w:rsid w:val="0080091F"/>
    <w:rsid w:val="0080127D"/>
    <w:rsid w:val="008013B3"/>
    <w:rsid w:val="00801E9D"/>
    <w:rsid w:val="00802258"/>
    <w:rsid w:val="00803023"/>
    <w:rsid w:val="008038D6"/>
    <w:rsid w:val="008041C9"/>
    <w:rsid w:val="008045F5"/>
    <w:rsid w:val="0080532F"/>
    <w:rsid w:val="00806BD8"/>
    <w:rsid w:val="00806ECB"/>
    <w:rsid w:val="00807487"/>
    <w:rsid w:val="0081114F"/>
    <w:rsid w:val="008118E6"/>
    <w:rsid w:val="00811E52"/>
    <w:rsid w:val="00812A06"/>
    <w:rsid w:val="00812F22"/>
    <w:rsid w:val="008132E8"/>
    <w:rsid w:val="0081338C"/>
    <w:rsid w:val="00813B8A"/>
    <w:rsid w:val="008141F5"/>
    <w:rsid w:val="00814B94"/>
    <w:rsid w:val="008157CA"/>
    <w:rsid w:val="00815D3D"/>
    <w:rsid w:val="008175D1"/>
    <w:rsid w:val="00817CCC"/>
    <w:rsid w:val="00820DC2"/>
    <w:rsid w:val="00822862"/>
    <w:rsid w:val="0082355E"/>
    <w:rsid w:val="00823763"/>
    <w:rsid w:val="008239CE"/>
    <w:rsid w:val="00825033"/>
    <w:rsid w:val="008256DC"/>
    <w:rsid w:val="008257D9"/>
    <w:rsid w:val="00826603"/>
    <w:rsid w:val="00826865"/>
    <w:rsid w:val="008273BA"/>
    <w:rsid w:val="00827A73"/>
    <w:rsid w:val="00830308"/>
    <w:rsid w:val="008304A2"/>
    <w:rsid w:val="00830946"/>
    <w:rsid w:val="008316BE"/>
    <w:rsid w:val="00831D3B"/>
    <w:rsid w:val="00832F2C"/>
    <w:rsid w:val="00832F4E"/>
    <w:rsid w:val="00833C5A"/>
    <w:rsid w:val="0083442F"/>
    <w:rsid w:val="008353F8"/>
    <w:rsid w:val="008362C8"/>
    <w:rsid w:val="00836744"/>
    <w:rsid w:val="00836AD9"/>
    <w:rsid w:val="00836EA3"/>
    <w:rsid w:val="00837894"/>
    <w:rsid w:val="0084046E"/>
    <w:rsid w:val="008407E3"/>
    <w:rsid w:val="00841D83"/>
    <w:rsid w:val="00842109"/>
    <w:rsid w:val="0084250D"/>
    <w:rsid w:val="008427EC"/>
    <w:rsid w:val="0084482C"/>
    <w:rsid w:val="00844ED8"/>
    <w:rsid w:val="0084543E"/>
    <w:rsid w:val="0084577F"/>
    <w:rsid w:val="0084597A"/>
    <w:rsid w:val="00846700"/>
    <w:rsid w:val="00846B13"/>
    <w:rsid w:val="00847647"/>
    <w:rsid w:val="00850216"/>
    <w:rsid w:val="00850395"/>
    <w:rsid w:val="0085060D"/>
    <w:rsid w:val="008509EB"/>
    <w:rsid w:val="00850C52"/>
    <w:rsid w:val="00850FD7"/>
    <w:rsid w:val="008514E9"/>
    <w:rsid w:val="008531D9"/>
    <w:rsid w:val="00853FBB"/>
    <w:rsid w:val="008540B3"/>
    <w:rsid w:val="008556E7"/>
    <w:rsid w:val="008558A7"/>
    <w:rsid w:val="00855C34"/>
    <w:rsid w:val="0085653A"/>
    <w:rsid w:val="00856BCB"/>
    <w:rsid w:val="008571D5"/>
    <w:rsid w:val="0085782F"/>
    <w:rsid w:val="00860AF9"/>
    <w:rsid w:val="008613D1"/>
    <w:rsid w:val="0086235E"/>
    <w:rsid w:val="00863E20"/>
    <w:rsid w:val="00864708"/>
    <w:rsid w:val="00864C99"/>
    <w:rsid w:val="0086517E"/>
    <w:rsid w:val="0086535F"/>
    <w:rsid w:val="008665E6"/>
    <w:rsid w:val="00867671"/>
    <w:rsid w:val="0086799A"/>
    <w:rsid w:val="00867C9F"/>
    <w:rsid w:val="00867DCF"/>
    <w:rsid w:val="00867FBF"/>
    <w:rsid w:val="00870E9E"/>
    <w:rsid w:val="00871139"/>
    <w:rsid w:val="00871300"/>
    <w:rsid w:val="008715BD"/>
    <w:rsid w:val="00871D19"/>
    <w:rsid w:val="00872666"/>
    <w:rsid w:val="00872A9C"/>
    <w:rsid w:val="00872BBC"/>
    <w:rsid w:val="00873BB7"/>
    <w:rsid w:val="008740AB"/>
    <w:rsid w:val="00874DBE"/>
    <w:rsid w:val="00874E93"/>
    <w:rsid w:val="00875314"/>
    <w:rsid w:val="00875BD1"/>
    <w:rsid w:val="00876457"/>
    <w:rsid w:val="00876667"/>
    <w:rsid w:val="00877063"/>
    <w:rsid w:val="00877395"/>
    <w:rsid w:val="00877407"/>
    <w:rsid w:val="00880901"/>
    <w:rsid w:val="00880D00"/>
    <w:rsid w:val="008811C8"/>
    <w:rsid w:val="008817B3"/>
    <w:rsid w:val="008819D1"/>
    <w:rsid w:val="008829F8"/>
    <w:rsid w:val="00882C3B"/>
    <w:rsid w:val="00882F9F"/>
    <w:rsid w:val="008836A4"/>
    <w:rsid w:val="0088401E"/>
    <w:rsid w:val="0088434E"/>
    <w:rsid w:val="008847BA"/>
    <w:rsid w:val="00884F34"/>
    <w:rsid w:val="0088573B"/>
    <w:rsid w:val="0088593D"/>
    <w:rsid w:val="00885D21"/>
    <w:rsid w:val="008873E3"/>
    <w:rsid w:val="0089043A"/>
    <w:rsid w:val="00890A01"/>
    <w:rsid w:val="00890EE5"/>
    <w:rsid w:val="008912EA"/>
    <w:rsid w:val="0089198B"/>
    <w:rsid w:val="00891CD2"/>
    <w:rsid w:val="00892558"/>
    <w:rsid w:val="00893867"/>
    <w:rsid w:val="00893998"/>
    <w:rsid w:val="008952BD"/>
    <w:rsid w:val="00895BE2"/>
    <w:rsid w:val="008968FC"/>
    <w:rsid w:val="00897C28"/>
    <w:rsid w:val="00897D36"/>
    <w:rsid w:val="00897DCE"/>
    <w:rsid w:val="00897F4F"/>
    <w:rsid w:val="008A0727"/>
    <w:rsid w:val="008A164D"/>
    <w:rsid w:val="008A17AB"/>
    <w:rsid w:val="008A238E"/>
    <w:rsid w:val="008A25D6"/>
    <w:rsid w:val="008A267D"/>
    <w:rsid w:val="008A290F"/>
    <w:rsid w:val="008A2C5D"/>
    <w:rsid w:val="008A2C97"/>
    <w:rsid w:val="008A2CDB"/>
    <w:rsid w:val="008A35D0"/>
    <w:rsid w:val="008A3D37"/>
    <w:rsid w:val="008A4CBC"/>
    <w:rsid w:val="008A4EEF"/>
    <w:rsid w:val="008A53C7"/>
    <w:rsid w:val="008A5A72"/>
    <w:rsid w:val="008A5B3F"/>
    <w:rsid w:val="008A6476"/>
    <w:rsid w:val="008A72AF"/>
    <w:rsid w:val="008A795F"/>
    <w:rsid w:val="008A7970"/>
    <w:rsid w:val="008B0ABA"/>
    <w:rsid w:val="008B0B76"/>
    <w:rsid w:val="008B1866"/>
    <w:rsid w:val="008B2419"/>
    <w:rsid w:val="008B342D"/>
    <w:rsid w:val="008B34DD"/>
    <w:rsid w:val="008B3D1F"/>
    <w:rsid w:val="008B47CC"/>
    <w:rsid w:val="008B5055"/>
    <w:rsid w:val="008B50C8"/>
    <w:rsid w:val="008B539A"/>
    <w:rsid w:val="008B5986"/>
    <w:rsid w:val="008B6138"/>
    <w:rsid w:val="008C004C"/>
    <w:rsid w:val="008C01F2"/>
    <w:rsid w:val="008C0554"/>
    <w:rsid w:val="008C09DC"/>
    <w:rsid w:val="008C143D"/>
    <w:rsid w:val="008C16F6"/>
    <w:rsid w:val="008C1BDF"/>
    <w:rsid w:val="008C24A4"/>
    <w:rsid w:val="008C2D29"/>
    <w:rsid w:val="008C3280"/>
    <w:rsid w:val="008C51A4"/>
    <w:rsid w:val="008C69BC"/>
    <w:rsid w:val="008C6C03"/>
    <w:rsid w:val="008C6D52"/>
    <w:rsid w:val="008C70FF"/>
    <w:rsid w:val="008D0438"/>
    <w:rsid w:val="008D1567"/>
    <w:rsid w:val="008D1592"/>
    <w:rsid w:val="008D1636"/>
    <w:rsid w:val="008D1CAF"/>
    <w:rsid w:val="008D224C"/>
    <w:rsid w:val="008D260E"/>
    <w:rsid w:val="008D27F4"/>
    <w:rsid w:val="008D3231"/>
    <w:rsid w:val="008D3BBC"/>
    <w:rsid w:val="008D3BC4"/>
    <w:rsid w:val="008D42FB"/>
    <w:rsid w:val="008D4818"/>
    <w:rsid w:val="008D4FFA"/>
    <w:rsid w:val="008D5BFE"/>
    <w:rsid w:val="008D5E84"/>
    <w:rsid w:val="008D61D9"/>
    <w:rsid w:val="008D6440"/>
    <w:rsid w:val="008D7214"/>
    <w:rsid w:val="008D7CFD"/>
    <w:rsid w:val="008D7D8D"/>
    <w:rsid w:val="008E0555"/>
    <w:rsid w:val="008E06CE"/>
    <w:rsid w:val="008E09D4"/>
    <w:rsid w:val="008E126B"/>
    <w:rsid w:val="008E1575"/>
    <w:rsid w:val="008E1601"/>
    <w:rsid w:val="008E1A3B"/>
    <w:rsid w:val="008E1E2D"/>
    <w:rsid w:val="008E208A"/>
    <w:rsid w:val="008E24D9"/>
    <w:rsid w:val="008E297F"/>
    <w:rsid w:val="008E3CA4"/>
    <w:rsid w:val="008E4086"/>
    <w:rsid w:val="008E469E"/>
    <w:rsid w:val="008E4971"/>
    <w:rsid w:val="008E601B"/>
    <w:rsid w:val="008E629E"/>
    <w:rsid w:val="008E6312"/>
    <w:rsid w:val="008E6834"/>
    <w:rsid w:val="008E7929"/>
    <w:rsid w:val="008E79C7"/>
    <w:rsid w:val="008F00E0"/>
    <w:rsid w:val="008F107F"/>
    <w:rsid w:val="008F1435"/>
    <w:rsid w:val="008F2D13"/>
    <w:rsid w:val="008F35A3"/>
    <w:rsid w:val="008F3657"/>
    <w:rsid w:val="008F433A"/>
    <w:rsid w:val="008F4437"/>
    <w:rsid w:val="008F4531"/>
    <w:rsid w:val="008F4820"/>
    <w:rsid w:val="008F49EA"/>
    <w:rsid w:val="008F4B1D"/>
    <w:rsid w:val="008F4DAB"/>
    <w:rsid w:val="008F5346"/>
    <w:rsid w:val="008F5360"/>
    <w:rsid w:val="008F56A5"/>
    <w:rsid w:val="008F56E7"/>
    <w:rsid w:val="008F586E"/>
    <w:rsid w:val="008F6E9D"/>
    <w:rsid w:val="008F7196"/>
    <w:rsid w:val="00900132"/>
    <w:rsid w:val="00900B83"/>
    <w:rsid w:val="009010CC"/>
    <w:rsid w:val="0090123B"/>
    <w:rsid w:val="00901602"/>
    <w:rsid w:val="00901732"/>
    <w:rsid w:val="009017D1"/>
    <w:rsid w:val="00902343"/>
    <w:rsid w:val="00902389"/>
    <w:rsid w:val="00902675"/>
    <w:rsid w:val="0090268F"/>
    <w:rsid w:val="00902AE2"/>
    <w:rsid w:val="00902AFA"/>
    <w:rsid w:val="00903404"/>
    <w:rsid w:val="00903463"/>
    <w:rsid w:val="00903B92"/>
    <w:rsid w:val="009041B1"/>
    <w:rsid w:val="00904CDA"/>
    <w:rsid w:val="00905309"/>
    <w:rsid w:val="009064DD"/>
    <w:rsid w:val="00906556"/>
    <w:rsid w:val="0090680B"/>
    <w:rsid w:val="00906DEA"/>
    <w:rsid w:val="00907893"/>
    <w:rsid w:val="0091072C"/>
    <w:rsid w:val="0091078B"/>
    <w:rsid w:val="00910E7A"/>
    <w:rsid w:val="009112C6"/>
    <w:rsid w:val="00911975"/>
    <w:rsid w:val="00911D6C"/>
    <w:rsid w:val="0091233A"/>
    <w:rsid w:val="009128EF"/>
    <w:rsid w:val="00913A0A"/>
    <w:rsid w:val="00913CA8"/>
    <w:rsid w:val="00914B28"/>
    <w:rsid w:val="00914B5D"/>
    <w:rsid w:val="009156A2"/>
    <w:rsid w:val="00915FE0"/>
    <w:rsid w:val="00916719"/>
    <w:rsid w:val="009174B6"/>
    <w:rsid w:val="0091772E"/>
    <w:rsid w:val="00917876"/>
    <w:rsid w:val="009179A7"/>
    <w:rsid w:val="009200BA"/>
    <w:rsid w:val="00920EF8"/>
    <w:rsid w:val="009237B0"/>
    <w:rsid w:val="009243CA"/>
    <w:rsid w:val="00924793"/>
    <w:rsid w:val="0092649B"/>
    <w:rsid w:val="00926BFB"/>
    <w:rsid w:val="00926DD8"/>
    <w:rsid w:val="00927C56"/>
    <w:rsid w:val="009307DB"/>
    <w:rsid w:val="009313F4"/>
    <w:rsid w:val="0093188B"/>
    <w:rsid w:val="00932084"/>
    <w:rsid w:val="009328F6"/>
    <w:rsid w:val="00932A92"/>
    <w:rsid w:val="00934084"/>
    <w:rsid w:val="00935384"/>
    <w:rsid w:val="009361D2"/>
    <w:rsid w:val="00937F93"/>
    <w:rsid w:val="009408F9"/>
    <w:rsid w:val="009413C6"/>
    <w:rsid w:val="0094214B"/>
    <w:rsid w:val="00942BB4"/>
    <w:rsid w:val="009434AE"/>
    <w:rsid w:val="00944FE4"/>
    <w:rsid w:val="009466A4"/>
    <w:rsid w:val="00946836"/>
    <w:rsid w:val="00946CEF"/>
    <w:rsid w:val="0094764D"/>
    <w:rsid w:val="00947950"/>
    <w:rsid w:val="00947D7E"/>
    <w:rsid w:val="00950ADF"/>
    <w:rsid w:val="00950ECD"/>
    <w:rsid w:val="00951385"/>
    <w:rsid w:val="0095156E"/>
    <w:rsid w:val="0095192D"/>
    <w:rsid w:val="00951A66"/>
    <w:rsid w:val="009530F0"/>
    <w:rsid w:val="0095378F"/>
    <w:rsid w:val="00953A07"/>
    <w:rsid w:val="00954077"/>
    <w:rsid w:val="00954E5D"/>
    <w:rsid w:val="0095526C"/>
    <w:rsid w:val="00955C84"/>
    <w:rsid w:val="0095651A"/>
    <w:rsid w:val="009570A1"/>
    <w:rsid w:val="00957710"/>
    <w:rsid w:val="00957A44"/>
    <w:rsid w:val="009600E3"/>
    <w:rsid w:val="009607C8"/>
    <w:rsid w:val="00960A9A"/>
    <w:rsid w:val="00960B94"/>
    <w:rsid w:val="009627C4"/>
    <w:rsid w:val="009628E1"/>
    <w:rsid w:val="00963092"/>
    <w:rsid w:val="00963255"/>
    <w:rsid w:val="00963C7B"/>
    <w:rsid w:val="0096434B"/>
    <w:rsid w:val="00965112"/>
    <w:rsid w:val="0096540C"/>
    <w:rsid w:val="00966634"/>
    <w:rsid w:val="00967010"/>
    <w:rsid w:val="009702E5"/>
    <w:rsid w:val="00970BCE"/>
    <w:rsid w:val="00971270"/>
    <w:rsid w:val="009713A0"/>
    <w:rsid w:val="00971544"/>
    <w:rsid w:val="00971F46"/>
    <w:rsid w:val="00972387"/>
    <w:rsid w:val="0097238E"/>
    <w:rsid w:val="00972547"/>
    <w:rsid w:val="009727D9"/>
    <w:rsid w:val="009730DA"/>
    <w:rsid w:val="00973751"/>
    <w:rsid w:val="0097384D"/>
    <w:rsid w:val="0097521E"/>
    <w:rsid w:val="009752A9"/>
    <w:rsid w:val="009757FB"/>
    <w:rsid w:val="009761D5"/>
    <w:rsid w:val="00976A23"/>
    <w:rsid w:val="00976B55"/>
    <w:rsid w:val="00976E2D"/>
    <w:rsid w:val="0097737D"/>
    <w:rsid w:val="0097745B"/>
    <w:rsid w:val="00977664"/>
    <w:rsid w:val="009806EC"/>
    <w:rsid w:val="0098103D"/>
    <w:rsid w:val="009817E2"/>
    <w:rsid w:val="00982304"/>
    <w:rsid w:val="00983031"/>
    <w:rsid w:val="009845B5"/>
    <w:rsid w:val="0098489F"/>
    <w:rsid w:val="009850B2"/>
    <w:rsid w:val="00986A88"/>
    <w:rsid w:val="00987F4B"/>
    <w:rsid w:val="00990593"/>
    <w:rsid w:val="009905C4"/>
    <w:rsid w:val="00990963"/>
    <w:rsid w:val="00990B6F"/>
    <w:rsid w:val="009912EB"/>
    <w:rsid w:val="00991D9D"/>
    <w:rsid w:val="00992942"/>
    <w:rsid w:val="009932ED"/>
    <w:rsid w:val="009937AE"/>
    <w:rsid w:val="00994501"/>
    <w:rsid w:val="00994EC4"/>
    <w:rsid w:val="009955DF"/>
    <w:rsid w:val="009956CA"/>
    <w:rsid w:val="00995B3F"/>
    <w:rsid w:val="00996301"/>
    <w:rsid w:val="009963FC"/>
    <w:rsid w:val="0099646C"/>
    <w:rsid w:val="009967DC"/>
    <w:rsid w:val="00996C70"/>
    <w:rsid w:val="00997287"/>
    <w:rsid w:val="00997353"/>
    <w:rsid w:val="009A10D0"/>
    <w:rsid w:val="009A14A1"/>
    <w:rsid w:val="009A1778"/>
    <w:rsid w:val="009A287F"/>
    <w:rsid w:val="009A2DD2"/>
    <w:rsid w:val="009A314B"/>
    <w:rsid w:val="009A33D8"/>
    <w:rsid w:val="009A3909"/>
    <w:rsid w:val="009A39F2"/>
    <w:rsid w:val="009A41B4"/>
    <w:rsid w:val="009A42D1"/>
    <w:rsid w:val="009A4CAB"/>
    <w:rsid w:val="009A4F71"/>
    <w:rsid w:val="009A6413"/>
    <w:rsid w:val="009A6583"/>
    <w:rsid w:val="009A65D1"/>
    <w:rsid w:val="009A66B3"/>
    <w:rsid w:val="009A6A93"/>
    <w:rsid w:val="009A782B"/>
    <w:rsid w:val="009A799E"/>
    <w:rsid w:val="009B0C8F"/>
    <w:rsid w:val="009B0D4E"/>
    <w:rsid w:val="009B1E8B"/>
    <w:rsid w:val="009B2750"/>
    <w:rsid w:val="009B2D96"/>
    <w:rsid w:val="009B2FD7"/>
    <w:rsid w:val="009B31B3"/>
    <w:rsid w:val="009B3D75"/>
    <w:rsid w:val="009B42A3"/>
    <w:rsid w:val="009B5407"/>
    <w:rsid w:val="009B5965"/>
    <w:rsid w:val="009B5AC5"/>
    <w:rsid w:val="009B634C"/>
    <w:rsid w:val="009B6454"/>
    <w:rsid w:val="009B6ABE"/>
    <w:rsid w:val="009C0527"/>
    <w:rsid w:val="009C0745"/>
    <w:rsid w:val="009C15F1"/>
    <w:rsid w:val="009C3603"/>
    <w:rsid w:val="009C3A83"/>
    <w:rsid w:val="009C41F7"/>
    <w:rsid w:val="009C63A6"/>
    <w:rsid w:val="009C653B"/>
    <w:rsid w:val="009C679A"/>
    <w:rsid w:val="009C6C85"/>
    <w:rsid w:val="009C78B5"/>
    <w:rsid w:val="009C7940"/>
    <w:rsid w:val="009C7A16"/>
    <w:rsid w:val="009C7E0A"/>
    <w:rsid w:val="009D091E"/>
    <w:rsid w:val="009D0C4D"/>
    <w:rsid w:val="009D16F6"/>
    <w:rsid w:val="009D24A9"/>
    <w:rsid w:val="009D3B8B"/>
    <w:rsid w:val="009D3D5C"/>
    <w:rsid w:val="009D493A"/>
    <w:rsid w:val="009D5F23"/>
    <w:rsid w:val="009D66FD"/>
    <w:rsid w:val="009D6ABC"/>
    <w:rsid w:val="009D706F"/>
    <w:rsid w:val="009D710B"/>
    <w:rsid w:val="009D78CC"/>
    <w:rsid w:val="009D7F0F"/>
    <w:rsid w:val="009E0A03"/>
    <w:rsid w:val="009E0D78"/>
    <w:rsid w:val="009E0F47"/>
    <w:rsid w:val="009E0F69"/>
    <w:rsid w:val="009E1770"/>
    <w:rsid w:val="009E1A95"/>
    <w:rsid w:val="009E1DEB"/>
    <w:rsid w:val="009E25B9"/>
    <w:rsid w:val="009E2D1A"/>
    <w:rsid w:val="009E502A"/>
    <w:rsid w:val="009E515E"/>
    <w:rsid w:val="009E5DBD"/>
    <w:rsid w:val="009F08AB"/>
    <w:rsid w:val="009F21B9"/>
    <w:rsid w:val="009F39EC"/>
    <w:rsid w:val="009F3AD3"/>
    <w:rsid w:val="009F4A4D"/>
    <w:rsid w:val="009F5941"/>
    <w:rsid w:val="009F5AEA"/>
    <w:rsid w:val="009F643C"/>
    <w:rsid w:val="009F6890"/>
    <w:rsid w:val="009F6C90"/>
    <w:rsid w:val="009F7917"/>
    <w:rsid w:val="009F7E4D"/>
    <w:rsid w:val="00A01818"/>
    <w:rsid w:val="00A02E8F"/>
    <w:rsid w:val="00A032CC"/>
    <w:rsid w:val="00A046BE"/>
    <w:rsid w:val="00A06B66"/>
    <w:rsid w:val="00A07437"/>
    <w:rsid w:val="00A111B4"/>
    <w:rsid w:val="00A119DA"/>
    <w:rsid w:val="00A120DB"/>
    <w:rsid w:val="00A12933"/>
    <w:rsid w:val="00A13424"/>
    <w:rsid w:val="00A135D3"/>
    <w:rsid w:val="00A13825"/>
    <w:rsid w:val="00A13F92"/>
    <w:rsid w:val="00A14130"/>
    <w:rsid w:val="00A149A2"/>
    <w:rsid w:val="00A14B75"/>
    <w:rsid w:val="00A161C2"/>
    <w:rsid w:val="00A16337"/>
    <w:rsid w:val="00A168F2"/>
    <w:rsid w:val="00A16E41"/>
    <w:rsid w:val="00A1741B"/>
    <w:rsid w:val="00A17AFF"/>
    <w:rsid w:val="00A17C2E"/>
    <w:rsid w:val="00A17C4F"/>
    <w:rsid w:val="00A2130D"/>
    <w:rsid w:val="00A22204"/>
    <w:rsid w:val="00A225D4"/>
    <w:rsid w:val="00A236B5"/>
    <w:rsid w:val="00A23753"/>
    <w:rsid w:val="00A23DED"/>
    <w:rsid w:val="00A244DE"/>
    <w:rsid w:val="00A25386"/>
    <w:rsid w:val="00A25582"/>
    <w:rsid w:val="00A25C1A"/>
    <w:rsid w:val="00A269DF"/>
    <w:rsid w:val="00A270A9"/>
    <w:rsid w:val="00A312A3"/>
    <w:rsid w:val="00A3161B"/>
    <w:rsid w:val="00A3170B"/>
    <w:rsid w:val="00A31E21"/>
    <w:rsid w:val="00A31F1B"/>
    <w:rsid w:val="00A3247C"/>
    <w:rsid w:val="00A3270D"/>
    <w:rsid w:val="00A33323"/>
    <w:rsid w:val="00A35E39"/>
    <w:rsid w:val="00A35E65"/>
    <w:rsid w:val="00A36765"/>
    <w:rsid w:val="00A36803"/>
    <w:rsid w:val="00A36E02"/>
    <w:rsid w:val="00A374FB"/>
    <w:rsid w:val="00A3786D"/>
    <w:rsid w:val="00A37DE3"/>
    <w:rsid w:val="00A40C95"/>
    <w:rsid w:val="00A40CE8"/>
    <w:rsid w:val="00A40CF9"/>
    <w:rsid w:val="00A40E02"/>
    <w:rsid w:val="00A416EE"/>
    <w:rsid w:val="00A41DF4"/>
    <w:rsid w:val="00A423DB"/>
    <w:rsid w:val="00A4281F"/>
    <w:rsid w:val="00A42BF4"/>
    <w:rsid w:val="00A431C0"/>
    <w:rsid w:val="00A44F74"/>
    <w:rsid w:val="00A4632F"/>
    <w:rsid w:val="00A470F6"/>
    <w:rsid w:val="00A47F6B"/>
    <w:rsid w:val="00A50804"/>
    <w:rsid w:val="00A50FC4"/>
    <w:rsid w:val="00A511F1"/>
    <w:rsid w:val="00A51789"/>
    <w:rsid w:val="00A51D12"/>
    <w:rsid w:val="00A51D87"/>
    <w:rsid w:val="00A51E3D"/>
    <w:rsid w:val="00A520EA"/>
    <w:rsid w:val="00A5300A"/>
    <w:rsid w:val="00A53316"/>
    <w:rsid w:val="00A54200"/>
    <w:rsid w:val="00A54247"/>
    <w:rsid w:val="00A54703"/>
    <w:rsid w:val="00A55522"/>
    <w:rsid w:val="00A55C9E"/>
    <w:rsid w:val="00A55E10"/>
    <w:rsid w:val="00A56A65"/>
    <w:rsid w:val="00A57F12"/>
    <w:rsid w:val="00A6000A"/>
    <w:rsid w:val="00A61370"/>
    <w:rsid w:val="00A627B0"/>
    <w:rsid w:val="00A62867"/>
    <w:rsid w:val="00A62C11"/>
    <w:rsid w:val="00A633C4"/>
    <w:rsid w:val="00A64829"/>
    <w:rsid w:val="00A64B20"/>
    <w:rsid w:val="00A668D8"/>
    <w:rsid w:val="00A670BC"/>
    <w:rsid w:val="00A67125"/>
    <w:rsid w:val="00A701F8"/>
    <w:rsid w:val="00A70804"/>
    <w:rsid w:val="00A72F15"/>
    <w:rsid w:val="00A7389D"/>
    <w:rsid w:val="00A74043"/>
    <w:rsid w:val="00A744E4"/>
    <w:rsid w:val="00A74E39"/>
    <w:rsid w:val="00A778AE"/>
    <w:rsid w:val="00A8003E"/>
    <w:rsid w:val="00A80298"/>
    <w:rsid w:val="00A80918"/>
    <w:rsid w:val="00A80B3E"/>
    <w:rsid w:val="00A80D57"/>
    <w:rsid w:val="00A82012"/>
    <w:rsid w:val="00A82615"/>
    <w:rsid w:val="00A828C5"/>
    <w:rsid w:val="00A834F4"/>
    <w:rsid w:val="00A83595"/>
    <w:rsid w:val="00A85084"/>
    <w:rsid w:val="00A859F9"/>
    <w:rsid w:val="00A86672"/>
    <w:rsid w:val="00A871E1"/>
    <w:rsid w:val="00A8747E"/>
    <w:rsid w:val="00A87C03"/>
    <w:rsid w:val="00A903B4"/>
    <w:rsid w:val="00A90923"/>
    <w:rsid w:val="00A91055"/>
    <w:rsid w:val="00A91709"/>
    <w:rsid w:val="00A917EF"/>
    <w:rsid w:val="00A91B47"/>
    <w:rsid w:val="00A92319"/>
    <w:rsid w:val="00A9299D"/>
    <w:rsid w:val="00A94E92"/>
    <w:rsid w:val="00A950EE"/>
    <w:rsid w:val="00A95127"/>
    <w:rsid w:val="00A95EA5"/>
    <w:rsid w:val="00A96595"/>
    <w:rsid w:val="00A969C1"/>
    <w:rsid w:val="00A96AA8"/>
    <w:rsid w:val="00A97305"/>
    <w:rsid w:val="00AA0AFE"/>
    <w:rsid w:val="00AA1072"/>
    <w:rsid w:val="00AA1649"/>
    <w:rsid w:val="00AA16C0"/>
    <w:rsid w:val="00AA23BB"/>
    <w:rsid w:val="00AA2B88"/>
    <w:rsid w:val="00AA2F84"/>
    <w:rsid w:val="00AA3079"/>
    <w:rsid w:val="00AA3838"/>
    <w:rsid w:val="00AA389C"/>
    <w:rsid w:val="00AA3D73"/>
    <w:rsid w:val="00AA410A"/>
    <w:rsid w:val="00AA5D84"/>
    <w:rsid w:val="00AA5DD3"/>
    <w:rsid w:val="00AA5E51"/>
    <w:rsid w:val="00AA63D5"/>
    <w:rsid w:val="00AA6934"/>
    <w:rsid w:val="00AA709E"/>
    <w:rsid w:val="00AA72DF"/>
    <w:rsid w:val="00AA7C31"/>
    <w:rsid w:val="00AB0EA8"/>
    <w:rsid w:val="00AB11FF"/>
    <w:rsid w:val="00AB13A1"/>
    <w:rsid w:val="00AB1BD3"/>
    <w:rsid w:val="00AB1DF9"/>
    <w:rsid w:val="00AB25FF"/>
    <w:rsid w:val="00AB27C8"/>
    <w:rsid w:val="00AB2FCE"/>
    <w:rsid w:val="00AB49C6"/>
    <w:rsid w:val="00AB4D59"/>
    <w:rsid w:val="00AB4EE3"/>
    <w:rsid w:val="00AB51FF"/>
    <w:rsid w:val="00AB5EBD"/>
    <w:rsid w:val="00AB71EF"/>
    <w:rsid w:val="00AB7B2C"/>
    <w:rsid w:val="00AC0310"/>
    <w:rsid w:val="00AC06BF"/>
    <w:rsid w:val="00AC2D01"/>
    <w:rsid w:val="00AC37F7"/>
    <w:rsid w:val="00AC4C37"/>
    <w:rsid w:val="00AC59EF"/>
    <w:rsid w:val="00AC5D48"/>
    <w:rsid w:val="00AC5F60"/>
    <w:rsid w:val="00AC6275"/>
    <w:rsid w:val="00AC6319"/>
    <w:rsid w:val="00AC6465"/>
    <w:rsid w:val="00AC7073"/>
    <w:rsid w:val="00AC7161"/>
    <w:rsid w:val="00AC781F"/>
    <w:rsid w:val="00AC786D"/>
    <w:rsid w:val="00AC7961"/>
    <w:rsid w:val="00AC7DBC"/>
    <w:rsid w:val="00AD07D1"/>
    <w:rsid w:val="00AD106A"/>
    <w:rsid w:val="00AD2070"/>
    <w:rsid w:val="00AD3341"/>
    <w:rsid w:val="00AD3C4E"/>
    <w:rsid w:val="00AD42EA"/>
    <w:rsid w:val="00AD4749"/>
    <w:rsid w:val="00AD5672"/>
    <w:rsid w:val="00AD5761"/>
    <w:rsid w:val="00AD5B5B"/>
    <w:rsid w:val="00AD65DC"/>
    <w:rsid w:val="00AD6AD8"/>
    <w:rsid w:val="00AD6CB5"/>
    <w:rsid w:val="00AE059A"/>
    <w:rsid w:val="00AE0694"/>
    <w:rsid w:val="00AE0966"/>
    <w:rsid w:val="00AE0AE1"/>
    <w:rsid w:val="00AE12A6"/>
    <w:rsid w:val="00AE20C8"/>
    <w:rsid w:val="00AE3175"/>
    <w:rsid w:val="00AE317F"/>
    <w:rsid w:val="00AE32A0"/>
    <w:rsid w:val="00AE3CBB"/>
    <w:rsid w:val="00AE3CF4"/>
    <w:rsid w:val="00AE41CE"/>
    <w:rsid w:val="00AE4365"/>
    <w:rsid w:val="00AE501A"/>
    <w:rsid w:val="00AE50F8"/>
    <w:rsid w:val="00AE546F"/>
    <w:rsid w:val="00AE5F8F"/>
    <w:rsid w:val="00AE6E7E"/>
    <w:rsid w:val="00AE6F81"/>
    <w:rsid w:val="00AE71CF"/>
    <w:rsid w:val="00AE7670"/>
    <w:rsid w:val="00AE7823"/>
    <w:rsid w:val="00AF09D2"/>
    <w:rsid w:val="00AF120C"/>
    <w:rsid w:val="00AF24B6"/>
    <w:rsid w:val="00AF2AD7"/>
    <w:rsid w:val="00AF477C"/>
    <w:rsid w:val="00AF522F"/>
    <w:rsid w:val="00AF5508"/>
    <w:rsid w:val="00AF5903"/>
    <w:rsid w:val="00AF5C9E"/>
    <w:rsid w:val="00AF5CBD"/>
    <w:rsid w:val="00AF5D65"/>
    <w:rsid w:val="00AF5E2D"/>
    <w:rsid w:val="00AF6B4B"/>
    <w:rsid w:val="00AF7196"/>
    <w:rsid w:val="00AF764B"/>
    <w:rsid w:val="00AF7AD7"/>
    <w:rsid w:val="00B003E6"/>
    <w:rsid w:val="00B00699"/>
    <w:rsid w:val="00B009C4"/>
    <w:rsid w:val="00B00E3F"/>
    <w:rsid w:val="00B01AC7"/>
    <w:rsid w:val="00B025CA"/>
    <w:rsid w:val="00B03151"/>
    <w:rsid w:val="00B035A5"/>
    <w:rsid w:val="00B03A1A"/>
    <w:rsid w:val="00B0467A"/>
    <w:rsid w:val="00B04957"/>
    <w:rsid w:val="00B06545"/>
    <w:rsid w:val="00B077FB"/>
    <w:rsid w:val="00B078DC"/>
    <w:rsid w:val="00B1045E"/>
    <w:rsid w:val="00B11298"/>
    <w:rsid w:val="00B11525"/>
    <w:rsid w:val="00B11E87"/>
    <w:rsid w:val="00B11FC8"/>
    <w:rsid w:val="00B1223E"/>
    <w:rsid w:val="00B12853"/>
    <w:rsid w:val="00B12E6A"/>
    <w:rsid w:val="00B1366A"/>
    <w:rsid w:val="00B13A8C"/>
    <w:rsid w:val="00B15416"/>
    <w:rsid w:val="00B16183"/>
    <w:rsid w:val="00B16CFC"/>
    <w:rsid w:val="00B171D0"/>
    <w:rsid w:val="00B17665"/>
    <w:rsid w:val="00B17883"/>
    <w:rsid w:val="00B17D45"/>
    <w:rsid w:val="00B2032D"/>
    <w:rsid w:val="00B20501"/>
    <w:rsid w:val="00B20E6B"/>
    <w:rsid w:val="00B21E54"/>
    <w:rsid w:val="00B23963"/>
    <w:rsid w:val="00B2428C"/>
    <w:rsid w:val="00B24C92"/>
    <w:rsid w:val="00B24DBC"/>
    <w:rsid w:val="00B252B5"/>
    <w:rsid w:val="00B25761"/>
    <w:rsid w:val="00B25EDC"/>
    <w:rsid w:val="00B25F54"/>
    <w:rsid w:val="00B263EB"/>
    <w:rsid w:val="00B27153"/>
    <w:rsid w:val="00B273BC"/>
    <w:rsid w:val="00B27B89"/>
    <w:rsid w:val="00B3034F"/>
    <w:rsid w:val="00B30B23"/>
    <w:rsid w:val="00B30C9B"/>
    <w:rsid w:val="00B315EC"/>
    <w:rsid w:val="00B3194E"/>
    <w:rsid w:val="00B31A2B"/>
    <w:rsid w:val="00B32303"/>
    <w:rsid w:val="00B3315B"/>
    <w:rsid w:val="00B344F3"/>
    <w:rsid w:val="00B3454D"/>
    <w:rsid w:val="00B349CB"/>
    <w:rsid w:val="00B360C6"/>
    <w:rsid w:val="00B36901"/>
    <w:rsid w:val="00B371DB"/>
    <w:rsid w:val="00B377BD"/>
    <w:rsid w:val="00B4022A"/>
    <w:rsid w:val="00B414E2"/>
    <w:rsid w:val="00B41F8D"/>
    <w:rsid w:val="00B4295A"/>
    <w:rsid w:val="00B43132"/>
    <w:rsid w:val="00B43511"/>
    <w:rsid w:val="00B43BDE"/>
    <w:rsid w:val="00B44400"/>
    <w:rsid w:val="00B462C2"/>
    <w:rsid w:val="00B465EF"/>
    <w:rsid w:val="00B473D9"/>
    <w:rsid w:val="00B475B1"/>
    <w:rsid w:val="00B477BB"/>
    <w:rsid w:val="00B47C31"/>
    <w:rsid w:val="00B47DDF"/>
    <w:rsid w:val="00B50492"/>
    <w:rsid w:val="00B51311"/>
    <w:rsid w:val="00B516B0"/>
    <w:rsid w:val="00B52384"/>
    <w:rsid w:val="00B52641"/>
    <w:rsid w:val="00B52B4E"/>
    <w:rsid w:val="00B52D73"/>
    <w:rsid w:val="00B53A32"/>
    <w:rsid w:val="00B54E6C"/>
    <w:rsid w:val="00B55878"/>
    <w:rsid w:val="00B55BB0"/>
    <w:rsid w:val="00B55F60"/>
    <w:rsid w:val="00B5674D"/>
    <w:rsid w:val="00B56D18"/>
    <w:rsid w:val="00B57B75"/>
    <w:rsid w:val="00B6140D"/>
    <w:rsid w:val="00B61B61"/>
    <w:rsid w:val="00B624B2"/>
    <w:rsid w:val="00B6251F"/>
    <w:rsid w:val="00B629EA"/>
    <w:rsid w:val="00B63E01"/>
    <w:rsid w:val="00B65767"/>
    <w:rsid w:val="00B657C4"/>
    <w:rsid w:val="00B660AA"/>
    <w:rsid w:val="00B6611D"/>
    <w:rsid w:val="00B66B95"/>
    <w:rsid w:val="00B670BF"/>
    <w:rsid w:val="00B676A0"/>
    <w:rsid w:val="00B67845"/>
    <w:rsid w:val="00B678FF"/>
    <w:rsid w:val="00B67CBA"/>
    <w:rsid w:val="00B67EEF"/>
    <w:rsid w:val="00B7000E"/>
    <w:rsid w:val="00B70286"/>
    <w:rsid w:val="00B7086F"/>
    <w:rsid w:val="00B70B0D"/>
    <w:rsid w:val="00B720C6"/>
    <w:rsid w:val="00B72165"/>
    <w:rsid w:val="00B72193"/>
    <w:rsid w:val="00B72321"/>
    <w:rsid w:val="00B7252B"/>
    <w:rsid w:val="00B7262B"/>
    <w:rsid w:val="00B72D1C"/>
    <w:rsid w:val="00B73B9F"/>
    <w:rsid w:val="00B74612"/>
    <w:rsid w:val="00B74BE9"/>
    <w:rsid w:val="00B75E48"/>
    <w:rsid w:val="00B7676F"/>
    <w:rsid w:val="00B76984"/>
    <w:rsid w:val="00B77301"/>
    <w:rsid w:val="00B7761F"/>
    <w:rsid w:val="00B77A0E"/>
    <w:rsid w:val="00B804D1"/>
    <w:rsid w:val="00B807FB"/>
    <w:rsid w:val="00B81177"/>
    <w:rsid w:val="00B81940"/>
    <w:rsid w:val="00B8199A"/>
    <w:rsid w:val="00B822D1"/>
    <w:rsid w:val="00B834C1"/>
    <w:rsid w:val="00B835EB"/>
    <w:rsid w:val="00B83AEF"/>
    <w:rsid w:val="00B83B90"/>
    <w:rsid w:val="00B84059"/>
    <w:rsid w:val="00B84127"/>
    <w:rsid w:val="00B847DF"/>
    <w:rsid w:val="00B851EC"/>
    <w:rsid w:val="00B858D7"/>
    <w:rsid w:val="00B8698B"/>
    <w:rsid w:val="00B8715B"/>
    <w:rsid w:val="00B87757"/>
    <w:rsid w:val="00B901F9"/>
    <w:rsid w:val="00B90B97"/>
    <w:rsid w:val="00B9123E"/>
    <w:rsid w:val="00B9136E"/>
    <w:rsid w:val="00B91542"/>
    <w:rsid w:val="00B922F0"/>
    <w:rsid w:val="00B937BD"/>
    <w:rsid w:val="00B94C7E"/>
    <w:rsid w:val="00B9664B"/>
    <w:rsid w:val="00B96760"/>
    <w:rsid w:val="00B96C28"/>
    <w:rsid w:val="00B9773A"/>
    <w:rsid w:val="00BA06DD"/>
    <w:rsid w:val="00BA0704"/>
    <w:rsid w:val="00BA1722"/>
    <w:rsid w:val="00BA1990"/>
    <w:rsid w:val="00BA1E4B"/>
    <w:rsid w:val="00BA28F5"/>
    <w:rsid w:val="00BA2E10"/>
    <w:rsid w:val="00BA345C"/>
    <w:rsid w:val="00BA3575"/>
    <w:rsid w:val="00BA3B09"/>
    <w:rsid w:val="00BA47C0"/>
    <w:rsid w:val="00BA4D85"/>
    <w:rsid w:val="00BA5309"/>
    <w:rsid w:val="00BA569C"/>
    <w:rsid w:val="00BA6CE8"/>
    <w:rsid w:val="00BA6D10"/>
    <w:rsid w:val="00BA75C6"/>
    <w:rsid w:val="00BB068E"/>
    <w:rsid w:val="00BB074C"/>
    <w:rsid w:val="00BB0BFF"/>
    <w:rsid w:val="00BB0C96"/>
    <w:rsid w:val="00BB0FB5"/>
    <w:rsid w:val="00BB113F"/>
    <w:rsid w:val="00BB189A"/>
    <w:rsid w:val="00BB19A8"/>
    <w:rsid w:val="00BB20DF"/>
    <w:rsid w:val="00BB2215"/>
    <w:rsid w:val="00BB3237"/>
    <w:rsid w:val="00BB33A1"/>
    <w:rsid w:val="00BB3A15"/>
    <w:rsid w:val="00BB3D38"/>
    <w:rsid w:val="00BB42FB"/>
    <w:rsid w:val="00BB4C4B"/>
    <w:rsid w:val="00BB57B5"/>
    <w:rsid w:val="00BB695F"/>
    <w:rsid w:val="00BB71C6"/>
    <w:rsid w:val="00BB729B"/>
    <w:rsid w:val="00BB791E"/>
    <w:rsid w:val="00BB7D2A"/>
    <w:rsid w:val="00BB7FCA"/>
    <w:rsid w:val="00BC048B"/>
    <w:rsid w:val="00BC0E9D"/>
    <w:rsid w:val="00BC14EC"/>
    <w:rsid w:val="00BC1C34"/>
    <w:rsid w:val="00BC1E4C"/>
    <w:rsid w:val="00BC2F03"/>
    <w:rsid w:val="00BC3B18"/>
    <w:rsid w:val="00BC3CA2"/>
    <w:rsid w:val="00BC4457"/>
    <w:rsid w:val="00BC480F"/>
    <w:rsid w:val="00BC488E"/>
    <w:rsid w:val="00BC4A9A"/>
    <w:rsid w:val="00BC4E6F"/>
    <w:rsid w:val="00BC4F23"/>
    <w:rsid w:val="00BC502E"/>
    <w:rsid w:val="00BC526A"/>
    <w:rsid w:val="00BC55B8"/>
    <w:rsid w:val="00BC5A5C"/>
    <w:rsid w:val="00BC677A"/>
    <w:rsid w:val="00BC730A"/>
    <w:rsid w:val="00BC7C56"/>
    <w:rsid w:val="00BD03A9"/>
    <w:rsid w:val="00BD0806"/>
    <w:rsid w:val="00BD149F"/>
    <w:rsid w:val="00BD1CCD"/>
    <w:rsid w:val="00BD2067"/>
    <w:rsid w:val="00BD20D1"/>
    <w:rsid w:val="00BD2164"/>
    <w:rsid w:val="00BD2244"/>
    <w:rsid w:val="00BD23C2"/>
    <w:rsid w:val="00BD27D2"/>
    <w:rsid w:val="00BD2AD7"/>
    <w:rsid w:val="00BD328D"/>
    <w:rsid w:val="00BD388B"/>
    <w:rsid w:val="00BD4212"/>
    <w:rsid w:val="00BD44CC"/>
    <w:rsid w:val="00BD490B"/>
    <w:rsid w:val="00BD59F4"/>
    <w:rsid w:val="00BD5BBD"/>
    <w:rsid w:val="00BD681F"/>
    <w:rsid w:val="00BD6E48"/>
    <w:rsid w:val="00BD78B4"/>
    <w:rsid w:val="00BD7F14"/>
    <w:rsid w:val="00BE0F10"/>
    <w:rsid w:val="00BE1D16"/>
    <w:rsid w:val="00BE1E81"/>
    <w:rsid w:val="00BE251F"/>
    <w:rsid w:val="00BE2B27"/>
    <w:rsid w:val="00BE3842"/>
    <w:rsid w:val="00BE3CE7"/>
    <w:rsid w:val="00BE413F"/>
    <w:rsid w:val="00BE423F"/>
    <w:rsid w:val="00BE49E1"/>
    <w:rsid w:val="00BE4CB9"/>
    <w:rsid w:val="00BE524C"/>
    <w:rsid w:val="00BE5406"/>
    <w:rsid w:val="00BE5E14"/>
    <w:rsid w:val="00BE6865"/>
    <w:rsid w:val="00BE6C7C"/>
    <w:rsid w:val="00BE6F09"/>
    <w:rsid w:val="00BE712A"/>
    <w:rsid w:val="00BE7F7F"/>
    <w:rsid w:val="00BF009A"/>
    <w:rsid w:val="00BF0823"/>
    <w:rsid w:val="00BF0B2B"/>
    <w:rsid w:val="00BF1A52"/>
    <w:rsid w:val="00BF1C58"/>
    <w:rsid w:val="00BF1DE7"/>
    <w:rsid w:val="00BF20FD"/>
    <w:rsid w:val="00BF2116"/>
    <w:rsid w:val="00BF2132"/>
    <w:rsid w:val="00BF213F"/>
    <w:rsid w:val="00BF2253"/>
    <w:rsid w:val="00BF28B1"/>
    <w:rsid w:val="00BF385B"/>
    <w:rsid w:val="00BF388A"/>
    <w:rsid w:val="00BF3C85"/>
    <w:rsid w:val="00BF4B46"/>
    <w:rsid w:val="00BF5355"/>
    <w:rsid w:val="00BF60DD"/>
    <w:rsid w:val="00BF6687"/>
    <w:rsid w:val="00BF6A44"/>
    <w:rsid w:val="00BF6D9C"/>
    <w:rsid w:val="00BF7557"/>
    <w:rsid w:val="00BF7C43"/>
    <w:rsid w:val="00C00513"/>
    <w:rsid w:val="00C00B09"/>
    <w:rsid w:val="00C02C4D"/>
    <w:rsid w:val="00C02EBD"/>
    <w:rsid w:val="00C032C9"/>
    <w:rsid w:val="00C035C8"/>
    <w:rsid w:val="00C0382F"/>
    <w:rsid w:val="00C03B89"/>
    <w:rsid w:val="00C03C57"/>
    <w:rsid w:val="00C03D40"/>
    <w:rsid w:val="00C047FD"/>
    <w:rsid w:val="00C04B17"/>
    <w:rsid w:val="00C05F5E"/>
    <w:rsid w:val="00C06BD3"/>
    <w:rsid w:val="00C06C37"/>
    <w:rsid w:val="00C073D6"/>
    <w:rsid w:val="00C07447"/>
    <w:rsid w:val="00C07566"/>
    <w:rsid w:val="00C075AE"/>
    <w:rsid w:val="00C076DE"/>
    <w:rsid w:val="00C07702"/>
    <w:rsid w:val="00C07D9B"/>
    <w:rsid w:val="00C07E7D"/>
    <w:rsid w:val="00C1022C"/>
    <w:rsid w:val="00C10E27"/>
    <w:rsid w:val="00C1107A"/>
    <w:rsid w:val="00C11BDE"/>
    <w:rsid w:val="00C11C18"/>
    <w:rsid w:val="00C12751"/>
    <w:rsid w:val="00C127A4"/>
    <w:rsid w:val="00C1295D"/>
    <w:rsid w:val="00C1342D"/>
    <w:rsid w:val="00C1347A"/>
    <w:rsid w:val="00C143A6"/>
    <w:rsid w:val="00C1498B"/>
    <w:rsid w:val="00C14D6C"/>
    <w:rsid w:val="00C160AE"/>
    <w:rsid w:val="00C1644E"/>
    <w:rsid w:val="00C16542"/>
    <w:rsid w:val="00C17455"/>
    <w:rsid w:val="00C17A30"/>
    <w:rsid w:val="00C203CF"/>
    <w:rsid w:val="00C204F4"/>
    <w:rsid w:val="00C21266"/>
    <w:rsid w:val="00C215AD"/>
    <w:rsid w:val="00C21974"/>
    <w:rsid w:val="00C21B11"/>
    <w:rsid w:val="00C21D9D"/>
    <w:rsid w:val="00C220D1"/>
    <w:rsid w:val="00C220E7"/>
    <w:rsid w:val="00C229AF"/>
    <w:rsid w:val="00C233A0"/>
    <w:rsid w:val="00C237C3"/>
    <w:rsid w:val="00C23C28"/>
    <w:rsid w:val="00C24CF5"/>
    <w:rsid w:val="00C24DE0"/>
    <w:rsid w:val="00C24DE8"/>
    <w:rsid w:val="00C25BD9"/>
    <w:rsid w:val="00C269E6"/>
    <w:rsid w:val="00C26B80"/>
    <w:rsid w:val="00C26DED"/>
    <w:rsid w:val="00C27555"/>
    <w:rsid w:val="00C277E6"/>
    <w:rsid w:val="00C27A7B"/>
    <w:rsid w:val="00C3004C"/>
    <w:rsid w:val="00C3109D"/>
    <w:rsid w:val="00C316C3"/>
    <w:rsid w:val="00C31EE1"/>
    <w:rsid w:val="00C3241E"/>
    <w:rsid w:val="00C32A62"/>
    <w:rsid w:val="00C341AB"/>
    <w:rsid w:val="00C343FA"/>
    <w:rsid w:val="00C34A8A"/>
    <w:rsid w:val="00C35233"/>
    <w:rsid w:val="00C35D84"/>
    <w:rsid w:val="00C35EA4"/>
    <w:rsid w:val="00C35EAD"/>
    <w:rsid w:val="00C369AD"/>
    <w:rsid w:val="00C3704E"/>
    <w:rsid w:val="00C375F4"/>
    <w:rsid w:val="00C37DAD"/>
    <w:rsid w:val="00C4006D"/>
    <w:rsid w:val="00C40C0C"/>
    <w:rsid w:val="00C40D7D"/>
    <w:rsid w:val="00C41156"/>
    <w:rsid w:val="00C41308"/>
    <w:rsid w:val="00C41B96"/>
    <w:rsid w:val="00C422EA"/>
    <w:rsid w:val="00C422F7"/>
    <w:rsid w:val="00C42E23"/>
    <w:rsid w:val="00C42E92"/>
    <w:rsid w:val="00C43115"/>
    <w:rsid w:val="00C4315A"/>
    <w:rsid w:val="00C4379A"/>
    <w:rsid w:val="00C44483"/>
    <w:rsid w:val="00C44F7F"/>
    <w:rsid w:val="00C45844"/>
    <w:rsid w:val="00C46102"/>
    <w:rsid w:val="00C46D5D"/>
    <w:rsid w:val="00C46FA4"/>
    <w:rsid w:val="00C472E4"/>
    <w:rsid w:val="00C475DB"/>
    <w:rsid w:val="00C47DF1"/>
    <w:rsid w:val="00C47E9D"/>
    <w:rsid w:val="00C47F88"/>
    <w:rsid w:val="00C50814"/>
    <w:rsid w:val="00C50DDF"/>
    <w:rsid w:val="00C51EAB"/>
    <w:rsid w:val="00C52C8B"/>
    <w:rsid w:val="00C53550"/>
    <w:rsid w:val="00C53BCA"/>
    <w:rsid w:val="00C53F5A"/>
    <w:rsid w:val="00C545F7"/>
    <w:rsid w:val="00C54CAB"/>
    <w:rsid w:val="00C5559B"/>
    <w:rsid w:val="00C556CD"/>
    <w:rsid w:val="00C55F90"/>
    <w:rsid w:val="00C57C68"/>
    <w:rsid w:val="00C604D2"/>
    <w:rsid w:val="00C60A98"/>
    <w:rsid w:val="00C610DE"/>
    <w:rsid w:val="00C61327"/>
    <w:rsid w:val="00C61641"/>
    <w:rsid w:val="00C616E7"/>
    <w:rsid w:val="00C61C91"/>
    <w:rsid w:val="00C6285E"/>
    <w:rsid w:val="00C63EB1"/>
    <w:rsid w:val="00C6427C"/>
    <w:rsid w:val="00C64FEE"/>
    <w:rsid w:val="00C65675"/>
    <w:rsid w:val="00C6575A"/>
    <w:rsid w:val="00C65BF2"/>
    <w:rsid w:val="00C65ED5"/>
    <w:rsid w:val="00C677DF"/>
    <w:rsid w:val="00C70B96"/>
    <w:rsid w:val="00C7175A"/>
    <w:rsid w:val="00C718D0"/>
    <w:rsid w:val="00C71DF6"/>
    <w:rsid w:val="00C729B3"/>
    <w:rsid w:val="00C736B8"/>
    <w:rsid w:val="00C73D68"/>
    <w:rsid w:val="00C7429F"/>
    <w:rsid w:val="00C745D5"/>
    <w:rsid w:val="00C74702"/>
    <w:rsid w:val="00C74EA8"/>
    <w:rsid w:val="00C750A9"/>
    <w:rsid w:val="00C750D2"/>
    <w:rsid w:val="00C76171"/>
    <w:rsid w:val="00C76B31"/>
    <w:rsid w:val="00C77BA6"/>
    <w:rsid w:val="00C80625"/>
    <w:rsid w:val="00C80B2B"/>
    <w:rsid w:val="00C80CDB"/>
    <w:rsid w:val="00C80EB3"/>
    <w:rsid w:val="00C811EF"/>
    <w:rsid w:val="00C81BDF"/>
    <w:rsid w:val="00C82B27"/>
    <w:rsid w:val="00C82C9D"/>
    <w:rsid w:val="00C82F36"/>
    <w:rsid w:val="00C83FAE"/>
    <w:rsid w:val="00C84127"/>
    <w:rsid w:val="00C849D7"/>
    <w:rsid w:val="00C84D87"/>
    <w:rsid w:val="00C8516F"/>
    <w:rsid w:val="00C85C19"/>
    <w:rsid w:val="00C86356"/>
    <w:rsid w:val="00C8645F"/>
    <w:rsid w:val="00C868AA"/>
    <w:rsid w:val="00C87478"/>
    <w:rsid w:val="00C87C4D"/>
    <w:rsid w:val="00C90336"/>
    <w:rsid w:val="00C90369"/>
    <w:rsid w:val="00C90A29"/>
    <w:rsid w:val="00C91580"/>
    <w:rsid w:val="00C91A8E"/>
    <w:rsid w:val="00C91AAE"/>
    <w:rsid w:val="00C92072"/>
    <w:rsid w:val="00C92334"/>
    <w:rsid w:val="00C92AD3"/>
    <w:rsid w:val="00C9302B"/>
    <w:rsid w:val="00C93246"/>
    <w:rsid w:val="00C93C10"/>
    <w:rsid w:val="00C947D1"/>
    <w:rsid w:val="00C9486C"/>
    <w:rsid w:val="00C94A0A"/>
    <w:rsid w:val="00C954B9"/>
    <w:rsid w:val="00C958A5"/>
    <w:rsid w:val="00C95A02"/>
    <w:rsid w:val="00C96030"/>
    <w:rsid w:val="00C960E9"/>
    <w:rsid w:val="00C964F5"/>
    <w:rsid w:val="00C96C61"/>
    <w:rsid w:val="00C9739C"/>
    <w:rsid w:val="00C97544"/>
    <w:rsid w:val="00CA063F"/>
    <w:rsid w:val="00CA079E"/>
    <w:rsid w:val="00CA0E0E"/>
    <w:rsid w:val="00CA1705"/>
    <w:rsid w:val="00CA18C8"/>
    <w:rsid w:val="00CA1A83"/>
    <w:rsid w:val="00CA2996"/>
    <w:rsid w:val="00CA2F61"/>
    <w:rsid w:val="00CA37A6"/>
    <w:rsid w:val="00CA3B37"/>
    <w:rsid w:val="00CA3D9E"/>
    <w:rsid w:val="00CA4189"/>
    <w:rsid w:val="00CA5AB9"/>
    <w:rsid w:val="00CA5D1B"/>
    <w:rsid w:val="00CA62E7"/>
    <w:rsid w:val="00CA645D"/>
    <w:rsid w:val="00CA747C"/>
    <w:rsid w:val="00CB0352"/>
    <w:rsid w:val="00CB0462"/>
    <w:rsid w:val="00CB0BBD"/>
    <w:rsid w:val="00CB0C72"/>
    <w:rsid w:val="00CB0CBC"/>
    <w:rsid w:val="00CB126F"/>
    <w:rsid w:val="00CB1311"/>
    <w:rsid w:val="00CB1794"/>
    <w:rsid w:val="00CB1E38"/>
    <w:rsid w:val="00CB3670"/>
    <w:rsid w:val="00CB3706"/>
    <w:rsid w:val="00CB3713"/>
    <w:rsid w:val="00CB3DCC"/>
    <w:rsid w:val="00CB47AE"/>
    <w:rsid w:val="00CB4EC8"/>
    <w:rsid w:val="00CB4F03"/>
    <w:rsid w:val="00CB5809"/>
    <w:rsid w:val="00CB5A9D"/>
    <w:rsid w:val="00CC035E"/>
    <w:rsid w:val="00CC04D2"/>
    <w:rsid w:val="00CC0C20"/>
    <w:rsid w:val="00CC18BA"/>
    <w:rsid w:val="00CC2C3B"/>
    <w:rsid w:val="00CC37D9"/>
    <w:rsid w:val="00CC5BA2"/>
    <w:rsid w:val="00CC5E84"/>
    <w:rsid w:val="00CC668E"/>
    <w:rsid w:val="00CC74ED"/>
    <w:rsid w:val="00CC7ADC"/>
    <w:rsid w:val="00CC7F5C"/>
    <w:rsid w:val="00CD2D5C"/>
    <w:rsid w:val="00CD3783"/>
    <w:rsid w:val="00CD3B2B"/>
    <w:rsid w:val="00CD3D61"/>
    <w:rsid w:val="00CD4094"/>
    <w:rsid w:val="00CD55C6"/>
    <w:rsid w:val="00CD5F18"/>
    <w:rsid w:val="00CD60E4"/>
    <w:rsid w:val="00CE06B2"/>
    <w:rsid w:val="00CE13AC"/>
    <w:rsid w:val="00CE16ED"/>
    <w:rsid w:val="00CE1AA6"/>
    <w:rsid w:val="00CE2410"/>
    <w:rsid w:val="00CE28DB"/>
    <w:rsid w:val="00CE2DCC"/>
    <w:rsid w:val="00CE33FC"/>
    <w:rsid w:val="00CE356D"/>
    <w:rsid w:val="00CE3679"/>
    <w:rsid w:val="00CE3F03"/>
    <w:rsid w:val="00CE4134"/>
    <w:rsid w:val="00CE4C02"/>
    <w:rsid w:val="00CE4DF7"/>
    <w:rsid w:val="00CE5662"/>
    <w:rsid w:val="00CE591E"/>
    <w:rsid w:val="00CE593D"/>
    <w:rsid w:val="00CE5A94"/>
    <w:rsid w:val="00CE6965"/>
    <w:rsid w:val="00CE76CD"/>
    <w:rsid w:val="00CF0C66"/>
    <w:rsid w:val="00CF0E74"/>
    <w:rsid w:val="00CF1C08"/>
    <w:rsid w:val="00CF222C"/>
    <w:rsid w:val="00CF3204"/>
    <w:rsid w:val="00CF3CF2"/>
    <w:rsid w:val="00CF40DD"/>
    <w:rsid w:val="00CF4821"/>
    <w:rsid w:val="00CF4F62"/>
    <w:rsid w:val="00CF4F93"/>
    <w:rsid w:val="00CF658F"/>
    <w:rsid w:val="00CF6B83"/>
    <w:rsid w:val="00CF7569"/>
    <w:rsid w:val="00D012AC"/>
    <w:rsid w:val="00D021B5"/>
    <w:rsid w:val="00D02EC7"/>
    <w:rsid w:val="00D0475E"/>
    <w:rsid w:val="00D05EEF"/>
    <w:rsid w:val="00D0653B"/>
    <w:rsid w:val="00D1029B"/>
    <w:rsid w:val="00D10365"/>
    <w:rsid w:val="00D10EFB"/>
    <w:rsid w:val="00D12267"/>
    <w:rsid w:val="00D12532"/>
    <w:rsid w:val="00D12723"/>
    <w:rsid w:val="00D12938"/>
    <w:rsid w:val="00D12D6D"/>
    <w:rsid w:val="00D12D88"/>
    <w:rsid w:val="00D1393D"/>
    <w:rsid w:val="00D1436A"/>
    <w:rsid w:val="00D165BD"/>
    <w:rsid w:val="00D1679E"/>
    <w:rsid w:val="00D17068"/>
    <w:rsid w:val="00D179A1"/>
    <w:rsid w:val="00D17BF8"/>
    <w:rsid w:val="00D17C3B"/>
    <w:rsid w:val="00D17D25"/>
    <w:rsid w:val="00D17FE9"/>
    <w:rsid w:val="00D204C3"/>
    <w:rsid w:val="00D21E3E"/>
    <w:rsid w:val="00D21EC1"/>
    <w:rsid w:val="00D23143"/>
    <w:rsid w:val="00D23BBF"/>
    <w:rsid w:val="00D2481A"/>
    <w:rsid w:val="00D24FE4"/>
    <w:rsid w:val="00D24FFB"/>
    <w:rsid w:val="00D25DD7"/>
    <w:rsid w:val="00D2665A"/>
    <w:rsid w:val="00D2742C"/>
    <w:rsid w:val="00D3024C"/>
    <w:rsid w:val="00D306F2"/>
    <w:rsid w:val="00D30E6E"/>
    <w:rsid w:val="00D310AD"/>
    <w:rsid w:val="00D313AB"/>
    <w:rsid w:val="00D31DA4"/>
    <w:rsid w:val="00D32351"/>
    <w:rsid w:val="00D330CA"/>
    <w:rsid w:val="00D33411"/>
    <w:rsid w:val="00D348E4"/>
    <w:rsid w:val="00D34B1D"/>
    <w:rsid w:val="00D35897"/>
    <w:rsid w:val="00D35925"/>
    <w:rsid w:val="00D35FA5"/>
    <w:rsid w:val="00D36217"/>
    <w:rsid w:val="00D375E9"/>
    <w:rsid w:val="00D3774D"/>
    <w:rsid w:val="00D40116"/>
    <w:rsid w:val="00D4025D"/>
    <w:rsid w:val="00D40674"/>
    <w:rsid w:val="00D41F84"/>
    <w:rsid w:val="00D4208A"/>
    <w:rsid w:val="00D426BB"/>
    <w:rsid w:val="00D42BD0"/>
    <w:rsid w:val="00D44493"/>
    <w:rsid w:val="00D44B9F"/>
    <w:rsid w:val="00D44D9D"/>
    <w:rsid w:val="00D450F8"/>
    <w:rsid w:val="00D4550F"/>
    <w:rsid w:val="00D466C5"/>
    <w:rsid w:val="00D46809"/>
    <w:rsid w:val="00D46907"/>
    <w:rsid w:val="00D469B2"/>
    <w:rsid w:val="00D46D6F"/>
    <w:rsid w:val="00D5066F"/>
    <w:rsid w:val="00D50D1D"/>
    <w:rsid w:val="00D50DC6"/>
    <w:rsid w:val="00D511E3"/>
    <w:rsid w:val="00D51B03"/>
    <w:rsid w:val="00D51B93"/>
    <w:rsid w:val="00D51E3E"/>
    <w:rsid w:val="00D52351"/>
    <w:rsid w:val="00D527B0"/>
    <w:rsid w:val="00D52BD1"/>
    <w:rsid w:val="00D532F0"/>
    <w:rsid w:val="00D540A3"/>
    <w:rsid w:val="00D54953"/>
    <w:rsid w:val="00D54F65"/>
    <w:rsid w:val="00D5654F"/>
    <w:rsid w:val="00D56925"/>
    <w:rsid w:val="00D56B56"/>
    <w:rsid w:val="00D57362"/>
    <w:rsid w:val="00D5741B"/>
    <w:rsid w:val="00D6008D"/>
    <w:rsid w:val="00D60B01"/>
    <w:rsid w:val="00D61409"/>
    <w:rsid w:val="00D61428"/>
    <w:rsid w:val="00D6152E"/>
    <w:rsid w:val="00D61585"/>
    <w:rsid w:val="00D61778"/>
    <w:rsid w:val="00D61B8B"/>
    <w:rsid w:val="00D61CFA"/>
    <w:rsid w:val="00D61F27"/>
    <w:rsid w:val="00D627E7"/>
    <w:rsid w:val="00D628E6"/>
    <w:rsid w:val="00D62A65"/>
    <w:rsid w:val="00D62F1E"/>
    <w:rsid w:val="00D63157"/>
    <w:rsid w:val="00D63E13"/>
    <w:rsid w:val="00D64D9E"/>
    <w:rsid w:val="00D6535B"/>
    <w:rsid w:val="00D65697"/>
    <w:rsid w:val="00D65B57"/>
    <w:rsid w:val="00D65F94"/>
    <w:rsid w:val="00D66AD5"/>
    <w:rsid w:val="00D67116"/>
    <w:rsid w:val="00D67224"/>
    <w:rsid w:val="00D6728B"/>
    <w:rsid w:val="00D67726"/>
    <w:rsid w:val="00D7029C"/>
    <w:rsid w:val="00D70686"/>
    <w:rsid w:val="00D70A8A"/>
    <w:rsid w:val="00D70B5A"/>
    <w:rsid w:val="00D70C8E"/>
    <w:rsid w:val="00D723A2"/>
    <w:rsid w:val="00D73E23"/>
    <w:rsid w:val="00D73F45"/>
    <w:rsid w:val="00D74543"/>
    <w:rsid w:val="00D75252"/>
    <w:rsid w:val="00D755ED"/>
    <w:rsid w:val="00D75BC1"/>
    <w:rsid w:val="00D75DA7"/>
    <w:rsid w:val="00D75E6D"/>
    <w:rsid w:val="00D75EEE"/>
    <w:rsid w:val="00D7776D"/>
    <w:rsid w:val="00D77DA9"/>
    <w:rsid w:val="00D77F28"/>
    <w:rsid w:val="00D80202"/>
    <w:rsid w:val="00D8043C"/>
    <w:rsid w:val="00D818B6"/>
    <w:rsid w:val="00D82280"/>
    <w:rsid w:val="00D825A1"/>
    <w:rsid w:val="00D830BF"/>
    <w:rsid w:val="00D83ABA"/>
    <w:rsid w:val="00D84075"/>
    <w:rsid w:val="00D84399"/>
    <w:rsid w:val="00D84D25"/>
    <w:rsid w:val="00D85028"/>
    <w:rsid w:val="00D855C9"/>
    <w:rsid w:val="00D858FC"/>
    <w:rsid w:val="00D85D76"/>
    <w:rsid w:val="00D8617F"/>
    <w:rsid w:val="00D8643E"/>
    <w:rsid w:val="00D86ACD"/>
    <w:rsid w:val="00D86E1C"/>
    <w:rsid w:val="00D87A97"/>
    <w:rsid w:val="00D91167"/>
    <w:rsid w:val="00D91710"/>
    <w:rsid w:val="00D91908"/>
    <w:rsid w:val="00D91B68"/>
    <w:rsid w:val="00D9212D"/>
    <w:rsid w:val="00D942B4"/>
    <w:rsid w:val="00D944DD"/>
    <w:rsid w:val="00D94556"/>
    <w:rsid w:val="00D9500D"/>
    <w:rsid w:val="00D952F2"/>
    <w:rsid w:val="00D95D2C"/>
    <w:rsid w:val="00D95F34"/>
    <w:rsid w:val="00D96D24"/>
    <w:rsid w:val="00D97135"/>
    <w:rsid w:val="00D97B1E"/>
    <w:rsid w:val="00DA0BB8"/>
    <w:rsid w:val="00DA1D79"/>
    <w:rsid w:val="00DA1FA2"/>
    <w:rsid w:val="00DA2028"/>
    <w:rsid w:val="00DA219E"/>
    <w:rsid w:val="00DA232A"/>
    <w:rsid w:val="00DA26A3"/>
    <w:rsid w:val="00DA2CAE"/>
    <w:rsid w:val="00DA3012"/>
    <w:rsid w:val="00DA3487"/>
    <w:rsid w:val="00DA3D03"/>
    <w:rsid w:val="00DA3DA9"/>
    <w:rsid w:val="00DA470F"/>
    <w:rsid w:val="00DA4E53"/>
    <w:rsid w:val="00DA59A3"/>
    <w:rsid w:val="00DA6519"/>
    <w:rsid w:val="00DA6792"/>
    <w:rsid w:val="00DA6C4C"/>
    <w:rsid w:val="00DA7F69"/>
    <w:rsid w:val="00DB0874"/>
    <w:rsid w:val="00DB107D"/>
    <w:rsid w:val="00DB19EF"/>
    <w:rsid w:val="00DB1AED"/>
    <w:rsid w:val="00DB3871"/>
    <w:rsid w:val="00DB3EA6"/>
    <w:rsid w:val="00DB403E"/>
    <w:rsid w:val="00DB45F6"/>
    <w:rsid w:val="00DB4C13"/>
    <w:rsid w:val="00DB5237"/>
    <w:rsid w:val="00DB668A"/>
    <w:rsid w:val="00DB7EA6"/>
    <w:rsid w:val="00DC09FD"/>
    <w:rsid w:val="00DC0A97"/>
    <w:rsid w:val="00DC20B8"/>
    <w:rsid w:val="00DC2403"/>
    <w:rsid w:val="00DC2667"/>
    <w:rsid w:val="00DC35DC"/>
    <w:rsid w:val="00DC38A1"/>
    <w:rsid w:val="00DC4533"/>
    <w:rsid w:val="00DC456B"/>
    <w:rsid w:val="00DC4980"/>
    <w:rsid w:val="00DC4F20"/>
    <w:rsid w:val="00DC558C"/>
    <w:rsid w:val="00DC5807"/>
    <w:rsid w:val="00DC583B"/>
    <w:rsid w:val="00DC5A2A"/>
    <w:rsid w:val="00DC60D4"/>
    <w:rsid w:val="00DC631D"/>
    <w:rsid w:val="00DC6ACE"/>
    <w:rsid w:val="00DD0349"/>
    <w:rsid w:val="00DD08BD"/>
    <w:rsid w:val="00DD0A6A"/>
    <w:rsid w:val="00DD0FE9"/>
    <w:rsid w:val="00DD2484"/>
    <w:rsid w:val="00DD3980"/>
    <w:rsid w:val="00DD3C05"/>
    <w:rsid w:val="00DD3EC5"/>
    <w:rsid w:val="00DD4564"/>
    <w:rsid w:val="00DD547C"/>
    <w:rsid w:val="00DD57A0"/>
    <w:rsid w:val="00DD57AB"/>
    <w:rsid w:val="00DD5E81"/>
    <w:rsid w:val="00DD680C"/>
    <w:rsid w:val="00DD6CF6"/>
    <w:rsid w:val="00DE09F5"/>
    <w:rsid w:val="00DE0FDF"/>
    <w:rsid w:val="00DE1B6D"/>
    <w:rsid w:val="00DE1E40"/>
    <w:rsid w:val="00DE2018"/>
    <w:rsid w:val="00DE22AC"/>
    <w:rsid w:val="00DE22E2"/>
    <w:rsid w:val="00DE27AB"/>
    <w:rsid w:val="00DE2CA1"/>
    <w:rsid w:val="00DE2CAC"/>
    <w:rsid w:val="00DE3467"/>
    <w:rsid w:val="00DE36FF"/>
    <w:rsid w:val="00DE3E9D"/>
    <w:rsid w:val="00DE4172"/>
    <w:rsid w:val="00DE49AA"/>
    <w:rsid w:val="00DE4DCB"/>
    <w:rsid w:val="00DE50FA"/>
    <w:rsid w:val="00DE53AF"/>
    <w:rsid w:val="00DE61B0"/>
    <w:rsid w:val="00DE647D"/>
    <w:rsid w:val="00DE64F3"/>
    <w:rsid w:val="00DF014D"/>
    <w:rsid w:val="00DF0D8E"/>
    <w:rsid w:val="00DF0F2A"/>
    <w:rsid w:val="00DF1336"/>
    <w:rsid w:val="00DF1590"/>
    <w:rsid w:val="00DF3778"/>
    <w:rsid w:val="00DF37BD"/>
    <w:rsid w:val="00DF37EE"/>
    <w:rsid w:val="00DF3823"/>
    <w:rsid w:val="00DF3EFF"/>
    <w:rsid w:val="00DF412F"/>
    <w:rsid w:val="00DF41E2"/>
    <w:rsid w:val="00DF4A40"/>
    <w:rsid w:val="00DF4BB1"/>
    <w:rsid w:val="00DF5CD1"/>
    <w:rsid w:val="00DF5F0C"/>
    <w:rsid w:val="00DF6AC0"/>
    <w:rsid w:val="00DF7035"/>
    <w:rsid w:val="00E011CF"/>
    <w:rsid w:val="00E01BD2"/>
    <w:rsid w:val="00E02C81"/>
    <w:rsid w:val="00E034F9"/>
    <w:rsid w:val="00E03677"/>
    <w:rsid w:val="00E047A8"/>
    <w:rsid w:val="00E05155"/>
    <w:rsid w:val="00E05D8B"/>
    <w:rsid w:val="00E06877"/>
    <w:rsid w:val="00E069CE"/>
    <w:rsid w:val="00E0728E"/>
    <w:rsid w:val="00E072B4"/>
    <w:rsid w:val="00E075FD"/>
    <w:rsid w:val="00E0787D"/>
    <w:rsid w:val="00E101F4"/>
    <w:rsid w:val="00E10B7B"/>
    <w:rsid w:val="00E10C2F"/>
    <w:rsid w:val="00E114E0"/>
    <w:rsid w:val="00E118BD"/>
    <w:rsid w:val="00E11E30"/>
    <w:rsid w:val="00E12260"/>
    <w:rsid w:val="00E12467"/>
    <w:rsid w:val="00E12D92"/>
    <w:rsid w:val="00E12F22"/>
    <w:rsid w:val="00E13FE4"/>
    <w:rsid w:val="00E14569"/>
    <w:rsid w:val="00E1467C"/>
    <w:rsid w:val="00E14A1E"/>
    <w:rsid w:val="00E151CD"/>
    <w:rsid w:val="00E15786"/>
    <w:rsid w:val="00E15BFC"/>
    <w:rsid w:val="00E15E1F"/>
    <w:rsid w:val="00E1608C"/>
    <w:rsid w:val="00E17F37"/>
    <w:rsid w:val="00E201DF"/>
    <w:rsid w:val="00E20999"/>
    <w:rsid w:val="00E20C3E"/>
    <w:rsid w:val="00E21A93"/>
    <w:rsid w:val="00E21B18"/>
    <w:rsid w:val="00E21EB5"/>
    <w:rsid w:val="00E21EC1"/>
    <w:rsid w:val="00E22402"/>
    <w:rsid w:val="00E230C8"/>
    <w:rsid w:val="00E23B6C"/>
    <w:rsid w:val="00E2468B"/>
    <w:rsid w:val="00E2562C"/>
    <w:rsid w:val="00E26296"/>
    <w:rsid w:val="00E26510"/>
    <w:rsid w:val="00E26555"/>
    <w:rsid w:val="00E273DB"/>
    <w:rsid w:val="00E27C46"/>
    <w:rsid w:val="00E27DF6"/>
    <w:rsid w:val="00E305EC"/>
    <w:rsid w:val="00E31009"/>
    <w:rsid w:val="00E31D01"/>
    <w:rsid w:val="00E32170"/>
    <w:rsid w:val="00E3295A"/>
    <w:rsid w:val="00E33379"/>
    <w:rsid w:val="00E33569"/>
    <w:rsid w:val="00E3512E"/>
    <w:rsid w:val="00E353B0"/>
    <w:rsid w:val="00E35BC7"/>
    <w:rsid w:val="00E35CAE"/>
    <w:rsid w:val="00E35D25"/>
    <w:rsid w:val="00E35DF9"/>
    <w:rsid w:val="00E36281"/>
    <w:rsid w:val="00E36343"/>
    <w:rsid w:val="00E36AB3"/>
    <w:rsid w:val="00E371E3"/>
    <w:rsid w:val="00E37439"/>
    <w:rsid w:val="00E37A84"/>
    <w:rsid w:val="00E406A2"/>
    <w:rsid w:val="00E40B3D"/>
    <w:rsid w:val="00E41F3E"/>
    <w:rsid w:val="00E421D9"/>
    <w:rsid w:val="00E442CB"/>
    <w:rsid w:val="00E44358"/>
    <w:rsid w:val="00E4496F"/>
    <w:rsid w:val="00E47633"/>
    <w:rsid w:val="00E47A2F"/>
    <w:rsid w:val="00E47BDC"/>
    <w:rsid w:val="00E51893"/>
    <w:rsid w:val="00E519E9"/>
    <w:rsid w:val="00E527B4"/>
    <w:rsid w:val="00E52E63"/>
    <w:rsid w:val="00E533BC"/>
    <w:rsid w:val="00E53529"/>
    <w:rsid w:val="00E53DE2"/>
    <w:rsid w:val="00E54606"/>
    <w:rsid w:val="00E552BA"/>
    <w:rsid w:val="00E579C5"/>
    <w:rsid w:val="00E6091F"/>
    <w:rsid w:val="00E60EAE"/>
    <w:rsid w:val="00E6146E"/>
    <w:rsid w:val="00E6264F"/>
    <w:rsid w:val="00E63520"/>
    <w:rsid w:val="00E63DB5"/>
    <w:rsid w:val="00E64758"/>
    <w:rsid w:val="00E64C04"/>
    <w:rsid w:val="00E65506"/>
    <w:rsid w:val="00E6610A"/>
    <w:rsid w:val="00E66180"/>
    <w:rsid w:val="00E66274"/>
    <w:rsid w:val="00E66A0C"/>
    <w:rsid w:val="00E670AA"/>
    <w:rsid w:val="00E675A2"/>
    <w:rsid w:val="00E675D6"/>
    <w:rsid w:val="00E70388"/>
    <w:rsid w:val="00E70FC5"/>
    <w:rsid w:val="00E7162C"/>
    <w:rsid w:val="00E7184C"/>
    <w:rsid w:val="00E71C47"/>
    <w:rsid w:val="00E71CA7"/>
    <w:rsid w:val="00E71E27"/>
    <w:rsid w:val="00E7278F"/>
    <w:rsid w:val="00E72A7A"/>
    <w:rsid w:val="00E735D0"/>
    <w:rsid w:val="00E739AA"/>
    <w:rsid w:val="00E743D1"/>
    <w:rsid w:val="00E75034"/>
    <w:rsid w:val="00E753F4"/>
    <w:rsid w:val="00E75A71"/>
    <w:rsid w:val="00E75AAC"/>
    <w:rsid w:val="00E774A7"/>
    <w:rsid w:val="00E802FE"/>
    <w:rsid w:val="00E8043A"/>
    <w:rsid w:val="00E80CC0"/>
    <w:rsid w:val="00E82826"/>
    <w:rsid w:val="00E82CA2"/>
    <w:rsid w:val="00E82DBD"/>
    <w:rsid w:val="00E8426E"/>
    <w:rsid w:val="00E84A0F"/>
    <w:rsid w:val="00E84A9C"/>
    <w:rsid w:val="00E84DC6"/>
    <w:rsid w:val="00E85CB0"/>
    <w:rsid w:val="00E86A8D"/>
    <w:rsid w:val="00E87575"/>
    <w:rsid w:val="00E875D3"/>
    <w:rsid w:val="00E879F8"/>
    <w:rsid w:val="00E914F3"/>
    <w:rsid w:val="00E918D5"/>
    <w:rsid w:val="00E91D2E"/>
    <w:rsid w:val="00E929F3"/>
    <w:rsid w:val="00E92A30"/>
    <w:rsid w:val="00E9381B"/>
    <w:rsid w:val="00E93ACE"/>
    <w:rsid w:val="00E93AEC"/>
    <w:rsid w:val="00E93DC2"/>
    <w:rsid w:val="00E94AD5"/>
    <w:rsid w:val="00E9573D"/>
    <w:rsid w:val="00E9619E"/>
    <w:rsid w:val="00E962BC"/>
    <w:rsid w:val="00E976CE"/>
    <w:rsid w:val="00EA06EA"/>
    <w:rsid w:val="00EA0896"/>
    <w:rsid w:val="00EA0C6A"/>
    <w:rsid w:val="00EA143A"/>
    <w:rsid w:val="00EA1FE9"/>
    <w:rsid w:val="00EA2B34"/>
    <w:rsid w:val="00EA31B2"/>
    <w:rsid w:val="00EA32C5"/>
    <w:rsid w:val="00EA3837"/>
    <w:rsid w:val="00EA39EB"/>
    <w:rsid w:val="00EA3D5E"/>
    <w:rsid w:val="00EA59C5"/>
    <w:rsid w:val="00EA71EA"/>
    <w:rsid w:val="00EA7FD1"/>
    <w:rsid w:val="00EB046D"/>
    <w:rsid w:val="00EB24B6"/>
    <w:rsid w:val="00EB3162"/>
    <w:rsid w:val="00EB35FF"/>
    <w:rsid w:val="00EB4F0B"/>
    <w:rsid w:val="00EB515A"/>
    <w:rsid w:val="00EB5531"/>
    <w:rsid w:val="00EB581B"/>
    <w:rsid w:val="00EB5833"/>
    <w:rsid w:val="00EB618E"/>
    <w:rsid w:val="00EB74F9"/>
    <w:rsid w:val="00EB7DB4"/>
    <w:rsid w:val="00EC03EE"/>
    <w:rsid w:val="00EC07A1"/>
    <w:rsid w:val="00EC0A37"/>
    <w:rsid w:val="00EC1B5B"/>
    <w:rsid w:val="00EC1DB4"/>
    <w:rsid w:val="00EC289B"/>
    <w:rsid w:val="00EC3529"/>
    <w:rsid w:val="00EC3809"/>
    <w:rsid w:val="00EC388B"/>
    <w:rsid w:val="00EC3B30"/>
    <w:rsid w:val="00EC3DD0"/>
    <w:rsid w:val="00EC5437"/>
    <w:rsid w:val="00EC55FB"/>
    <w:rsid w:val="00EC5DE5"/>
    <w:rsid w:val="00EC620D"/>
    <w:rsid w:val="00EC6A7F"/>
    <w:rsid w:val="00EC78E3"/>
    <w:rsid w:val="00EC7B81"/>
    <w:rsid w:val="00ED02B6"/>
    <w:rsid w:val="00ED0343"/>
    <w:rsid w:val="00ED061D"/>
    <w:rsid w:val="00ED09E3"/>
    <w:rsid w:val="00ED0BC3"/>
    <w:rsid w:val="00ED0FFE"/>
    <w:rsid w:val="00ED1309"/>
    <w:rsid w:val="00ED1546"/>
    <w:rsid w:val="00ED1E7D"/>
    <w:rsid w:val="00ED1F18"/>
    <w:rsid w:val="00ED2362"/>
    <w:rsid w:val="00ED260A"/>
    <w:rsid w:val="00ED2BE0"/>
    <w:rsid w:val="00ED33DA"/>
    <w:rsid w:val="00ED3976"/>
    <w:rsid w:val="00ED3C79"/>
    <w:rsid w:val="00ED486D"/>
    <w:rsid w:val="00ED4B02"/>
    <w:rsid w:val="00ED5375"/>
    <w:rsid w:val="00ED5762"/>
    <w:rsid w:val="00ED65F5"/>
    <w:rsid w:val="00ED6FB5"/>
    <w:rsid w:val="00ED75B0"/>
    <w:rsid w:val="00ED79E7"/>
    <w:rsid w:val="00EE0A10"/>
    <w:rsid w:val="00EE0AFA"/>
    <w:rsid w:val="00EE1BE1"/>
    <w:rsid w:val="00EE2299"/>
    <w:rsid w:val="00EE385E"/>
    <w:rsid w:val="00EE44CD"/>
    <w:rsid w:val="00EE4A44"/>
    <w:rsid w:val="00EE4B5B"/>
    <w:rsid w:val="00EE50F4"/>
    <w:rsid w:val="00EE64BA"/>
    <w:rsid w:val="00EE64DA"/>
    <w:rsid w:val="00EE6FCD"/>
    <w:rsid w:val="00EE7324"/>
    <w:rsid w:val="00EE769F"/>
    <w:rsid w:val="00EE7EB6"/>
    <w:rsid w:val="00EE7F68"/>
    <w:rsid w:val="00EE7F96"/>
    <w:rsid w:val="00EF016D"/>
    <w:rsid w:val="00EF1B22"/>
    <w:rsid w:val="00EF36DF"/>
    <w:rsid w:val="00EF38D7"/>
    <w:rsid w:val="00EF41F8"/>
    <w:rsid w:val="00EF459B"/>
    <w:rsid w:val="00EF49C2"/>
    <w:rsid w:val="00EF5445"/>
    <w:rsid w:val="00EF56E7"/>
    <w:rsid w:val="00EF6638"/>
    <w:rsid w:val="00EF67E1"/>
    <w:rsid w:val="00EF71DF"/>
    <w:rsid w:val="00EF747F"/>
    <w:rsid w:val="00EF7924"/>
    <w:rsid w:val="00EF7E66"/>
    <w:rsid w:val="00F00720"/>
    <w:rsid w:val="00F00BD6"/>
    <w:rsid w:val="00F00E3A"/>
    <w:rsid w:val="00F0195A"/>
    <w:rsid w:val="00F01A33"/>
    <w:rsid w:val="00F02039"/>
    <w:rsid w:val="00F02466"/>
    <w:rsid w:val="00F02C5D"/>
    <w:rsid w:val="00F02E4E"/>
    <w:rsid w:val="00F03AD9"/>
    <w:rsid w:val="00F05C35"/>
    <w:rsid w:val="00F067E7"/>
    <w:rsid w:val="00F06834"/>
    <w:rsid w:val="00F07800"/>
    <w:rsid w:val="00F07DB8"/>
    <w:rsid w:val="00F07E65"/>
    <w:rsid w:val="00F1035C"/>
    <w:rsid w:val="00F1102E"/>
    <w:rsid w:val="00F11159"/>
    <w:rsid w:val="00F1122D"/>
    <w:rsid w:val="00F11D49"/>
    <w:rsid w:val="00F120B3"/>
    <w:rsid w:val="00F120E4"/>
    <w:rsid w:val="00F12177"/>
    <w:rsid w:val="00F1256C"/>
    <w:rsid w:val="00F125BD"/>
    <w:rsid w:val="00F12A9A"/>
    <w:rsid w:val="00F135FF"/>
    <w:rsid w:val="00F138AD"/>
    <w:rsid w:val="00F14DE4"/>
    <w:rsid w:val="00F14E99"/>
    <w:rsid w:val="00F154FE"/>
    <w:rsid w:val="00F169C2"/>
    <w:rsid w:val="00F16A61"/>
    <w:rsid w:val="00F16DA6"/>
    <w:rsid w:val="00F170BE"/>
    <w:rsid w:val="00F172CE"/>
    <w:rsid w:val="00F17354"/>
    <w:rsid w:val="00F20031"/>
    <w:rsid w:val="00F20539"/>
    <w:rsid w:val="00F2293D"/>
    <w:rsid w:val="00F230DD"/>
    <w:rsid w:val="00F237DC"/>
    <w:rsid w:val="00F2395E"/>
    <w:rsid w:val="00F243FE"/>
    <w:rsid w:val="00F24B60"/>
    <w:rsid w:val="00F26772"/>
    <w:rsid w:val="00F27203"/>
    <w:rsid w:val="00F27B90"/>
    <w:rsid w:val="00F3061D"/>
    <w:rsid w:val="00F30936"/>
    <w:rsid w:val="00F30C56"/>
    <w:rsid w:val="00F31386"/>
    <w:rsid w:val="00F3192F"/>
    <w:rsid w:val="00F32A62"/>
    <w:rsid w:val="00F33893"/>
    <w:rsid w:val="00F33A47"/>
    <w:rsid w:val="00F33B7C"/>
    <w:rsid w:val="00F343C4"/>
    <w:rsid w:val="00F3558D"/>
    <w:rsid w:val="00F35A95"/>
    <w:rsid w:val="00F369E8"/>
    <w:rsid w:val="00F36F36"/>
    <w:rsid w:val="00F36FFF"/>
    <w:rsid w:val="00F373B0"/>
    <w:rsid w:val="00F40BA1"/>
    <w:rsid w:val="00F411B5"/>
    <w:rsid w:val="00F41A76"/>
    <w:rsid w:val="00F41BBB"/>
    <w:rsid w:val="00F41C12"/>
    <w:rsid w:val="00F4413A"/>
    <w:rsid w:val="00F443B3"/>
    <w:rsid w:val="00F44994"/>
    <w:rsid w:val="00F4595F"/>
    <w:rsid w:val="00F45B19"/>
    <w:rsid w:val="00F465BE"/>
    <w:rsid w:val="00F4683E"/>
    <w:rsid w:val="00F5160A"/>
    <w:rsid w:val="00F52F18"/>
    <w:rsid w:val="00F53040"/>
    <w:rsid w:val="00F536BF"/>
    <w:rsid w:val="00F53870"/>
    <w:rsid w:val="00F5515F"/>
    <w:rsid w:val="00F552F7"/>
    <w:rsid w:val="00F5685D"/>
    <w:rsid w:val="00F578F4"/>
    <w:rsid w:val="00F579BA"/>
    <w:rsid w:val="00F57C89"/>
    <w:rsid w:val="00F60420"/>
    <w:rsid w:val="00F61D58"/>
    <w:rsid w:val="00F6232A"/>
    <w:rsid w:val="00F633D5"/>
    <w:rsid w:val="00F63950"/>
    <w:rsid w:val="00F646F9"/>
    <w:rsid w:val="00F649EB"/>
    <w:rsid w:val="00F64A0B"/>
    <w:rsid w:val="00F64E06"/>
    <w:rsid w:val="00F66558"/>
    <w:rsid w:val="00F66D7E"/>
    <w:rsid w:val="00F66E25"/>
    <w:rsid w:val="00F66F47"/>
    <w:rsid w:val="00F678CB"/>
    <w:rsid w:val="00F711DD"/>
    <w:rsid w:val="00F71802"/>
    <w:rsid w:val="00F725F0"/>
    <w:rsid w:val="00F72A18"/>
    <w:rsid w:val="00F73487"/>
    <w:rsid w:val="00F734F3"/>
    <w:rsid w:val="00F73B06"/>
    <w:rsid w:val="00F73DC6"/>
    <w:rsid w:val="00F73F74"/>
    <w:rsid w:val="00F750EC"/>
    <w:rsid w:val="00F761E3"/>
    <w:rsid w:val="00F762A5"/>
    <w:rsid w:val="00F7650F"/>
    <w:rsid w:val="00F7683F"/>
    <w:rsid w:val="00F77411"/>
    <w:rsid w:val="00F77620"/>
    <w:rsid w:val="00F77837"/>
    <w:rsid w:val="00F8134A"/>
    <w:rsid w:val="00F8143F"/>
    <w:rsid w:val="00F82CBD"/>
    <w:rsid w:val="00F83E8C"/>
    <w:rsid w:val="00F84D70"/>
    <w:rsid w:val="00F865FF"/>
    <w:rsid w:val="00F86769"/>
    <w:rsid w:val="00F86B80"/>
    <w:rsid w:val="00F86C4D"/>
    <w:rsid w:val="00F86DE1"/>
    <w:rsid w:val="00F871AC"/>
    <w:rsid w:val="00F877CB"/>
    <w:rsid w:val="00F87993"/>
    <w:rsid w:val="00F90268"/>
    <w:rsid w:val="00F90F86"/>
    <w:rsid w:val="00F9267E"/>
    <w:rsid w:val="00F934EF"/>
    <w:rsid w:val="00F9452A"/>
    <w:rsid w:val="00F946C0"/>
    <w:rsid w:val="00F95043"/>
    <w:rsid w:val="00F9609D"/>
    <w:rsid w:val="00F965E1"/>
    <w:rsid w:val="00F9678A"/>
    <w:rsid w:val="00F96D25"/>
    <w:rsid w:val="00F96E94"/>
    <w:rsid w:val="00F97195"/>
    <w:rsid w:val="00F9763F"/>
    <w:rsid w:val="00F97F61"/>
    <w:rsid w:val="00FA0C65"/>
    <w:rsid w:val="00FA1116"/>
    <w:rsid w:val="00FA125C"/>
    <w:rsid w:val="00FA19E2"/>
    <w:rsid w:val="00FA3997"/>
    <w:rsid w:val="00FA3F8F"/>
    <w:rsid w:val="00FA4F71"/>
    <w:rsid w:val="00FA5406"/>
    <w:rsid w:val="00FA59D4"/>
    <w:rsid w:val="00FA62CE"/>
    <w:rsid w:val="00FA667E"/>
    <w:rsid w:val="00FA7831"/>
    <w:rsid w:val="00FA7E26"/>
    <w:rsid w:val="00FA7E85"/>
    <w:rsid w:val="00FB0661"/>
    <w:rsid w:val="00FB11EE"/>
    <w:rsid w:val="00FB145C"/>
    <w:rsid w:val="00FB1ECA"/>
    <w:rsid w:val="00FB24AD"/>
    <w:rsid w:val="00FB3A62"/>
    <w:rsid w:val="00FB3BF5"/>
    <w:rsid w:val="00FB3EEE"/>
    <w:rsid w:val="00FB410E"/>
    <w:rsid w:val="00FB4342"/>
    <w:rsid w:val="00FB4863"/>
    <w:rsid w:val="00FB4BFA"/>
    <w:rsid w:val="00FB5524"/>
    <w:rsid w:val="00FB600F"/>
    <w:rsid w:val="00FB6E9C"/>
    <w:rsid w:val="00FB73E7"/>
    <w:rsid w:val="00FC0D44"/>
    <w:rsid w:val="00FC1051"/>
    <w:rsid w:val="00FC1169"/>
    <w:rsid w:val="00FC12ED"/>
    <w:rsid w:val="00FC2C02"/>
    <w:rsid w:val="00FC3650"/>
    <w:rsid w:val="00FC3F09"/>
    <w:rsid w:val="00FC45F9"/>
    <w:rsid w:val="00FC4C71"/>
    <w:rsid w:val="00FC55AC"/>
    <w:rsid w:val="00FC62FC"/>
    <w:rsid w:val="00FC6538"/>
    <w:rsid w:val="00FC6823"/>
    <w:rsid w:val="00FC707C"/>
    <w:rsid w:val="00FC71EF"/>
    <w:rsid w:val="00FC7226"/>
    <w:rsid w:val="00FD0F55"/>
    <w:rsid w:val="00FD11B1"/>
    <w:rsid w:val="00FD22CF"/>
    <w:rsid w:val="00FD22F9"/>
    <w:rsid w:val="00FD23F9"/>
    <w:rsid w:val="00FD26EB"/>
    <w:rsid w:val="00FD2824"/>
    <w:rsid w:val="00FD3066"/>
    <w:rsid w:val="00FD33D3"/>
    <w:rsid w:val="00FD3811"/>
    <w:rsid w:val="00FD3DF9"/>
    <w:rsid w:val="00FD4836"/>
    <w:rsid w:val="00FD4B4E"/>
    <w:rsid w:val="00FD5535"/>
    <w:rsid w:val="00FD582F"/>
    <w:rsid w:val="00FD5F87"/>
    <w:rsid w:val="00FD61C8"/>
    <w:rsid w:val="00FD6D93"/>
    <w:rsid w:val="00FD6E6C"/>
    <w:rsid w:val="00FD76BB"/>
    <w:rsid w:val="00FE0675"/>
    <w:rsid w:val="00FE0795"/>
    <w:rsid w:val="00FE0DC8"/>
    <w:rsid w:val="00FE13EF"/>
    <w:rsid w:val="00FE1410"/>
    <w:rsid w:val="00FE1418"/>
    <w:rsid w:val="00FE1445"/>
    <w:rsid w:val="00FE15EE"/>
    <w:rsid w:val="00FE1B18"/>
    <w:rsid w:val="00FE2566"/>
    <w:rsid w:val="00FE306F"/>
    <w:rsid w:val="00FE3B89"/>
    <w:rsid w:val="00FE40A0"/>
    <w:rsid w:val="00FE436D"/>
    <w:rsid w:val="00FE4D10"/>
    <w:rsid w:val="00FE547F"/>
    <w:rsid w:val="00FE5767"/>
    <w:rsid w:val="00FE7469"/>
    <w:rsid w:val="00FE7E55"/>
    <w:rsid w:val="00FF0768"/>
    <w:rsid w:val="00FF0E48"/>
    <w:rsid w:val="00FF1C55"/>
    <w:rsid w:val="00FF2599"/>
    <w:rsid w:val="00FF2D26"/>
    <w:rsid w:val="00FF429F"/>
    <w:rsid w:val="00FF57EF"/>
    <w:rsid w:val="00FF7056"/>
    <w:rsid w:val="00FF7488"/>
    <w:rsid w:val="00FF76F0"/>
    <w:rsid w:val="26B082D3"/>
    <w:rsid w:val="50427EFC"/>
    <w:rsid w:val="6E490E9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092198"/>
  <w15:chartTrackingRefBased/>
  <w15:docId w15:val="{A99A341E-28CD-480D-89B1-C07665CC5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semiHidden="1" w:uiPriority="4" w:qFormat="1"/>
    <w:lsdException w:name="heading 6" w:semiHidden="1" w:uiPriority="4"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54"/>
    <w:lsdException w:name="footer" w:uiPriority="55"/>
    <w:lsdException w:name="index heading" w:semiHidden="1" w:unhideWhenUsed="1"/>
    <w:lsdException w:name="caption" w:uiPriority="3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1" w:unhideWhenUsed="1"/>
    <w:lsdException w:name="List Bullet 4" w:semiHidden="1" w:uiPriority="11" w:unhideWhenUsed="1"/>
    <w:lsdException w:name="List Bullet 5" w:semiHidden="1" w:uiPriority="11" w:unhideWhenUsed="1"/>
    <w:lsdException w:name="List Number 2" w:semiHidden="1" w:uiPriority="10" w:unhideWhenUsed="1" w:qFormat="1"/>
    <w:lsdException w:name="List Number 3" w:semiHidden="1" w:uiPriority="10" w:unhideWhenUsed="1"/>
    <w:lsdException w:name="List Number 4" w:semiHidden="1" w:uiPriority="10" w:unhideWhenUsed="1"/>
    <w:lsdException w:name="List Number 5" w:semiHidden="1" w:uiPriority="10" w:unhideWhenUsed="1"/>
    <w:lsdException w:name="Title" w:uiPriority="44"/>
    <w:lsdException w:name="Closing" w:semiHidden="1" w:unhideWhenUsed="1"/>
    <w:lsdException w:name="Signature" w:semiHidden="1" w:unhideWhenUsed="1"/>
    <w:lsdException w:name="Default Paragraph Font" w:semiHidden="1" w:uiPriority="1" w:unhideWhenUsed="1"/>
    <w:lsdException w:name="Body Text" w:uiPriority="9" w:qFormat="1"/>
    <w:lsdException w:name="Body Text Indent" w:semiHidden="1" w:uiPriority="12"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5"/>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qFormat="1"/>
    <w:lsdException w:name="Body Text 3" w:semiHidden="1" w:qFormat="1"/>
    <w:lsdException w:name="Body Text Indent 2" w:semiHidden="1"/>
    <w:lsdException w:name="Body Text Indent 3" w:semiHidden="1"/>
    <w:lsdException w:name="Block Text" w:semiHidden="1" w:unhideWhenUsed="1"/>
    <w:lsdException w:name="FollowedHyperlink" w:semiHidden="1" w:unhideWhenUsed="1"/>
    <w:lsdException w:name="Strong" w:semiHidden="1" w:uiPriority="22" w:qFormat="1"/>
    <w:lsdException w:name="Emphasis" w:semiHidden="1" w:uiPriority="8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83"/>
    <w:lsdException w:name="Intense Quote" w:semiHidden="1" w:uiPriority="8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79"/>
    <w:lsdException w:name="Intense Emphasis" w:semiHidden="1" w:uiPriority="81"/>
    <w:lsdException w:name="Subtle Reference" w:semiHidden="1" w:uiPriority="85"/>
    <w:lsdException w:name="Intense Reference" w:semiHidden="1" w:uiPriority="86"/>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6"/>
    <w:qFormat/>
    <w:rsid w:val="003E2177"/>
    <w:pPr>
      <w:spacing w:line="240" w:lineRule="auto"/>
    </w:pPr>
  </w:style>
  <w:style w:type="paragraph" w:styleId="Heading1">
    <w:name w:val="heading 1"/>
    <w:aliases w:val="09. Heading 1"/>
    <w:basedOn w:val="Normal"/>
    <w:next w:val="BodyText"/>
    <w:link w:val="Heading1Char"/>
    <w:uiPriority w:val="4"/>
    <w:qFormat/>
    <w:rsid w:val="0020736C"/>
    <w:pPr>
      <w:keepNext/>
      <w:keepLines/>
      <w:pageBreakBefore/>
      <w:numPr>
        <w:numId w:val="9"/>
      </w:numPr>
      <w:pBdr>
        <w:bottom w:val="single" w:sz="6" w:space="6" w:color="3B0083" w:themeColor="accent1"/>
      </w:pBdr>
      <w:spacing w:after="480" w:line="216" w:lineRule="auto"/>
      <w:outlineLvl w:val="0"/>
    </w:pPr>
    <w:rPr>
      <w:rFonts w:asciiTheme="majorHAnsi" w:eastAsiaTheme="majorEastAsia" w:hAnsiTheme="majorHAnsi" w:cstheme="majorBidi"/>
      <w:color w:val="3B0083" w:themeColor="accent1"/>
      <w:sz w:val="48"/>
      <w:szCs w:val="32"/>
    </w:rPr>
  </w:style>
  <w:style w:type="paragraph" w:styleId="Heading2">
    <w:name w:val="heading 2"/>
    <w:aliases w:val="10. Heading 2"/>
    <w:basedOn w:val="Normal"/>
    <w:next w:val="BodyText"/>
    <w:link w:val="Heading2Char"/>
    <w:uiPriority w:val="4"/>
    <w:qFormat/>
    <w:rsid w:val="000E6B70"/>
    <w:pPr>
      <w:keepNext/>
      <w:keepLines/>
      <w:numPr>
        <w:ilvl w:val="1"/>
        <w:numId w:val="9"/>
      </w:numPr>
      <w:spacing w:before="320" w:line="216" w:lineRule="auto"/>
      <w:outlineLvl w:val="1"/>
    </w:pPr>
    <w:rPr>
      <w:rFonts w:asciiTheme="majorHAnsi" w:eastAsiaTheme="majorEastAsia" w:hAnsiTheme="majorHAnsi" w:cstheme="majorBidi"/>
      <w:color w:val="3B0083" w:themeColor="accent1"/>
      <w:sz w:val="36"/>
      <w:szCs w:val="26"/>
    </w:rPr>
  </w:style>
  <w:style w:type="paragraph" w:styleId="Heading3">
    <w:name w:val="heading 3"/>
    <w:aliases w:val="1.1.1 Heading 3,11. Heading 3"/>
    <w:basedOn w:val="Normal"/>
    <w:next w:val="BodyText"/>
    <w:link w:val="Heading3Char"/>
    <w:uiPriority w:val="4"/>
    <w:qFormat/>
    <w:rsid w:val="006261FB"/>
    <w:pPr>
      <w:keepNext/>
      <w:keepLines/>
      <w:numPr>
        <w:ilvl w:val="2"/>
        <w:numId w:val="9"/>
      </w:numPr>
      <w:spacing w:before="320" w:line="216" w:lineRule="auto"/>
      <w:ind w:left="851"/>
      <w:outlineLvl w:val="2"/>
    </w:pPr>
    <w:rPr>
      <w:rFonts w:asciiTheme="majorHAnsi" w:eastAsiaTheme="majorEastAsia" w:hAnsiTheme="majorHAnsi" w:cstheme="majorBidi"/>
      <w:color w:val="3B0083" w:themeColor="accent1"/>
      <w:sz w:val="24"/>
      <w:szCs w:val="24"/>
    </w:rPr>
  </w:style>
  <w:style w:type="paragraph" w:styleId="Heading4">
    <w:name w:val="heading 4"/>
    <w:next w:val="BodyText"/>
    <w:link w:val="Heading4Char"/>
    <w:uiPriority w:val="4"/>
    <w:qFormat/>
    <w:rsid w:val="0089198B"/>
    <w:pPr>
      <w:keepNext/>
      <w:keepLines/>
      <w:spacing w:before="260" w:line="240" w:lineRule="atLeast"/>
      <w:outlineLvl w:val="3"/>
    </w:pPr>
    <w:rPr>
      <w:rFonts w:asciiTheme="majorHAnsi" w:eastAsiaTheme="majorEastAsia" w:hAnsiTheme="majorHAnsi" w:cstheme="majorBidi"/>
      <w:b/>
      <w:iCs/>
      <w:color w:val="3B0083" w:themeColor="accent1"/>
      <w:spacing w:val="10"/>
      <w:szCs w:val="24"/>
    </w:rPr>
  </w:style>
  <w:style w:type="paragraph" w:styleId="Heading5">
    <w:name w:val="heading 5"/>
    <w:next w:val="BodyText"/>
    <w:link w:val="Heading5Char"/>
    <w:uiPriority w:val="4"/>
    <w:semiHidden/>
    <w:qFormat/>
    <w:rsid w:val="00AB1BD3"/>
    <w:pPr>
      <w:tabs>
        <w:tab w:val="num" w:pos="0"/>
      </w:tabs>
      <w:spacing w:before="240"/>
      <w:outlineLvl w:val="4"/>
    </w:pPr>
    <w:rPr>
      <w:rFonts w:asciiTheme="majorHAnsi" w:eastAsiaTheme="majorEastAsia" w:hAnsiTheme="majorHAnsi" w:cstheme="majorBidi"/>
      <w:i/>
      <w:iCs/>
      <w:color w:val="2B0062" w:themeColor="accent1" w:themeShade="BF"/>
      <w:sz w:val="24"/>
      <w:szCs w:val="24"/>
    </w:rPr>
  </w:style>
  <w:style w:type="paragraph" w:styleId="Heading6">
    <w:name w:val="heading 6"/>
    <w:next w:val="BodyText"/>
    <w:link w:val="Heading6Char"/>
    <w:uiPriority w:val="4"/>
    <w:semiHidden/>
    <w:qFormat/>
    <w:rsid w:val="00AB1BD3"/>
    <w:pPr>
      <w:spacing w:before="240"/>
      <w:outlineLvl w:val="5"/>
    </w:pPr>
    <w:rPr>
      <w:rFonts w:asciiTheme="majorHAnsi" w:eastAsiaTheme="majorEastAsia" w:hAnsiTheme="majorHAnsi" w:cstheme="majorBidi"/>
      <w:i/>
      <w:iCs/>
      <w:color w:val="1D0041" w:themeColor="accent1" w:themeShade="7F"/>
      <w:sz w:val="24"/>
      <w:szCs w:val="24"/>
    </w:rPr>
  </w:style>
  <w:style w:type="paragraph" w:styleId="Heading7">
    <w:name w:val="heading 7"/>
    <w:aliases w:val="Appendix H1"/>
    <w:basedOn w:val="Heading1"/>
    <w:next w:val="BodyText"/>
    <w:link w:val="Heading7Char"/>
    <w:uiPriority w:val="19"/>
    <w:qFormat/>
    <w:rsid w:val="00DE50FA"/>
    <w:pPr>
      <w:numPr>
        <w:numId w:val="16"/>
      </w:numPr>
      <w:outlineLvl w:val="6"/>
    </w:pPr>
    <w:rPr>
      <w:szCs w:val="24"/>
    </w:rPr>
  </w:style>
  <w:style w:type="paragraph" w:styleId="Heading8">
    <w:name w:val="heading 8"/>
    <w:aliases w:val="Appendix H2"/>
    <w:basedOn w:val="Heading2"/>
    <w:next w:val="BodyText"/>
    <w:link w:val="Heading8Char"/>
    <w:uiPriority w:val="19"/>
    <w:qFormat/>
    <w:rsid w:val="00DE50FA"/>
    <w:pPr>
      <w:numPr>
        <w:numId w:val="16"/>
      </w:numPr>
      <w:spacing w:before="240"/>
      <w:outlineLvl w:val="7"/>
    </w:pPr>
    <w:rPr>
      <w:szCs w:val="21"/>
    </w:rPr>
  </w:style>
  <w:style w:type="paragraph" w:styleId="Heading9">
    <w:name w:val="heading 9"/>
    <w:aliases w:val="Appendix H3"/>
    <w:basedOn w:val="Heading3"/>
    <w:next w:val="BodyText"/>
    <w:link w:val="Heading9Char"/>
    <w:uiPriority w:val="19"/>
    <w:qFormat/>
    <w:rsid w:val="00DE50FA"/>
    <w:pPr>
      <w:numPr>
        <w:numId w:val="16"/>
      </w:numPr>
      <w:spacing w:before="240"/>
      <w:outlineLvl w:val="8"/>
    </w:pPr>
    <w:rPr>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s,List 1 Paragraph,Bullet List,FooterText,numbered,List Paragraph1,Paragraphe de liste1,Bulletr List Paragraph,列出段落,列出段落1,List Paragraph2,List Paragraph21,Listeafsnit1,Parágrafo da Lista1,Bullet list,Párrafo de lista1,L,Body text,リスト段"/>
    <w:basedOn w:val="Normal"/>
    <w:link w:val="ListParagraphChar"/>
    <w:uiPriority w:val="34"/>
    <w:qFormat/>
    <w:rsid w:val="00B475B1"/>
    <w:pPr>
      <w:spacing w:after="240"/>
      <w:ind w:left="720"/>
      <w:contextualSpacing/>
    </w:pPr>
  </w:style>
  <w:style w:type="character" w:customStyle="1" w:styleId="Heading2Char">
    <w:name w:val="Heading 2 Char"/>
    <w:aliases w:val="10. Heading 2 Char"/>
    <w:basedOn w:val="DefaultParagraphFont"/>
    <w:link w:val="Heading2"/>
    <w:uiPriority w:val="4"/>
    <w:rsid w:val="000E6B70"/>
    <w:rPr>
      <w:rFonts w:asciiTheme="majorHAnsi" w:eastAsiaTheme="majorEastAsia" w:hAnsiTheme="majorHAnsi" w:cstheme="majorBidi"/>
      <w:color w:val="3B0083" w:themeColor="accent1"/>
      <w:sz w:val="36"/>
      <w:szCs w:val="26"/>
    </w:rPr>
  </w:style>
  <w:style w:type="character" w:customStyle="1" w:styleId="Heading1Char">
    <w:name w:val="Heading 1 Char"/>
    <w:aliases w:val="09. Heading 1 Char"/>
    <w:basedOn w:val="DefaultParagraphFont"/>
    <w:link w:val="Heading1"/>
    <w:uiPriority w:val="4"/>
    <w:rsid w:val="0020736C"/>
    <w:rPr>
      <w:rFonts w:asciiTheme="majorHAnsi" w:eastAsiaTheme="majorEastAsia" w:hAnsiTheme="majorHAnsi" w:cstheme="majorBidi"/>
      <w:color w:val="3B0083" w:themeColor="accent1"/>
      <w:sz w:val="48"/>
      <w:szCs w:val="32"/>
    </w:rPr>
  </w:style>
  <w:style w:type="character" w:styleId="Hyperlink">
    <w:name w:val="Hyperlink"/>
    <w:basedOn w:val="DefaultParagraphFont"/>
    <w:uiPriority w:val="99"/>
    <w:rsid w:val="008E06CE"/>
    <w:rPr>
      <w:color w:val="3B0083" w:themeColor="hyperlink"/>
      <w:u w:val="single"/>
    </w:rPr>
  </w:style>
  <w:style w:type="character" w:styleId="FollowedHyperlink">
    <w:name w:val="FollowedHyperlink"/>
    <w:basedOn w:val="DefaultParagraphFont"/>
    <w:uiPriority w:val="70"/>
    <w:rsid w:val="002E5D6E"/>
    <w:rPr>
      <w:color w:val="C60C30" w:themeColor="followedHyperlink"/>
      <w:u w:val="single"/>
    </w:rPr>
  </w:style>
  <w:style w:type="paragraph" w:styleId="BodyText">
    <w:name w:val="Body Text"/>
    <w:aliases w:val="bt"/>
    <w:basedOn w:val="Normal"/>
    <w:link w:val="BodyTextChar"/>
    <w:uiPriority w:val="9"/>
    <w:qFormat/>
    <w:rsid w:val="008A0727"/>
    <w:rPr>
      <w:szCs w:val="24"/>
    </w:rPr>
  </w:style>
  <w:style w:type="character" w:customStyle="1" w:styleId="BodyTextChar">
    <w:name w:val="Body Text Char"/>
    <w:aliases w:val="bt Char"/>
    <w:basedOn w:val="DefaultParagraphFont"/>
    <w:link w:val="BodyText"/>
    <w:uiPriority w:val="9"/>
    <w:rsid w:val="008A0727"/>
    <w:rPr>
      <w:szCs w:val="24"/>
    </w:rPr>
  </w:style>
  <w:style w:type="paragraph" w:styleId="TableofFigures">
    <w:name w:val="table of figures"/>
    <w:basedOn w:val="TOC1"/>
    <w:next w:val="Normal"/>
    <w:uiPriority w:val="99"/>
    <w:rsid w:val="00DB45F6"/>
    <w:pPr>
      <w:ind w:left="737" w:firstLine="0"/>
    </w:pPr>
    <w:rPr>
      <w:rFonts w:asciiTheme="minorHAnsi" w:hAnsiTheme="minorHAnsi"/>
      <w:b/>
      <w:sz w:val="20"/>
    </w:rPr>
  </w:style>
  <w:style w:type="character" w:styleId="UnresolvedMention">
    <w:name w:val="Unresolved Mention"/>
    <w:basedOn w:val="DefaultParagraphFont"/>
    <w:uiPriority w:val="99"/>
    <w:semiHidden/>
    <w:unhideWhenUsed/>
    <w:rsid w:val="009A39F2"/>
    <w:rPr>
      <w:color w:val="605E5C"/>
      <w:shd w:val="clear" w:color="auto" w:fill="E1DFDD"/>
    </w:rPr>
  </w:style>
  <w:style w:type="paragraph" w:customStyle="1" w:styleId="ExecutiveSummaryH1">
    <w:name w:val="Executive Summary H1"/>
    <w:basedOn w:val="Heading1"/>
    <w:next w:val="BodyText"/>
    <w:uiPriority w:val="14"/>
    <w:qFormat/>
    <w:rsid w:val="0089198B"/>
    <w:pPr>
      <w:pageBreakBefore w:val="0"/>
      <w:numPr>
        <w:numId w:val="7"/>
      </w:numPr>
    </w:pPr>
  </w:style>
  <w:style w:type="character" w:customStyle="1" w:styleId="Heading3Char">
    <w:name w:val="Heading 3 Char"/>
    <w:aliases w:val="1.1.1 Heading 3 Char,11. Heading 3 Char"/>
    <w:basedOn w:val="DefaultParagraphFont"/>
    <w:link w:val="Heading3"/>
    <w:uiPriority w:val="4"/>
    <w:rsid w:val="006261FB"/>
    <w:rPr>
      <w:rFonts w:asciiTheme="majorHAnsi" w:eastAsiaTheme="majorEastAsia" w:hAnsiTheme="majorHAnsi" w:cstheme="majorBidi"/>
      <w:color w:val="3B0083" w:themeColor="accent1"/>
      <w:sz w:val="24"/>
      <w:szCs w:val="24"/>
    </w:rPr>
  </w:style>
  <w:style w:type="character" w:customStyle="1" w:styleId="Heading4Char">
    <w:name w:val="Heading 4 Char"/>
    <w:basedOn w:val="DefaultParagraphFont"/>
    <w:link w:val="Heading4"/>
    <w:uiPriority w:val="4"/>
    <w:rsid w:val="0089198B"/>
    <w:rPr>
      <w:rFonts w:asciiTheme="majorHAnsi" w:eastAsiaTheme="majorEastAsia" w:hAnsiTheme="majorHAnsi" w:cstheme="majorBidi"/>
      <w:b/>
      <w:iCs/>
      <w:color w:val="3B0083" w:themeColor="accent1"/>
      <w:spacing w:val="10"/>
      <w:sz w:val="22"/>
      <w:szCs w:val="24"/>
    </w:rPr>
  </w:style>
  <w:style w:type="paragraph" w:styleId="Caption">
    <w:name w:val="caption"/>
    <w:aliases w:val="21. Caption for table or figure,Figure Caption"/>
    <w:next w:val="BodyText"/>
    <w:link w:val="CaptionChar"/>
    <w:uiPriority w:val="35"/>
    <w:qFormat/>
    <w:rsid w:val="00496EF0"/>
    <w:pPr>
      <w:keepNext/>
      <w:keepLines/>
      <w:spacing w:before="240" w:after="160"/>
      <w:jc w:val="center"/>
    </w:pPr>
    <w:rPr>
      <w:rFonts w:asciiTheme="majorHAnsi" w:hAnsiTheme="majorHAnsi"/>
      <w:iCs/>
      <w:color w:val="3B0083" w:themeColor="accent1"/>
      <w:sz w:val="18"/>
    </w:rPr>
  </w:style>
  <w:style w:type="paragraph" w:styleId="Title">
    <w:name w:val="Title"/>
    <w:basedOn w:val="Normal"/>
    <w:next w:val="Normal"/>
    <w:link w:val="TitleChar"/>
    <w:uiPriority w:val="45"/>
    <w:rsid w:val="007C718B"/>
    <w:pPr>
      <w:spacing w:before="0" w:after="60" w:line="240" w:lineRule="atLeast"/>
      <w:contextualSpacing/>
    </w:pPr>
    <w:rPr>
      <w:rFonts w:eastAsiaTheme="majorEastAsia" w:cstheme="majorBidi"/>
      <w:spacing w:val="-4"/>
      <w:kern w:val="28"/>
      <w:sz w:val="52"/>
      <w:szCs w:val="56"/>
    </w:rPr>
  </w:style>
  <w:style w:type="character" w:customStyle="1" w:styleId="TitleChar">
    <w:name w:val="Title Char"/>
    <w:basedOn w:val="DefaultParagraphFont"/>
    <w:link w:val="Title"/>
    <w:uiPriority w:val="45"/>
    <w:rsid w:val="007C718B"/>
    <w:rPr>
      <w:rFonts w:eastAsiaTheme="majorEastAsia" w:cstheme="majorBidi"/>
      <w:spacing w:val="-4"/>
      <w:kern w:val="28"/>
      <w:sz w:val="52"/>
      <w:szCs w:val="56"/>
    </w:rPr>
  </w:style>
  <w:style w:type="paragraph" w:styleId="Subtitle">
    <w:name w:val="Subtitle"/>
    <w:next w:val="Normal"/>
    <w:link w:val="SubtitleChar"/>
    <w:uiPriority w:val="45"/>
    <w:rsid w:val="0020736C"/>
    <w:pPr>
      <w:numPr>
        <w:ilvl w:val="1"/>
      </w:numPr>
      <w:spacing w:before="0" w:after="680" w:line="168" w:lineRule="auto"/>
    </w:pPr>
    <w:rPr>
      <w:rFonts w:asciiTheme="majorHAnsi" w:eastAsiaTheme="minorEastAsia" w:hAnsiTheme="majorHAnsi"/>
      <w:spacing w:val="-6"/>
      <w:sz w:val="72"/>
    </w:rPr>
  </w:style>
  <w:style w:type="character" w:customStyle="1" w:styleId="SubtitleChar">
    <w:name w:val="Subtitle Char"/>
    <w:basedOn w:val="DefaultParagraphFont"/>
    <w:link w:val="Subtitle"/>
    <w:uiPriority w:val="45"/>
    <w:rsid w:val="0020736C"/>
    <w:rPr>
      <w:rFonts w:asciiTheme="majorHAnsi" w:eastAsiaTheme="minorEastAsia" w:hAnsiTheme="majorHAnsi"/>
      <w:spacing w:val="-6"/>
      <w:sz w:val="72"/>
    </w:rPr>
  </w:style>
  <w:style w:type="paragraph" w:styleId="TOC1">
    <w:name w:val="toc 1"/>
    <w:next w:val="Normal"/>
    <w:uiPriority w:val="39"/>
    <w:rsid w:val="00FB4BFA"/>
    <w:pPr>
      <w:tabs>
        <w:tab w:val="left" w:pos="1134"/>
        <w:tab w:val="right" w:pos="8562"/>
      </w:tabs>
      <w:spacing w:before="100" w:after="100" w:line="216" w:lineRule="auto"/>
      <w:ind w:left="1134" w:right="1985" w:hanging="397"/>
    </w:pPr>
    <w:rPr>
      <w:rFonts w:asciiTheme="majorHAnsi" w:hAnsiTheme="majorHAnsi"/>
      <w:noProof/>
      <w:color w:val="3B0083" w:themeColor="accent1"/>
      <w:sz w:val="24"/>
    </w:rPr>
  </w:style>
  <w:style w:type="paragraph" w:styleId="TOC2">
    <w:name w:val="toc 2"/>
    <w:basedOn w:val="TOC1"/>
    <w:next w:val="Normal"/>
    <w:uiPriority w:val="39"/>
    <w:rsid w:val="006A40D6"/>
    <w:pPr>
      <w:contextualSpacing/>
    </w:pPr>
    <w:rPr>
      <w:color w:val="C60C30" w:themeColor="accent2"/>
    </w:rPr>
  </w:style>
  <w:style w:type="paragraph" w:styleId="Header">
    <w:name w:val="header"/>
    <w:basedOn w:val="Normal"/>
    <w:link w:val="HeaderChar"/>
    <w:uiPriority w:val="54"/>
    <w:rsid w:val="00696DA8"/>
    <w:rPr>
      <w:sz w:val="14"/>
      <w:szCs w:val="24"/>
    </w:rPr>
  </w:style>
  <w:style w:type="character" w:customStyle="1" w:styleId="HeaderChar">
    <w:name w:val="Header Char"/>
    <w:basedOn w:val="DefaultParagraphFont"/>
    <w:link w:val="Header"/>
    <w:uiPriority w:val="54"/>
    <w:rsid w:val="00696DA8"/>
    <w:rPr>
      <w:sz w:val="14"/>
      <w:szCs w:val="24"/>
    </w:rPr>
  </w:style>
  <w:style w:type="paragraph" w:styleId="Footer">
    <w:name w:val="footer"/>
    <w:basedOn w:val="Header"/>
    <w:link w:val="FooterChar"/>
    <w:uiPriority w:val="55"/>
    <w:rsid w:val="00BA6CE8"/>
    <w:pPr>
      <w:spacing w:before="0" w:after="0"/>
    </w:pPr>
    <w:rPr>
      <w:color w:val="3B0083" w:themeColor="accent1"/>
    </w:rPr>
  </w:style>
  <w:style w:type="character" w:customStyle="1" w:styleId="FooterChar">
    <w:name w:val="Footer Char"/>
    <w:basedOn w:val="DefaultParagraphFont"/>
    <w:link w:val="Footer"/>
    <w:uiPriority w:val="55"/>
    <w:rsid w:val="00BA6CE8"/>
    <w:rPr>
      <w:color w:val="3B0083" w:themeColor="accent1"/>
      <w:sz w:val="14"/>
      <w:szCs w:val="24"/>
    </w:rPr>
  </w:style>
  <w:style w:type="paragraph" w:styleId="NoSpacing">
    <w:name w:val="No Spacing"/>
    <w:uiPriority w:val="99"/>
    <w:qFormat/>
    <w:rsid w:val="007A137C"/>
  </w:style>
  <w:style w:type="paragraph" w:styleId="TOCHeading">
    <w:name w:val="TOC Heading"/>
    <w:basedOn w:val="Normal"/>
    <w:next w:val="Normal"/>
    <w:link w:val="TOCHeadingChar"/>
    <w:uiPriority w:val="37"/>
    <w:rsid w:val="00FB4BFA"/>
    <w:pPr>
      <w:spacing w:after="1800" w:line="216" w:lineRule="auto"/>
      <w:ind w:left="737"/>
    </w:pPr>
    <w:rPr>
      <w:rFonts w:asciiTheme="majorHAnsi" w:hAnsiTheme="majorHAnsi"/>
      <w:color w:val="3B0083" w:themeColor="accent1"/>
      <w:sz w:val="48"/>
      <w:szCs w:val="44"/>
    </w:rPr>
  </w:style>
  <w:style w:type="character" w:customStyle="1" w:styleId="Heading5Char">
    <w:name w:val="Heading 5 Char"/>
    <w:basedOn w:val="DefaultParagraphFont"/>
    <w:link w:val="Heading5"/>
    <w:uiPriority w:val="4"/>
    <w:semiHidden/>
    <w:rsid w:val="00AB1BD3"/>
    <w:rPr>
      <w:rFonts w:asciiTheme="majorHAnsi" w:eastAsiaTheme="majorEastAsia" w:hAnsiTheme="majorHAnsi" w:cstheme="majorBidi"/>
      <w:i/>
      <w:iCs/>
      <w:color w:val="2B0062" w:themeColor="accent1" w:themeShade="BF"/>
      <w:sz w:val="24"/>
      <w:szCs w:val="24"/>
    </w:rPr>
  </w:style>
  <w:style w:type="character" w:customStyle="1" w:styleId="Heading6Char">
    <w:name w:val="Heading 6 Char"/>
    <w:basedOn w:val="DefaultParagraphFont"/>
    <w:link w:val="Heading6"/>
    <w:uiPriority w:val="4"/>
    <w:semiHidden/>
    <w:rsid w:val="00AB1BD3"/>
    <w:rPr>
      <w:rFonts w:asciiTheme="majorHAnsi" w:eastAsiaTheme="majorEastAsia" w:hAnsiTheme="majorHAnsi" w:cstheme="majorBidi"/>
      <w:i/>
      <w:iCs/>
      <w:color w:val="1D0041" w:themeColor="accent1" w:themeShade="7F"/>
      <w:sz w:val="24"/>
      <w:szCs w:val="24"/>
    </w:rPr>
  </w:style>
  <w:style w:type="character" w:customStyle="1" w:styleId="Heading7Char">
    <w:name w:val="Heading 7 Char"/>
    <w:aliases w:val="Appendix H1 Char"/>
    <w:basedOn w:val="DefaultParagraphFont"/>
    <w:link w:val="Heading7"/>
    <w:uiPriority w:val="19"/>
    <w:rsid w:val="00A35E65"/>
    <w:rPr>
      <w:rFonts w:asciiTheme="majorHAnsi" w:eastAsiaTheme="majorEastAsia" w:hAnsiTheme="majorHAnsi" w:cstheme="majorBidi"/>
      <w:color w:val="3B0083" w:themeColor="accent1"/>
      <w:sz w:val="48"/>
      <w:szCs w:val="24"/>
    </w:rPr>
  </w:style>
  <w:style w:type="character" w:customStyle="1" w:styleId="Heading8Char">
    <w:name w:val="Heading 8 Char"/>
    <w:aliases w:val="Appendix H2 Char"/>
    <w:basedOn w:val="DefaultParagraphFont"/>
    <w:link w:val="Heading8"/>
    <w:uiPriority w:val="19"/>
    <w:rsid w:val="00A35E65"/>
    <w:rPr>
      <w:rFonts w:asciiTheme="majorHAnsi" w:eastAsiaTheme="majorEastAsia" w:hAnsiTheme="majorHAnsi" w:cstheme="majorBidi"/>
      <w:color w:val="3B0083" w:themeColor="accent1"/>
      <w:sz w:val="36"/>
      <w:szCs w:val="21"/>
    </w:rPr>
  </w:style>
  <w:style w:type="character" w:customStyle="1" w:styleId="Heading9Char">
    <w:name w:val="Heading 9 Char"/>
    <w:aliases w:val="Appendix H3 Char"/>
    <w:basedOn w:val="DefaultParagraphFont"/>
    <w:link w:val="Heading9"/>
    <w:uiPriority w:val="19"/>
    <w:rsid w:val="00A35E65"/>
    <w:rPr>
      <w:rFonts w:asciiTheme="majorHAnsi" w:eastAsiaTheme="majorEastAsia" w:hAnsiTheme="majorHAnsi" w:cstheme="majorBidi"/>
      <w:iCs/>
      <w:color w:val="3B0083" w:themeColor="accent1"/>
      <w:sz w:val="24"/>
      <w:szCs w:val="21"/>
    </w:rPr>
  </w:style>
  <w:style w:type="paragraph" w:styleId="TOC3">
    <w:name w:val="toc 3"/>
    <w:basedOn w:val="TOC2"/>
    <w:next w:val="Normal"/>
    <w:uiPriority w:val="39"/>
    <w:semiHidden/>
    <w:rsid w:val="00F53040"/>
  </w:style>
  <w:style w:type="paragraph" w:styleId="TOC4">
    <w:name w:val="toc 4"/>
    <w:basedOn w:val="TOC3"/>
    <w:next w:val="Normal"/>
    <w:uiPriority w:val="50"/>
    <w:semiHidden/>
    <w:rsid w:val="00F53040"/>
    <w:pPr>
      <w:ind w:left="851"/>
    </w:pPr>
  </w:style>
  <w:style w:type="paragraph" w:styleId="TOC5">
    <w:name w:val="toc 5"/>
    <w:basedOn w:val="TOC4"/>
    <w:next w:val="Normal"/>
    <w:uiPriority w:val="39"/>
    <w:semiHidden/>
    <w:rsid w:val="00B003E6"/>
    <w:pPr>
      <w:tabs>
        <w:tab w:val="right" w:leader="dot" w:pos="9015"/>
      </w:tabs>
      <w:spacing w:before="200"/>
      <w:ind w:left="0" w:firstLine="0"/>
      <w:contextualSpacing w:val="0"/>
    </w:pPr>
    <w:rPr>
      <w:b/>
      <w:sz w:val="23"/>
    </w:rPr>
  </w:style>
  <w:style w:type="paragraph" w:styleId="TOC6">
    <w:name w:val="toc 6"/>
    <w:basedOn w:val="TOC5"/>
    <w:next w:val="Normal"/>
    <w:uiPriority w:val="50"/>
    <w:semiHidden/>
    <w:rsid w:val="00797359"/>
    <w:pPr>
      <w:ind w:left="1418"/>
    </w:pPr>
  </w:style>
  <w:style w:type="paragraph" w:styleId="TOC7">
    <w:name w:val="toc 7"/>
    <w:basedOn w:val="TOC6"/>
    <w:next w:val="Normal"/>
    <w:uiPriority w:val="50"/>
    <w:semiHidden/>
    <w:rsid w:val="00797359"/>
    <w:pPr>
      <w:ind w:left="1701"/>
    </w:pPr>
  </w:style>
  <w:style w:type="paragraph" w:styleId="TOC8">
    <w:name w:val="toc 8"/>
    <w:basedOn w:val="TOC7"/>
    <w:next w:val="Normal"/>
    <w:uiPriority w:val="50"/>
    <w:semiHidden/>
    <w:rsid w:val="00797359"/>
    <w:pPr>
      <w:ind w:left="1985"/>
    </w:pPr>
  </w:style>
  <w:style w:type="paragraph" w:styleId="TOC9">
    <w:name w:val="toc 9"/>
    <w:basedOn w:val="TOC8"/>
    <w:next w:val="Normal"/>
    <w:uiPriority w:val="50"/>
    <w:semiHidden/>
    <w:rsid w:val="00797359"/>
    <w:pPr>
      <w:ind w:left="2268"/>
    </w:pPr>
  </w:style>
  <w:style w:type="numbering" w:customStyle="1" w:styleId="Headings">
    <w:name w:val="Headings"/>
    <w:uiPriority w:val="99"/>
    <w:rsid w:val="00AF6B4B"/>
    <w:pPr>
      <w:numPr>
        <w:numId w:val="1"/>
      </w:numPr>
    </w:pPr>
  </w:style>
  <w:style w:type="numbering" w:customStyle="1" w:styleId="BodyTextbulleted">
    <w:name w:val="Body Text &gt; bulleted"/>
    <w:uiPriority w:val="99"/>
    <w:rsid w:val="006C74D9"/>
    <w:pPr>
      <w:numPr>
        <w:numId w:val="2"/>
      </w:numPr>
    </w:pPr>
  </w:style>
  <w:style w:type="numbering" w:customStyle="1" w:styleId="BodyTextnumbered">
    <w:name w:val="Body Text &gt; numbered"/>
    <w:uiPriority w:val="99"/>
    <w:rsid w:val="006C74D9"/>
    <w:pPr>
      <w:numPr>
        <w:numId w:val="36"/>
      </w:numPr>
    </w:pPr>
  </w:style>
  <w:style w:type="table" w:styleId="TableGrid">
    <w:name w:val="Table Grid"/>
    <w:basedOn w:val="TableNormal"/>
    <w:uiPriority w:val="59"/>
    <w:rsid w:val="002A6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ealthConsultRed">
    <w:name w:val="Table_HealthConsult_Red"/>
    <w:basedOn w:val="TableNormal"/>
    <w:uiPriority w:val="99"/>
    <w:rsid w:val="008A5B3F"/>
    <w:pPr>
      <w:spacing w:before="60" w:after="60"/>
    </w:pPr>
    <w:tblPr>
      <w:tblStyleRowBandSize w:val="1"/>
      <w:tblStyleColBandSize w:val="1"/>
      <w:tblBorders>
        <w:top w:val="single" w:sz="4" w:space="0" w:color="C60C30" w:themeColor="accent2"/>
        <w:bottom w:val="single" w:sz="4" w:space="0" w:color="C60C30" w:themeColor="accent2"/>
        <w:insideH w:val="single" w:sz="4" w:space="0" w:color="C60C30" w:themeColor="accent2"/>
      </w:tblBorders>
      <w:tblCellMar>
        <w:top w:w="28" w:type="dxa"/>
        <w:left w:w="57" w:type="dxa"/>
        <w:right w:w="57" w:type="dxa"/>
      </w:tblCellMar>
    </w:tblPr>
    <w:tcPr>
      <w:shd w:val="clear" w:color="auto" w:fill="auto"/>
    </w:tcPr>
    <w:tblStylePr w:type="firstRow">
      <w:pPr>
        <w:keepNext/>
        <w:wordWrap/>
        <w:spacing w:beforeLines="0" w:before="60" w:beforeAutospacing="0" w:afterLines="0" w:after="60" w:afterAutospacing="0"/>
        <w:jc w:val="left"/>
      </w:pPr>
      <w:rPr>
        <w:b/>
        <w:i w:val="0"/>
        <w:color w:val="FFFFFF" w:themeColor="background1"/>
        <w:spacing w:val="0"/>
      </w:rPr>
      <w:tblPr/>
      <w:trPr>
        <w:tblHeader/>
      </w:trPr>
      <w:tcPr>
        <w:tcBorders>
          <w:top w:val="nil"/>
          <w:left w:val="nil"/>
          <w:bottom w:val="nil"/>
          <w:right w:val="nil"/>
          <w:insideH w:val="nil"/>
          <w:insideV w:val="nil"/>
          <w:tl2br w:val="nil"/>
          <w:tr2bl w:val="nil"/>
        </w:tcBorders>
        <w:shd w:val="clear" w:color="auto" w:fill="C60C30" w:themeFill="accent2"/>
      </w:tcPr>
    </w:tblStylePr>
    <w:tblStylePr w:type="lastRow">
      <w:rPr>
        <w:b/>
        <w:i w:val="0"/>
        <w:color w:val="001946" w:themeColor="accent3" w:themeShade="80"/>
      </w:rPr>
      <w:tblPr/>
      <w:tcPr>
        <w:shd w:val="clear" w:color="auto" w:fill="F9E6EA" w:themeFill="accent6" w:themeFillTint="33"/>
      </w:tcPr>
    </w:tblStylePr>
    <w:tblStylePr w:type="firstCol">
      <w:pPr>
        <w:wordWrap/>
        <w:jc w:val="left"/>
      </w:pPr>
      <w:rPr>
        <w:b/>
        <w:i w:val="0"/>
        <w:color w:val="FFFFFF" w:themeColor="background1"/>
      </w:rPr>
      <w:tblPr/>
      <w:tcPr>
        <w:shd w:val="clear" w:color="auto" w:fill="C60C30" w:themeFill="accent2"/>
      </w:tcPr>
    </w:tblStylePr>
    <w:tblStylePr w:type="lastCol">
      <w:tblPr/>
      <w:tcPr>
        <w:shd w:val="clear" w:color="auto" w:fill="F9E6EA" w:themeFill="accent6" w:themeFillTint="33"/>
      </w:tcPr>
    </w:tblStylePr>
    <w:tblStylePr w:type="band2Vert">
      <w:tblPr/>
      <w:tcPr>
        <w:shd w:val="clear" w:color="auto" w:fill="F9E6EA" w:themeFill="accent6" w:themeFillTint="33"/>
      </w:tcPr>
    </w:tblStylePr>
    <w:tblStylePr w:type="band2Horz">
      <w:tblPr/>
      <w:tcPr>
        <w:shd w:val="clear" w:color="auto" w:fill="F9E6EA" w:themeFill="accent6" w:themeFillTint="33"/>
      </w:tcPr>
    </w:tblStylePr>
    <w:tblStylePr w:type="nwCell">
      <w:pPr>
        <w:wordWrap/>
        <w:jc w:val="left"/>
      </w:pPr>
      <w:tblPr/>
      <w:tcPr>
        <w:vAlign w:val="center"/>
      </w:tcPr>
    </w:tblStylePr>
  </w:style>
  <w:style w:type="paragraph" w:styleId="ListBullet">
    <w:name w:val="List Bullet"/>
    <w:basedOn w:val="BodyText"/>
    <w:uiPriority w:val="11"/>
    <w:qFormat/>
    <w:rsid w:val="00A969C1"/>
    <w:pPr>
      <w:numPr>
        <w:numId w:val="49"/>
      </w:numPr>
    </w:pPr>
    <w:rPr>
      <w:szCs w:val="20"/>
    </w:rPr>
  </w:style>
  <w:style w:type="paragraph" w:styleId="ListBullet2">
    <w:name w:val="List Bullet 2"/>
    <w:basedOn w:val="BodyText"/>
    <w:uiPriority w:val="11"/>
    <w:qFormat/>
    <w:rsid w:val="006C74D9"/>
    <w:pPr>
      <w:numPr>
        <w:ilvl w:val="1"/>
        <w:numId w:val="10"/>
      </w:numPr>
    </w:pPr>
    <w:rPr>
      <w:szCs w:val="20"/>
    </w:rPr>
  </w:style>
  <w:style w:type="paragraph" w:styleId="ListBullet3">
    <w:name w:val="List Bullet 3"/>
    <w:basedOn w:val="BodyText"/>
    <w:uiPriority w:val="11"/>
    <w:rsid w:val="006C74D9"/>
    <w:pPr>
      <w:numPr>
        <w:ilvl w:val="2"/>
        <w:numId w:val="10"/>
      </w:numPr>
    </w:pPr>
    <w:rPr>
      <w:szCs w:val="20"/>
    </w:rPr>
  </w:style>
  <w:style w:type="paragraph" w:styleId="ListBullet4">
    <w:name w:val="List Bullet 4"/>
    <w:basedOn w:val="BodyText"/>
    <w:uiPriority w:val="11"/>
    <w:rsid w:val="006C74D9"/>
    <w:pPr>
      <w:numPr>
        <w:ilvl w:val="3"/>
        <w:numId w:val="10"/>
      </w:numPr>
    </w:pPr>
    <w:rPr>
      <w:szCs w:val="20"/>
    </w:rPr>
  </w:style>
  <w:style w:type="paragraph" w:styleId="ListBullet5">
    <w:name w:val="List Bullet 5"/>
    <w:basedOn w:val="BodyText"/>
    <w:uiPriority w:val="11"/>
    <w:rsid w:val="006C74D9"/>
    <w:pPr>
      <w:numPr>
        <w:ilvl w:val="4"/>
        <w:numId w:val="10"/>
      </w:numPr>
    </w:pPr>
    <w:rPr>
      <w:szCs w:val="20"/>
    </w:rPr>
  </w:style>
  <w:style w:type="paragraph" w:customStyle="1" w:styleId="ListBulletIndent2">
    <w:name w:val="List Bullet Indent 2"/>
    <w:basedOn w:val="ListBullet2"/>
    <w:uiPriority w:val="16"/>
    <w:semiHidden/>
    <w:qFormat/>
    <w:rsid w:val="00AE12A6"/>
    <w:pPr>
      <w:numPr>
        <w:numId w:val="4"/>
      </w:numPr>
    </w:pPr>
  </w:style>
  <w:style w:type="paragraph" w:customStyle="1" w:styleId="ListBulletIndent3">
    <w:name w:val="List Bullet Indent 3"/>
    <w:basedOn w:val="ListBullet3"/>
    <w:uiPriority w:val="16"/>
    <w:semiHidden/>
    <w:qFormat/>
    <w:rsid w:val="00AE12A6"/>
    <w:pPr>
      <w:numPr>
        <w:numId w:val="4"/>
      </w:numPr>
    </w:pPr>
  </w:style>
  <w:style w:type="paragraph" w:customStyle="1" w:styleId="ListBulletIndent4">
    <w:name w:val="List Bullet Indent 4"/>
    <w:basedOn w:val="ListBullet4"/>
    <w:uiPriority w:val="16"/>
    <w:semiHidden/>
    <w:qFormat/>
    <w:rsid w:val="00AE12A6"/>
    <w:pPr>
      <w:numPr>
        <w:numId w:val="4"/>
      </w:numPr>
    </w:pPr>
  </w:style>
  <w:style w:type="paragraph" w:customStyle="1" w:styleId="ListBulletIndent5">
    <w:name w:val="List Bullet Indent 5"/>
    <w:basedOn w:val="ListBullet5"/>
    <w:uiPriority w:val="16"/>
    <w:semiHidden/>
    <w:qFormat/>
    <w:rsid w:val="00AE12A6"/>
    <w:pPr>
      <w:numPr>
        <w:numId w:val="4"/>
      </w:numPr>
    </w:pPr>
  </w:style>
  <w:style w:type="paragraph" w:styleId="ListNumber">
    <w:name w:val="List Number"/>
    <w:basedOn w:val="BodyText"/>
    <w:uiPriority w:val="10"/>
    <w:qFormat/>
    <w:rsid w:val="00C316C3"/>
    <w:pPr>
      <w:numPr>
        <w:numId w:val="50"/>
      </w:numPr>
    </w:pPr>
    <w:rPr>
      <w:szCs w:val="20"/>
    </w:rPr>
  </w:style>
  <w:style w:type="paragraph" w:styleId="ListNumber2">
    <w:name w:val="List Number 2"/>
    <w:basedOn w:val="BodyText"/>
    <w:uiPriority w:val="10"/>
    <w:qFormat/>
    <w:rsid w:val="006C74D9"/>
    <w:pPr>
      <w:ind w:left="568" w:hanging="284"/>
    </w:pPr>
    <w:rPr>
      <w:szCs w:val="20"/>
    </w:rPr>
  </w:style>
  <w:style w:type="paragraph" w:styleId="ListNumber3">
    <w:name w:val="List Number 3"/>
    <w:basedOn w:val="BodyText"/>
    <w:uiPriority w:val="10"/>
    <w:rsid w:val="006C74D9"/>
    <w:pPr>
      <w:ind w:left="852" w:hanging="284"/>
    </w:pPr>
    <w:rPr>
      <w:szCs w:val="20"/>
    </w:rPr>
  </w:style>
  <w:style w:type="paragraph" w:styleId="ListNumber4">
    <w:name w:val="List Number 4"/>
    <w:basedOn w:val="BodyText"/>
    <w:uiPriority w:val="10"/>
    <w:rsid w:val="006C74D9"/>
    <w:pPr>
      <w:ind w:left="1136" w:hanging="284"/>
    </w:pPr>
    <w:rPr>
      <w:szCs w:val="20"/>
    </w:rPr>
  </w:style>
  <w:style w:type="paragraph" w:styleId="ListNumber5">
    <w:name w:val="List Number 5"/>
    <w:basedOn w:val="BodyText"/>
    <w:uiPriority w:val="10"/>
    <w:rsid w:val="006C74D9"/>
    <w:pPr>
      <w:ind w:left="1420" w:hanging="284"/>
    </w:pPr>
    <w:rPr>
      <w:szCs w:val="20"/>
    </w:rPr>
  </w:style>
  <w:style w:type="paragraph" w:customStyle="1" w:styleId="ListNumberIndent2">
    <w:name w:val="List Number Indent 2"/>
    <w:basedOn w:val="ListNumber2"/>
    <w:uiPriority w:val="15"/>
    <w:semiHidden/>
    <w:qFormat/>
    <w:rsid w:val="00EB5833"/>
    <w:pPr>
      <w:numPr>
        <w:ilvl w:val="1"/>
        <w:numId w:val="3"/>
      </w:numPr>
    </w:pPr>
  </w:style>
  <w:style w:type="paragraph" w:customStyle="1" w:styleId="ListNumberIndent3">
    <w:name w:val="List Number Indent 3"/>
    <w:basedOn w:val="ListNumber3"/>
    <w:uiPriority w:val="15"/>
    <w:semiHidden/>
    <w:qFormat/>
    <w:rsid w:val="00EB5833"/>
    <w:pPr>
      <w:numPr>
        <w:ilvl w:val="2"/>
        <w:numId w:val="3"/>
      </w:numPr>
    </w:pPr>
  </w:style>
  <w:style w:type="paragraph" w:customStyle="1" w:styleId="ListNumberIndent4">
    <w:name w:val="List Number Indent 4"/>
    <w:basedOn w:val="ListNumber4"/>
    <w:uiPriority w:val="15"/>
    <w:semiHidden/>
    <w:qFormat/>
    <w:rsid w:val="00EB5833"/>
    <w:pPr>
      <w:numPr>
        <w:ilvl w:val="3"/>
        <w:numId w:val="3"/>
      </w:numPr>
    </w:pPr>
  </w:style>
  <w:style w:type="paragraph" w:customStyle="1" w:styleId="ListNumberIndent5">
    <w:name w:val="List Number Indent 5"/>
    <w:basedOn w:val="ListNumber5"/>
    <w:uiPriority w:val="15"/>
    <w:semiHidden/>
    <w:qFormat/>
    <w:rsid w:val="00EB5833"/>
    <w:pPr>
      <w:numPr>
        <w:ilvl w:val="4"/>
        <w:numId w:val="3"/>
      </w:numPr>
    </w:pPr>
  </w:style>
  <w:style w:type="paragraph" w:styleId="Index1">
    <w:name w:val="index 1"/>
    <w:basedOn w:val="Normal"/>
    <w:next w:val="Normal"/>
    <w:uiPriority w:val="99"/>
    <w:semiHidden/>
    <w:unhideWhenUsed/>
    <w:rsid w:val="00F762A5"/>
    <w:pPr>
      <w:ind w:left="220" w:hanging="220"/>
    </w:pPr>
  </w:style>
  <w:style w:type="paragraph" w:styleId="Index2">
    <w:name w:val="index 2"/>
    <w:basedOn w:val="Normal"/>
    <w:next w:val="Normal"/>
    <w:uiPriority w:val="99"/>
    <w:semiHidden/>
    <w:unhideWhenUsed/>
    <w:rsid w:val="00F762A5"/>
    <w:pPr>
      <w:ind w:left="440" w:hanging="220"/>
    </w:pPr>
  </w:style>
  <w:style w:type="paragraph" w:styleId="Index3">
    <w:name w:val="index 3"/>
    <w:basedOn w:val="Normal"/>
    <w:next w:val="Normal"/>
    <w:uiPriority w:val="99"/>
    <w:semiHidden/>
    <w:unhideWhenUsed/>
    <w:rsid w:val="00F762A5"/>
    <w:pPr>
      <w:ind w:left="660" w:hanging="220"/>
    </w:pPr>
  </w:style>
  <w:style w:type="paragraph" w:styleId="Index4">
    <w:name w:val="index 4"/>
    <w:basedOn w:val="Normal"/>
    <w:next w:val="Normal"/>
    <w:uiPriority w:val="99"/>
    <w:semiHidden/>
    <w:rsid w:val="00F762A5"/>
    <w:pPr>
      <w:ind w:left="880" w:hanging="220"/>
    </w:pPr>
  </w:style>
  <w:style w:type="paragraph" w:styleId="Index5">
    <w:name w:val="index 5"/>
    <w:basedOn w:val="Normal"/>
    <w:next w:val="Normal"/>
    <w:uiPriority w:val="99"/>
    <w:semiHidden/>
    <w:rsid w:val="00F762A5"/>
    <w:pPr>
      <w:ind w:left="1100" w:hanging="220"/>
    </w:pPr>
  </w:style>
  <w:style w:type="paragraph" w:styleId="Index6">
    <w:name w:val="index 6"/>
    <w:basedOn w:val="Normal"/>
    <w:next w:val="Normal"/>
    <w:uiPriority w:val="99"/>
    <w:semiHidden/>
    <w:rsid w:val="00F762A5"/>
    <w:pPr>
      <w:ind w:left="1320" w:hanging="220"/>
    </w:pPr>
  </w:style>
  <w:style w:type="paragraph" w:styleId="Index7">
    <w:name w:val="index 7"/>
    <w:basedOn w:val="Normal"/>
    <w:next w:val="Normal"/>
    <w:uiPriority w:val="99"/>
    <w:semiHidden/>
    <w:rsid w:val="00F762A5"/>
    <w:pPr>
      <w:ind w:left="1540" w:hanging="220"/>
    </w:pPr>
  </w:style>
  <w:style w:type="paragraph" w:styleId="Index8">
    <w:name w:val="index 8"/>
    <w:basedOn w:val="Normal"/>
    <w:next w:val="Normal"/>
    <w:uiPriority w:val="99"/>
    <w:semiHidden/>
    <w:rsid w:val="00F762A5"/>
    <w:pPr>
      <w:ind w:left="1760" w:hanging="220"/>
    </w:pPr>
  </w:style>
  <w:style w:type="paragraph" w:styleId="Index9">
    <w:name w:val="index 9"/>
    <w:basedOn w:val="Normal"/>
    <w:next w:val="Normal"/>
    <w:uiPriority w:val="99"/>
    <w:semiHidden/>
    <w:rsid w:val="00F762A5"/>
    <w:pPr>
      <w:ind w:left="1980" w:hanging="220"/>
    </w:pPr>
  </w:style>
  <w:style w:type="table" w:customStyle="1" w:styleId="LayoutGrid">
    <w:name w:val="Layout Grid"/>
    <w:basedOn w:val="TableNormal"/>
    <w:uiPriority w:val="99"/>
    <w:rsid w:val="00B52D73"/>
    <w:pPr>
      <w:spacing w:line="240" w:lineRule="auto"/>
    </w:pPr>
    <w:tblPr>
      <w:tblCellMar>
        <w:left w:w="0" w:type="dxa"/>
        <w:right w:w="0" w:type="dxa"/>
      </w:tblCellMar>
    </w:tblPr>
  </w:style>
  <w:style w:type="character" w:styleId="PlaceholderText">
    <w:name w:val="Placeholder Text"/>
    <w:basedOn w:val="DefaultParagraphFont"/>
    <w:uiPriority w:val="99"/>
    <w:semiHidden/>
    <w:rsid w:val="001B51C1"/>
    <w:rPr>
      <w:color w:val="808080"/>
    </w:rPr>
  </w:style>
  <w:style w:type="numbering" w:customStyle="1" w:styleId="Appendices">
    <w:name w:val="Appendices"/>
    <w:uiPriority w:val="99"/>
    <w:rsid w:val="00DE50FA"/>
    <w:pPr>
      <w:numPr>
        <w:numId w:val="8"/>
      </w:numPr>
    </w:pPr>
  </w:style>
  <w:style w:type="paragraph" w:customStyle="1" w:styleId="Source">
    <w:name w:val="Source"/>
    <w:basedOn w:val="Normal"/>
    <w:uiPriority w:val="35"/>
    <w:qFormat/>
    <w:rsid w:val="00AC7161"/>
    <w:pPr>
      <w:spacing w:before="100" w:after="80"/>
      <w:jc w:val="center"/>
    </w:pPr>
    <w:rPr>
      <w:color w:val="808080" w:themeColor="background1" w:themeShade="80"/>
      <w:sz w:val="17"/>
    </w:rPr>
  </w:style>
  <w:style w:type="paragraph" w:customStyle="1" w:styleId="ClientName">
    <w:name w:val="Client Name"/>
    <w:basedOn w:val="Normal"/>
    <w:next w:val="Normal"/>
    <w:uiPriority w:val="43"/>
    <w:rsid w:val="002F7160"/>
    <w:pPr>
      <w:spacing w:before="0" w:after="380"/>
    </w:pPr>
    <w:rPr>
      <w:rFonts w:asciiTheme="majorHAnsi" w:hAnsiTheme="majorHAnsi"/>
      <w:sz w:val="28"/>
    </w:rPr>
  </w:style>
  <w:style w:type="paragraph" w:styleId="FootnoteText">
    <w:name w:val="footnote text"/>
    <w:aliases w:val="ACMA Footnote Text,Footnote Text Char1,Footnote Text Char Char,Footnote Text Char1 Char,Footnote Text Char Char1 Char,Footnote Text Char Char Char Char Char1,Footnote Text Char Char Char,Footnote Text Char Char Char Char,ft"/>
    <w:basedOn w:val="Normal"/>
    <w:link w:val="FootnoteTextChar"/>
    <w:uiPriority w:val="56"/>
    <w:rsid w:val="002853C7"/>
    <w:pPr>
      <w:tabs>
        <w:tab w:val="left" w:pos="113"/>
      </w:tabs>
      <w:spacing w:before="0" w:after="0"/>
      <w:ind w:left="113" w:hanging="113"/>
    </w:pPr>
    <w:rPr>
      <w:sz w:val="10"/>
    </w:rPr>
  </w:style>
  <w:style w:type="character" w:customStyle="1" w:styleId="FootnoteTextChar">
    <w:name w:val="Footnote Text Char"/>
    <w:aliases w:val="ACMA Footnote Text Char,Footnote Text Char1 Char1,Footnote Text Char Char Char1,Footnote Text Char1 Char Char,Footnote Text Char Char1 Char Char,Footnote Text Char Char Char Char Char1 Char,Footnote Text Char Char Char Char1,ft Char"/>
    <w:basedOn w:val="DefaultParagraphFont"/>
    <w:link w:val="FootnoteText"/>
    <w:uiPriority w:val="56"/>
    <w:rsid w:val="002853C7"/>
    <w:rPr>
      <w:sz w:val="10"/>
    </w:rPr>
  </w:style>
  <w:style w:type="character" w:styleId="FootnoteReference">
    <w:name w:val="footnote reference"/>
    <w:basedOn w:val="DefaultParagraphFont"/>
    <w:uiPriority w:val="56"/>
    <w:rsid w:val="002A4AC9"/>
    <w:rPr>
      <w:b/>
      <w:color w:val="C60C30" w:themeColor="accent2"/>
      <w:vertAlign w:val="superscript"/>
    </w:rPr>
  </w:style>
  <w:style w:type="numbering" w:customStyle="1" w:styleId="Recommendations">
    <w:name w:val="Recommendations"/>
    <w:uiPriority w:val="99"/>
    <w:rsid w:val="008F35A3"/>
    <w:pPr>
      <w:numPr>
        <w:numId w:val="5"/>
      </w:numPr>
    </w:pPr>
  </w:style>
  <w:style w:type="paragraph" w:customStyle="1" w:styleId="Recommendation">
    <w:name w:val="Recommendation"/>
    <w:basedOn w:val="BodyText"/>
    <w:uiPriority w:val="13"/>
    <w:qFormat/>
    <w:rsid w:val="008F35A3"/>
    <w:pPr>
      <w:numPr>
        <w:numId w:val="12"/>
      </w:numPr>
      <w:ind w:left="1361" w:hanging="454"/>
    </w:pPr>
    <w:rPr>
      <w:rFonts w:asciiTheme="majorHAnsi" w:hAnsiTheme="majorHAnsi"/>
      <w:color w:val="3B0083" w:themeColor="accent1"/>
    </w:rPr>
  </w:style>
  <w:style w:type="paragraph" w:customStyle="1" w:styleId="RecommendationsBullet">
    <w:name w:val="Recommendations Bullet"/>
    <w:basedOn w:val="BodyText"/>
    <w:uiPriority w:val="13"/>
    <w:qFormat/>
    <w:rsid w:val="008F35A3"/>
    <w:pPr>
      <w:numPr>
        <w:ilvl w:val="1"/>
        <w:numId w:val="12"/>
      </w:numPr>
      <w:ind w:left="1814" w:hanging="453"/>
    </w:pPr>
  </w:style>
  <w:style w:type="numbering" w:customStyle="1" w:styleId="Findings">
    <w:name w:val="Findings"/>
    <w:uiPriority w:val="99"/>
    <w:rsid w:val="008F35A3"/>
    <w:pPr>
      <w:numPr>
        <w:numId w:val="6"/>
      </w:numPr>
    </w:pPr>
  </w:style>
  <w:style w:type="paragraph" w:customStyle="1" w:styleId="Finding">
    <w:name w:val="Finding"/>
    <w:basedOn w:val="BodyText"/>
    <w:uiPriority w:val="12"/>
    <w:qFormat/>
    <w:rsid w:val="008F35A3"/>
    <w:pPr>
      <w:numPr>
        <w:numId w:val="11"/>
      </w:numPr>
    </w:pPr>
    <w:rPr>
      <w:rFonts w:asciiTheme="majorHAnsi" w:hAnsiTheme="majorHAnsi"/>
      <w:color w:val="3B0083" w:themeColor="accent1"/>
    </w:rPr>
  </w:style>
  <w:style w:type="paragraph" w:customStyle="1" w:styleId="FindingBullet">
    <w:name w:val="Finding Bullet"/>
    <w:basedOn w:val="BodyText"/>
    <w:uiPriority w:val="12"/>
    <w:qFormat/>
    <w:rsid w:val="008F35A3"/>
    <w:pPr>
      <w:numPr>
        <w:ilvl w:val="1"/>
        <w:numId w:val="11"/>
      </w:numPr>
    </w:pPr>
  </w:style>
  <w:style w:type="paragraph" w:customStyle="1" w:styleId="ExecutiveSummaryH2">
    <w:name w:val="Executive Summary H2"/>
    <w:basedOn w:val="Heading2"/>
    <w:next w:val="BodyText"/>
    <w:uiPriority w:val="14"/>
    <w:qFormat/>
    <w:rsid w:val="0089198B"/>
    <w:pPr>
      <w:numPr>
        <w:numId w:val="7"/>
      </w:numPr>
    </w:pPr>
  </w:style>
  <w:style w:type="paragraph" w:customStyle="1" w:styleId="ExecutiveSummaryH3">
    <w:name w:val="Executive Summary H3"/>
    <w:basedOn w:val="Heading3"/>
    <w:next w:val="BodyText"/>
    <w:uiPriority w:val="14"/>
    <w:qFormat/>
    <w:rsid w:val="0089198B"/>
    <w:pPr>
      <w:numPr>
        <w:numId w:val="7"/>
      </w:numPr>
    </w:pPr>
  </w:style>
  <w:style w:type="numbering" w:customStyle="1" w:styleId="HeadingsExecutiveSummary">
    <w:name w:val="Headings &gt; Executive Summary"/>
    <w:uiPriority w:val="99"/>
    <w:rsid w:val="0089198B"/>
    <w:pPr>
      <w:numPr>
        <w:numId w:val="7"/>
      </w:numPr>
    </w:pPr>
  </w:style>
  <w:style w:type="paragraph" w:customStyle="1" w:styleId="Introduction">
    <w:name w:val="Introduction"/>
    <w:basedOn w:val="Normal"/>
    <w:link w:val="IntroductionChar"/>
    <w:uiPriority w:val="36"/>
    <w:qFormat/>
    <w:rsid w:val="0046632C"/>
    <w:rPr>
      <w:b/>
    </w:rPr>
  </w:style>
  <w:style w:type="character" w:customStyle="1" w:styleId="IntroductionChar">
    <w:name w:val="Introduction Char"/>
    <w:basedOn w:val="DefaultParagraphFont"/>
    <w:link w:val="Introduction"/>
    <w:uiPriority w:val="36"/>
    <w:rsid w:val="0046632C"/>
    <w:rPr>
      <w:b/>
    </w:rPr>
  </w:style>
  <w:style w:type="paragraph" w:customStyle="1" w:styleId="TOCHeading2">
    <w:name w:val="TOC Heading 2"/>
    <w:basedOn w:val="TOCHeading"/>
    <w:next w:val="Normal"/>
    <w:link w:val="TOCHeading2Char"/>
    <w:uiPriority w:val="36"/>
    <w:rsid w:val="007111D5"/>
    <w:pPr>
      <w:pBdr>
        <w:top w:val="single" w:sz="6" w:space="9" w:color="C60C30" w:themeColor="accent2"/>
      </w:pBdr>
      <w:spacing w:before="480" w:after="160"/>
      <w:ind w:right="1984"/>
    </w:pPr>
    <w:rPr>
      <w:sz w:val="36"/>
    </w:rPr>
  </w:style>
  <w:style w:type="character" w:customStyle="1" w:styleId="TOCHeadingChar">
    <w:name w:val="TOC Heading Char"/>
    <w:basedOn w:val="DefaultParagraphFont"/>
    <w:link w:val="TOCHeading"/>
    <w:uiPriority w:val="37"/>
    <w:rsid w:val="00FB4BFA"/>
    <w:rPr>
      <w:rFonts w:asciiTheme="majorHAnsi" w:hAnsiTheme="majorHAnsi"/>
      <w:color w:val="3B0083" w:themeColor="accent1"/>
      <w:sz w:val="48"/>
      <w:szCs w:val="44"/>
    </w:rPr>
  </w:style>
  <w:style w:type="character" w:customStyle="1" w:styleId="TOCHeading2Char">
    <w:name w:val="TOC Heading 2 Char"/>
    <w:basedOn w:val="TOCHeadingChar"/>
    <w:link w:val="TOCHeading2"/>
    <w:uiPriority w:val="36"/>
    <w:rsid w:val="007111D5"/>
    <w:rPr>
      <w:rFonts w:asciiTheme="majorHAnsi" w:hAnsiTheme="majorHAnsi"/>
      <w:color w:val="3B0083" w:themeColor="accent1"/>
      <w:sz w:val="36"/>
      <w:szCs w:val="44"/>
    </w:rPr>
  </w:style>
  <w:style w:type="paragraph" w:styleId="Date">
    <w:name w:val="Date"/>
    <w:basedOn w:val="Normal"/>
    <w:next w:val="Normal"/>
    <w:link w:val="DateChar"/>
    <w:uiPriority w:val="99"/>
    <w:rsid w:val="007C718B"/>
    <w:pPr>
      <w:spacing w:before="0" w:after="0"/>
    </w:pPr>
    <w:rPr>
      <w:sz w:val="28"/>
    </w:rPr>
  </w:style>
  <w:style w:type="character" w:customStyle="1" w:styleId="DateChar">
    <w:name w:val="Date Char"/>
    <w:basedOn w:val="DefaultParagraphFont"/>
    <w:link w:val="Date"/>
    <w:uiPriority w:val="99"/>
    <w:rsid w:val="007C718B"/>
    <w:rPr>
      <w:sz w:val="28"/>
    </w:rPr>
  </w:style>
  <w:style w:type="paragraph" w:customStyle="1" w:styleId="GraphicHeading1">
    <w:name w:val="Graphic Heading 1"/>
    <w:basedOn w:val="BodyText"/>
    <w:link w:val="GraphicHeading1Char"/>
    <w:uiPriority w:val="36"/>
    <w:qFormat/>
    <w:rsid w:val="00C1022C"/>
    <w:pPr>
      <w:spacing w:before="0" w:after="0"/>
    </w:pPr>
    <w:rPr>
      <w:rFonts w:asciiTheme="majorHAnsi" w:hAnsiTheme="majorHAnsi"/>
      <w:sz w:val="13"/>
    </w:rPr>
  </w:style>
  <w:style w:type="character" w:customStyle="1" w:styleId="GraphicHeading1Char">
    <w:name w:val="Graphic Heading 1 Char"/>
    <w:basedOn w:val="BodyTextChar"/>
    <w:link w:val="GraphicHeading1"/>
    <w:uiPriority w:val="36"/>
    <w:rsid w:val="00C1022C"/>
    <w:rPr>
      <w:rFonts w:asciiTheme="majorHAnsi" w:hAnsiTheme="majorHAnsi"/>
      <w:sz w:val="13"/>
      <w:szCs w:val="24"/>
    </w:rPr>
  </w:style>
  <w:style w:type="paragraph" w:customStyle="1" w:styleId="GraphicHeading2">
    <w:name w:val="Graphic Heading 2"/>
    <w:basedOn w:val="Normal"/>
    <w:link w:val="GraphicHeading2Char"/>
    <w:uiPriority w:val="36"/>
    <w:qFormat/>
    <w:rsid w:val="00332CE6"/>
    <w:pPr>
      <w:spacing w:before="80" w:after="80" w:line="192" w:lineRule="auto"/>
    </w:pPr>
    <w:rPr>
      <w:rFonts w:asciiTheme="majorHAnsi" w:hAnsiTheme="majorHAnsi"/>
      <w:sz w:val="11"/>
      <w:lang w:val="en-GB"/>
    </w:rPr>
  </w:style>
  <w:style w:type="character" w:customStyle="1" w:styleId="GraphicHeading2Char">
    <w:name w:val="Graphic Heading 2 Char"/>
    <w:basedOn w:val="DefaultParagraphFont"/>
    <w:link w:val="GraphicHeading2"/>
    <w:uiPriority w:val="36"/>
    <w:rsid w:val="00332CE6"/>
    <w:rPr>
      <w:rFonts w:asciiTheme="majorHAnsi" w:hAnsiTheme="majorHAnsi"/>
      <w:sz w:val="11"/>
      <w:lang w:val="en-GB"/>
    </w:rPr>
  </w:style>
  <w:style w:type="paragraph" w:customStyle="1" w:styleId="GraphicBullet1">
    <w:name w:val="Graphic Bullet 1"/>
    <w:basedOn w:val="Normal"/>
    <w:link w:val="GraphicBullet1Char"/>
    <w:uiPriority w:val="36"/>
    <w:qFormat/>
    <w:rsid w:val="005D76F1"/>
    <w:pPr>
      <w:numPr>
        <w:numId w:val="14"/>
      </w:numPr>
      <w:spacing w:before="60" w:after="60" w:line="192" w:lineRule="auto"/>
    </w:pPr>
    <w:rPr>
      <w:sz w:val="11"/>
      <w:szCs w:val="11"/>
    </w:rPr>
  </w:style>
  <w:style w:type="character" w:customStyle="1" w:styleId="GraphicBullet1Char">
    <w:name w:val="Graphic Bullet 1 Char"/>
    <w:basedOn w:val="DefaultParagraphFont"/>
    <w:link w:val="GraphicBullet1"/>
    <w:uiPriority w:val="36"/>
    <w:rsid w:val="00BD27D2"/>
    <w:rPr>
      <w:sz w:val="11"/>
      <w:szCs w:val="11"/>
    </w:rPr>
  </w:style>
  <w:style w:type="numbering" w:customStyle="1" w:styleId="GraphicBullet">
    <w:name w:val="GraphicBullet"/>
    <w:uiPriority w:val="99"/>
    <w:rsid w:val="005D76F1"/>
    <w:pPr>
      <w:numPr>
        <w:numId w:val="13"/>
      </w:numPr>
    </w:pPr>
  </w:style>
  <w:style w:type="paragraph" w:customStyle="1" w:styleId="GraphicBullet2">
    <w:name w:val="Graphic Bullet 2"/>
    <w:basedOn w:val="GraphicBullet1"/>
    <w:link w:val="GraphicBullet2Char"/>
    <w:uiPriority w:val="36"/>
    <w:qFormat/>
    <w:rsid w:val="0026080E"/>
    <w:pPr>
      <w:numPr>
        <w:ilvl w:val="1"/>
      </w:numPr>
    </w:pPr>
  </w:style>
  <w:style w:type="character" w:customStyle="1" w:styleId="GraphicBullet2Char">
    <w:name w:val="Graphic Bullet 2 Char"/>
    <w:basedOn w:val="GraphicBullet1Char"/>
    <w:link w:val="GraphicBullet2"/>
    <w:uiPriority w:val="36"/>
    <w:rsid w:val="0026080E"/>
    <w:rPr>
      <w:sz w:val="11"/>
      <w:szCs w:val="11"/>
    </w:rPr>
  </w:style>
  <w:style w:type="paragraph" w:customStyle="1" w:styleId="Deliverables">
    <w:name w:val="Deliverables"/>
    <w:basedOn w:val="GraphicBullet1"/>
    <w:link w:val="DeliverablesChar"/>
    <w:uiPriority w:val="36"/>
    <w:qFormat/>
    <w:rsid w:val="00ED0343"/>
    <w:pPr>
      <w:numPr>
        <w:numId w:val="0"/>
      </w:numPr>
      <w:tabs>
        <w:tab w:val="left" w:pos="170"/>
      </w:tabs>
      <w:ind w:left="170" w:hanging="170"/>
    </w:pPr>
  </w:style>
  <w:style w:type="character" w:customStyle="1" w:styleId="DeliverablesChar">
    <w:name w:val="Deliverables Char"/>
    <w:basedOn w:val="GraphicBullet1Char"/>
    <w:link w:val="Deliverables"/>
    <w:uiPriority w:val="36"/>
    <w:rsid w:val="00ED0343"/>
    <w:rPr>
      <w:sz w:val="11"/>
      <w:szCs w:val="11"/>
    </w:rPr>
  </w:style>
  <w:style w:type="paragraph" w:customStyle="1" w:styleId="Resume2">
    <w:name w:val="Resume 2"/>
    <w:basedOn w:val="Normal"/>
    <w:next w:val="Normal"/>
    <w:link w:val="Resume2Char"/>
    <w:uiPriority w:val="29"/>
    <w:qFormat/>
    <w:rsid w:val="00E21EC1"/>
    <w:pPr>
      <w:keepNext/>
      <w:spacing w:after="0" w:line="259" w:lineRule="auto"/>
    </w:pPr>
    <w:rPr>
      <w:rFonts w:asciiTheme="majorHAnsi" w:hAnsiTheme="majorHAnsi" w:cs="Arial"/>
      <w:color w:val="3B0083" w:themeColor="accent1"/>
      <w:sz w:val="24"/>
      <w:szCs w:val="24"/>
    </w:rPr>
  </w:style>
  <w:style w:type="character" w:customStyle="1" w:styleId="Resume2Char">
    <w:name w:val="Resume 2 Char"/>
    <w:basedOn w:val="DefaultParagraphFont"/>
    <w:link w:val="Resume2"/>
    <w:uiPriority w:val="29"/>
    <w:rsid w:val="00DB45F6"/>
    <w:rPr>
      <w:rFonts w:asciiTheme="majorHAnsi" w:hAnsiTheme="majorHAnsi" w:cs="Arial"/>
      <w:color w:val="3B0083" w:themeColor="accent1"/>
      <w:sz w:val="24"/>
      <w:szCs w:val="24"/>
    </w:rPr>
  </w:style>
  <w:style w:type="paragraph" w:customStyle="1" w:styleId="Resume3">
    <w:name w:val="Resume 3"/>
    <w:basedOn w:val="Normal"/>
    <w:next w:val="Normal"/>
    <w:link w:val="Resume3Char"/>
    <w:uiPriority w:val="29"/>
    <w:qFormat/>
    <w:rsid w:val="00524300"/>
    <w:pPr>
      <w:spacing w:before="0"/>
    </w:pPr>
    <w:rPr>
      <w:rFonts w:asciiTheme="majorHAnsi" w:hAnsiTheme="majorHAnsi"/>
      <w:color w:val="C60C30" w:themeColor="accent2"/>
      <w:szCs w:val="21"/>
    </w:rPr>
  </w:style>
  <w:style w:type="character" w:customStyle="1" w:styleId="Resume3Char">
    <w:name w:val="Resume 3 Char"/>
    <w:basedOn w:val="DefaultParagraphFont"/>
    <w:link w:val="Resume3"/>
    <w:uiPriority w:val="29"/>
    <w:rsid w:val="00DB45F6"/>
    <w:rPr>
      <w:rFonts w:asciiTheme="majorHAnsi" w:hAnsiTheme="majorHAnsi"/>
      <w:color w:val="C60C30" w:themeColor="accent2"/>
      <w:szCs w:val="21"/>
    </w:rPr>
  </w:style>
  <w:style w:type="paragraph" w:customStyle="1" w:styleId="Resume1">
    <w:name w:val="Resume 1"/>
    <w:basedOn w:val="Normal"/>
    <w:next w:val="Normal"/>
    <w:uiPriority w:val="29"/>
    <w:qFormat/>
    <w:rsid w:val="00026838"/>
    <w:pPr>
      <w:pageBreakBefore/>
      <w:spacing w:before="0"/>
    </w:pPr>
    <w:rPr>
      <w:rFonts w:asciiTheme="majorHAnsi" w:eastAsia="Calibri" w:hAnsiTheme="majorHAnsi" w:cs="Times New Roman"/>
      <w:bCs/>
      <w:color w:val="FFFFFF" w:themeColor="background1"/>
      <w:sz w:val="36"/>
      <w:szCs w:val="60"/>
      <w:lang w:eastAsia="en-AU"/>
    </w:rPr>
  </w:style>
  <w:style w:type="paragraph" w:customStyle="1" w:styleId="Resume4">
    <w:name w:val="Resume 4"/>
    <w:basedOn w:val="Normal"/>
    <w:next w:val="Normal"/>
    <w:link w:val="Resume4Char"/>
    <w:uiPriority w:val="36"/>
    <w:qFormat/>
    <w:rsid w:val="00E21EC1"/>
    <w:pPr>
      <w:keepNext/>
    </w:pPr>
    <w:rPr>
      <w:rFonts w:asciiTheme="majorHAnsi" w:hAnsiTheme="majorHAnsi"/>
      <w:color w:val="3B0083" w:themeColor="accent1"/>
    </w:rPr>
  </w:style>
  <w:style w:type="character" w:customStyle="1" w:styleId="Resume4Char">
    <w:name w:val="Resume 4 Char"/>
    <w:basedOn w:val="DefaultParagraphFont"/>
    <w:link w:val="Resume4"/>
    <w:uiPriority w:val="36"/>
    <w:rsid w:val="00E21EC1"/>
    <w:rPr>
      <w:rFonts w:asciiTheme="majorHAnsi" w:hAnsiTheme="majorHAnsi"/>
      <w:color w:val="3B0083" w:themeColor="accent1"/>
    </w:rPr>
  </w:style>
  <w:style w:type="paragraph" w:customStyle="1" w:styleId="NormalSmall">
    <w:name w:val="Normal Small"/>
    <w:basedOn w:val="Normal"/>
    <w:link w:val="NormalSmallChar"/>
    <w:qFormat/>
    <w:rsid w:val="00BC048B"/>
    <w:pPr>
      <w:spacing w:before="60" w:after="60" w:line="192" w:lineRule="auto"/>
    </w:pPr>
    <w:rPr>
      <w:sz w:val="16"/>
    </w:rPr>
  </w:style>
  <w:style w:type="character" w:customStyle="1" w:styleId="NormalSmallChar">
    <w:name w:val="Normal Small Char"/>
    <w:basedOn w:val="DefaultParagraphFont"/>
    <w:link w:val="NormalSmall"/>
    <w:rsid w:val="00BC048B"/>
    <w:rPr>
      <w:sz w:val="16"/>
    </w:rPr>
  </w:style>
  <w:style w:type="paragraph" w:customStyle="1" w:styleId="ResumeBullet">
    <w:name w:val="Resume Bullet"/>
    <w:basedOn w:val="NormalSmall"/>
    <w:link w:val="ResumeBulletChar"/>
    <w:uiPriority w:val="36"/>
    <w:qFormat/>
    <w:rsid w:val="00E21EC1"/>
    <w:pPr>
      <w:numPr>
        <w:numId w:val="15"/>
      </w:numPr>
      <w:ind w:left="284" w:hanging="284"/>
    </w:pPr>
  </w:style>
  <w:style w:type="character" w:customStyle="1" w:styleId="ResumeBulletChar">
    <w:name w:val="Resume Bullet Char"/>
    <w:basedOn w:val="NormalSmallChar"/>
    <w:link w:val="ResumeBullet"/>
    <w:uiPriority w:val="36"/>
    <w:rsid w:val="00E21EC1"/>
    <w:rPr>
      <w:sz w:val="16"/>
    </w:rPr>
  </w:style>
  <w:style w:type="table" w:customStyle="1" w:styleId="TableHealthConsultPurple">
    <w:name w:val="Table_HealthConsult_Purple"/>
    <w:basedOn w:val="TableHealthConsultRed"/>
    <w:uiPriority w:val="99"/>
    <w:rsid w:val="008A5B3F"/>
    <w:tblPr>
      <w:tblBorders>
        <w:top w:val="single" w:sz="4" w:space="0" w:color="3B0083" w:themeColor="accent1"/>
        <w:bottom w:val="single" w:sz="4" w:space="0" w:color="3B0083" w:themeColor="accent1"/>
        <w:insideH w:val="single" w:sz="4" w:space="0" w:color="3B0083" w:themeColor="accent1"/>
      </w:tblBorders>
    </w:tblPr>
    <w:tcPr>
      <w:shd w:val="clear" w:color="auto" w:fill="auto"/>
    </w:tcPr>
    <w:tblStylePr w:type="firstRow">
      <w:pPr>
        <w:keepNext/>
        <w:wordWrap/>
        <w:spacing w:beforeLines="0" w:before="60" w:beforeAutospacing="0" w:afterLines="0" w:after="60" w:afterAutospacing="0"/>
        <w:jc w:val="left"/>
      </w:pPr>
      <w:rPr>
        <w:b/>
        <w:i w:val="0"/>
        <w:color w:val="FFFFFF" w:themeColor="background1"/>
        <w:spacing w:val="0"/>
      </w:rPr>
      <w:tblPr/>
      <w:trPr>
        <w:tblHeader/>
      </w:trPr>
      <w:tcPr>
        <w:tcBorders>
          <w:top w:val="nil"/>
          <w:left w:val="nil"/>
          <w:bottom w:val="nil"/>
          <w:right w:val="nil"/>
          <w:insideH w:val="nil"/>
          <w:insideV w:val="nil"/>
          <w:tl2br w:val="nil"/>
          <w:tr2bl w:val="nil"/>
        </w:tcBorders>
        <w:shd w:val="clear" w:color="auto" w:fill="3B0083" w:themeFill="accent1"/>
      </w:tcPr>
    </w:tblStylePr>
    <w:tblStylePr w:type="lastRow">
      <w:rPr>
        <w:b/>
        <w:i w:val="0"/>
        <w:color w:val="001946" w:themeColor="accent3" w:themeShade="80"/>
      </w:rPr>
      <w:tblPr/>
      <w:tcPr>
        <w:shd w:val="clear" w:color="auto" w:fill="EBE5F2" w:themeFill="accent5" w:themeFillTint="33"/>
      </w:tcPr>
    </w:tblStylePr>
    <w:tblStylePr w:type="firstCol">
      <w:pPr>
        <w:wordWrap/>
        <w:jc w:val="left"/>
      </w:pPr>
      <w:rPr>
        <w:b/>
        <w:i w:val="0"/>
        <w:color w:val="FFFFFF" w:themeColor="background1"/>
      </w:rPr>
      <w:tblPr/>
      <w:tcPr>
        <w:shd w:val="clear" w:color="auto" w:fill="3B0083" w:themeFill="accent1"/>
      </w:tcPr>
    </w:tblStylePr>
    <w:tblStylePr w:type="lastCol">
      <w:tblPr/>
      <w:tcPr>
        <w:shd w:val="clear" w:color="auto" w:fill="EBE5F2" w:themeFill="accent5" w:themeFillTint="33"/>
      </w:tcPr>
    </w:tblStylePr>
    <w:tblStylePr w:type="band2Vert">
      <w:tblPr/>
      <w:tcPr>
        <w:shd w:val="clear" w:color="auto" w:fill="EBE5F2" w:themeFill="accent5" w:themeFillTint="33"/>
      </w:tcPr>
    </w:tblStylePr>
    <w:tblStylePr w:type="band2Horz">
      <w:tblPr/>
      <w:tcPr>
        <w:shd w:val="clear" w:color="auto" w:fill="EBE5F2" w:themeFill="accent5" w:themeFillTint="33"/>
      </w:tcPr>
    </w:tblStylePr>
    <w:tblStylePr w:type="nwCell">
      <w:pPr>
        <w:wordWrap/>
        <w:jc w:val="left"/>
      </w:pPr>
      <w:tblPr/>
      <w:tcPr>
        <w:vAlign w:val="center"/>
      </w:tcPr>
    </w:tblStylePr>
  </w:style>
  <w:style w:type="table" w:customStyle="1" w:styleId="TableHealthConsult1">
    <w:name w:val="Table_HealthConsult1"/>
    <w:basedOn w:val="TableNormal"/>
    <w:uiPriority w:val="99"/>
    <w:rsid w:val="00FB3BF5"/>
    <w:pPr>
      <w:spacing w:before="60" w:after="60" w:line="259" w:lineRule="auto"/>
    </w:pPr>
    <w:rPr>
      <w:color w:val="0D0D0D" w:themeColor="text1" w:themeTint="F2"/>
      <w:sz w:val="16"/>
      <w:szCs w:val="21"/>
    </w:rPr>
    <w:tblPr>
      <w:tblStyleRowBandSize w:val="1"/>
      <w:tblStyleColBandSize w:val="1"/>
      <w:tblBorders>
        <w:top w:val="single" w:sz="4" w:space="0" w:color="3B0083" w:themeColor="accent1"/>
        <w:bottom w:val="single" w:sz="4" w:space="0" w:color="3B0083" w:themeColor="accent1"/>
      </w:tblBorders>
      <w:tblCellMar>
        <w:top w:w="28" w:type="dxa"/>
        <w:left w:w="85" w:type="dxa"/>
        <w:right w:w="85" w:type="dxa"/>
      </w:tblCellMar>
    </w:tblPr>
    <w:tcPr>
      <w:shd w:val="clear" w:color="auto" w:fill="auto"/>
      <w:tcMar>
        <w:top w:w="57" w:type="dxa"/>
        <w:bottom w:w="57" w:type="dxa"/>
      </w:tcMar>
    </w:tcPr>
    <w:tblStylePr w:type="firstRow">
      <w:pPr>
        <w:keepNext/>
        <w:wordWrap/>
        <w:spacing w:beforeLines="0" w:before="60" w:beforeAutospacing="0" w:afterLines="0" w:after="0" w:afterAutospacing="0"/>
        <w:jc w:val="left"/>
      </w:pPr>
      <w:rPr>
        <w:rFonts w:asciiTheme="minorHAnsi" w:hAnsiTheme="minorHAnsi"/>
        <w:b/>
        <w:i w:val="0"/>
        <w:color w:val="3B0083" w:themeColor="accent1"/>
        <w:spacing w:val="0"/>
        <w:sz w:val="16"/>
      </w:rPr>
      <w:tblPr/>
      <w:trPr>
        <w:cantSplit w:val="0"/>
        <w:tblHeader/>
      </w:trPr>
      <w:tcPr>
        <w:tcBorders>
          <w:top w:val="nil"/>
          <w:left w:val="nil"/>
          <w:bottom w:val="single" w:sz="4" w:space="0" w:color="3B0083" w:themeColor="accent1"/>
          <w:right w:val="nil"/>
          <w:insideH w:val="nil"/>
          <w:insideV w:val="nil"/>
          <w:tl2br w:val="nil"/>
          <w:tr2bl w:val="nil"/>
        </w:tcBorders>
      </w:tcPr>
    </w:tblStylePr>
    <w:tblStylePr w:type="lastRow">
      <w:rPr>
        <w:b/>
        <w:i w:val="0"/>
        <w:color w:val="0D0D0D" w:themeColor="text1" w:themeTint="F2"/>
      </w:rPr>
      <w:tblPr/>
      <w:tcPr>
        <w:tcBorders>
          <w:top w:val="nil"/>
          <w:left w:val="nil"/>
          <w:bottom w:val="single" w:sz="4" w:space="0" w:color="3B0083" w:themeColor="accent1"/>
          <w:right w:val="nil"/>
          <w:insideH w:val="nil"/>
          <w:insideV w:val="nil"/>
          <w:tl2br w:val="nil"/>
          <w:tr2bl w:val="nil"/>
        </w:tcBorders>
        <w:shd w:val="clear" w:color="auto" w:fill="E38698" w:themeFill="accent6"/>
      </w:tcPr>
    </w:tblStylePr>
    <w:tblStylePr w:type="firstCol">
      <w:pPr>
        <w:wordWrap/>
        <w:jc w:val="left"/>
      </w:pPr>
      <w:rPr>
        <w:b/>
        <w:i w:val="0"/>
        <w:color w:val="3B0083" w:themeColor="accent1"/>
      </w:rPr>
    </w:tblStylePr>
    <w:tblStylePr w:type="lastCol">
      <w:tblPr/>
      <w:tcPr>
        <w:shd w:val="clear" w:color="auto" w:fill="E38698" w:themeFill="accent6"/>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wCell">
      <w:pPr>
        <w:wordWrap/>
        <w:jc w:val="left"/>
      </w:pPr>
      <w:tblPr/>
      <w:tcPr>
        <w:vAlign w:val="center"/>
      </w:tcPr>
    </w:tblStylePr>
  </w:style>
  <w:style w:type="numbering" w:customStyle="1" w:styleId="NumberedList">
    <w:name w:val="Numbered_List"/>
    <w:uiPriority w:val="99"/>
    <w:rsid w:val="00FB3BF5"/>
    <w:pPr>
      <w:numPr>
        <w:numId w:val="17"/>
      </w:numPr>
    </w:pPr>
  </w:style>
  <w:style w:type="numbering" w:customStyle="1" w:styleId="Bullets">
    <w:name w:val="Bullets"/>
    <w:uiPriority w:val="99"/>
    <w:rsid w:val="00B47DDF"/>
    <w:pPr>
      <w:numPr>
        <w:numId w:val="48"/>
      </w:numPr>
    </w:pPr>
  </w:style>
  <w:style w:type="paragraph" w:customStyle="1" w:styleId="05Bullets2ndlevelonelongsentence">
    <w:name w:val="05. Bullets 2nd level – one long sentence"/>
    <w:basedOn w:val="Normal"/>
    <w:autoRedefine/>
    <w:qFormat/>
    <w:rsid w:val="00B47DDF"/>
    <w:pPr>
      <w:numPr>
        <w:numId w:val="18"/>
      </w:numPr>
      <w:spacing w:before="60" w:after="0"/>
      <w:contextualSpacing/>
    </w:pPr>
    <w:rPr>
      <w:rFonts w:ascii="Arial" w:eastAsia="Calibri" w:hAnsi="Arial" w:cs="Times New Roman"/>
      <w:color w:val="7F7F7F" w:themeColor="text1" w:themeTint="80"/>
      <w:sz w:val="22"/>
      <w:szCs w:val="22"/>
    </w:rPr>
  </w:style>
  <w:style w:type="character" w:styleId="CommentReference">
    <w:name w:val="annotation reference"/>
    <w:basedOn w:val="DefaultParagraphFont"/>
    <w:uiPriority w:val="99"/>
    <w:semiHidden/>
    <w:unhideWhenUsed/>
    <w:rsid w:val="00706BAA"/>
    <w:rPr>
      <w:sz w:val="16"/>
      <w:szCs w:val="16"/>
    </w:rPr>
  </w:style>
  <w:style w:type="paragraph" w:styleId="CommentText">
    <w:name w:val="annotation text"/>
    <w:basedOn w:val="Normal"/>
    <w:link w:val="CommentTextChar"/>
    <w:uiPriority w:val="99"/>
    <w:unhideWhenUsed/>
    <w:rsid w:val="00706BAA"/>
  </w:style>
  <w:style w:type="character" w:customStyle="1" w:styleId="CommentTextChar">
    <w:name w:val="Comment Text Char"/>
    <w:basedOn w:val="DefaultParagraphFont"/>
    <w:link w:val="CommentText"/>
    <w:uiPriority w:val="99"/>
    <w:rsid w:val="00706BAA"/>
  </w:style>
  <w:style w:type="paragraph" w:styleId="CommentSubject">
    <w:name w:val="annotation subject"/>
    <w:basedOn w:val="CommentText"/>
    <w:next w:val="CommentText"/>
    <w:link w:val="CommentSubjectChar"/>
    <w:uiPriority w:val="99"/>
    <w:semiHidden/>
    <w:unhideWhenUsed/>
    <w:rsid w:val="00706BAA"/>
    <w:rPr>
      <w:b/>
      <w:bCs/>
    </w:rPr>
  </w:style>
  <w:style w:type="character" w:customStyle="1" w:styleId="CommentSubjectChar">
    <w:name w:val="Comment Subject Char"/>
    <w:basedOn w:val="CommentTextChar"/>
    <w:link w:val="CommentSubject"/>
    <w:uiPriority w:val="99"/>
    <w:semiHidden/>
    <w:rsid w:val="00706BAA"/>
    <w:rPr>
      <w:b/>
      <w:bCs/>
    </w:rPr>
  </w:style>
  <w:style w:type="character" w:styleId="Mention">
    <w:name w:val="Mention"/>
    <w:basedOn w:val="DefaultParagraphFont"/>
    <w:uiPriority w:val="99"/>
    <w:unhideWhenUsed/>
    <w:rsid w:val="00706BAA"/>
    <w:rPr>
      <w:color w:val="2B579A"/>
      <w:shd w:val="clear" w:color="auto" w:fill="E1DFDD"/>
    </w:rPr>
  </w:style>
  <w:style w:type="character" w:customStyle="1" w:styleId="CaptionChar">
    <w:name w:val="Caption Char"/>
    <w:aliases w:val="21. Caption for table or figure Char,Figure Caption Char"/>
    <w:basedOn w:val="DefaultParagraphFont"/>
    <w:link w:val="Caption"/>
    <w:uiPriority w:val="35"/>
    <w:rsid w:val="00496EF0"/>
    <w:rPr>
      <w:rFonts w:asciiTheme="majorHAnsi" w:hAnsiTheme="majorHAnsi"/>
      <w:iCs/>
      <w:color w:val="3B0083" w:themeColor="accent1"/>
      <w:sz w:val="18"/>
    </w:rPr>
  </w:style>
  <w:style w:type="table" w:customStyle="1" w:styleId="TableHealthConsult">
    <w:name w:val="Table_HealthConsult"/>
    <w:basedOn w:val="TableNormal"/>
    <w:uiPriority w:val="99"/>
    <w:rsid w:val="00530A81"/>
    <w:pPr>
      <w:spacing w:before="60" w:after="60" w:line="259" w:lineRule="auto"/>
    </w:pPr>
    <w:rPr>
      <w:color w:val="0D0D0D" w:themeColor="text1" w:themeTint="F2"/>
      <w:sz w:val="21"/>
      <w:szCs w:val="21"/>
    </w:rPr>
    <w:tblPr>
      <w:tblStyleRowBandSize w:val="1"/>
      <w:tblStyleColBandSize w:val="1"/>
      <w:tblBorders>
        <w:top w:val="single" w:sz="4" w:space="0" w:color="3B0083" w:themeColor="accent1"/>
        <w:bottom w:val="single" w:sz="4" w:space="0" w:color="3B0083" w:themeColor="accent1"/>
      </w:tblBorders>
      <w:tblCellMar>
        <w:top w:w="28" w:type="dxa"/>
        <w:left w:w="57" w:type="dxa"/>
        <w:right w:w="57" w:type="dxa"/>
      </w:tblCellMar>
    </w:tblPr>
    <w:tblStylePr w:type="firstRow">
      <w:pPr>
        <w:keepNext/>
        <w:wordWrap/>
        <w:spacing w:beforeLines="0" w:before="60" w:beforeAutospacing="0" w:afterLines="0" w:after="60" w:afterAutospacing="0"/>
        <w:jc w:val="left"/>
      </w:pPr>
      <w:rPr>
        <w:b/>
        <w:i w:val="0"/>
        <w:color w:val="3B0083" w:themeColor="accent1"/>
        <w:spacing w:val="0"/>
      </w:rPr>
      <w:tblPr/>
      <w:trPr>
        <w:tblHeader/>
      </w:trPr>
      <w:tcPr>
        <w:tcBorders>
          <w:top w:val="nil"/>
          <w:left w:val="nil"/>
          <w:bottom w:val="single" w:sz="4" w:space="0" w:color="3B0083" w:themeColor="accent1"/>
          <w:right w:val="nil"/>
          <w:insideH w:val="nil"/>
          <w:insideV w:val="nil"/>
          <w:tl2br w:val="nil"/>
          <w:tr2bl w:val="nil"/>
        </w:tcBorders>
      </w:tcPr>
    </w:tblStylePr>
    <w:tblStylePr w:type="lastRow">
      <w:rPr>
        <w:b/>
        <w:i w:val="0"/>
        <w:color w:val="0D0D0D" w:themeColor="text1" w:themeTint="F2"/>
      </w:rPr>
      <w:tblPr/>
      <w:tcPr>
        <w:shd w:val="clear" w:color="auto" w:fill="E38698" w:themeFill="accent6"/>
      </w:tcPr>
    </w:tblStylePr>
    <w:tblStylePr w:type="firstCol">
      <w:pPr>
        <w:wordWrap/>
        <w:jc w:val="left"/>
      </w:pPr>
      <w:rPr>
        <w:b/>
        <w:i w:val="0"/>
        <w:color w:val="3B0083" w:themeColor="accent1"/>
      </w:rPr>
    </w:tblStylePr>
    <w:tblStylePr w:type="lastCol">
      <w:tblPr/>
      <w:tcPr>
        <w:shd w:val="clear" w:color="auto" w:fill="E38698" w:themeFill="accent6"/>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wCell">
      <w:pPr>
        <w:wordWrap/>
        <w:jc w:val="left"/>
      </w:pPr>
      <w:tblPr/>
      <w:tcPr>
        <w:vAlign w:val="center"/>
      </w:tcPr>
    </w:tblStylePr>
  </w:style>
  <w:style w:type="character" w:customStyle="1" w:styleId="ListParagraphChar">
    <w:name w:val="List Paragraph Char"/>
    <w:aliases w:val="Lists Char,List 1 Paragraph Char,Bullet List Char,FooterText Char,numbered Char,List Paragraph1 Char,Paragraphe de liste1 Char,Bulletr List Paragraph Char,列出段落 Char,列出段落1 Char,List Paragraph2 Char,List Paragraph21 Char,L Char"/>
    <w:basedOn w:val="DefaultParagraphFont"/>
    <w:link w:val="ListParagraph"/>
    <w:uiPriority w:val="34"/>
    <w:qFormat/>
    <w:rsid w:val="00530A81"/>
  </w:style>
  <w:style w:type="paragraph" w:customStyle="1" w:styleId="06Bulletsseriesofsentences">
    <w:name w:val="06. Bullets – series of sentences"/>
    <w:basedOn w:val="Normal"/>
    <w:link w:val="06BulletsseriesofsentencesChar"/>
    <w:qFormat/>
    <w:rsid w:val="005B14AF"/>
    <w:pPr>
      <w:numPr>
        <w:numId w:val="21"/>
      </w:numPr>
      <w:spacing w:after="0"/>
    </w:pPr>
    <w:rPr>
      <w:rFonts w:ascii="Arial" w:eastAsia="Calibri" w:hAnsi="Arial" w:cs="Times New Roman"/>
      <w:color w:val="7F7F7F" w:themeColor="text1" w:themeTint="80"/>
      <w:sz w:val="22"/>
      <w:szCs w:val="22"/>
    </w:rPr>
  </w:style>
  <w:style w:type="character" w:customStyle="1" w:styleId="06BulletsseriesofsentencesChar">
    <w:name w:val="06. Bullets – series of sentences Char"/>
    <w:basedOn w:val="DefaultParagraphFont"/>
    <w:link w:val="06Bulletsseriesofsentences"/>
    <w:rsid w:val="005B14AF"/>
    <w:rPr>
      <w:rFonts w:ascii="Arial" w:eastAsia="Calibri" w:hAnsi="Arial" w:cs="Times New Roman"/>
      <w:color w:val="7F7F7F" w:themeColor="text1" w:themeTint="80"/>
      <w:sz w:val="22"/>
      <w:szCs w:val="22"/>
    </w:rPr>
  </w:style>
  <w:style w:type="paragraph" w:customStyle="1" w:styleId="AltHeading3">
    <w:name w:val="Alt Heading 3"/>
    <w:basedOn w:val="Heading3"/>
    <w:next w:val="Normal"/>
    <w:link w:val="AltHeading3Char"/>
    <w:uiPriority w:val="5"/>
    <w:qFormat/>
    <w:rsid w:val="0058021A"/>
    <w:pPr>
      <w:numPr>
        <w:ilvl w:val="0"/>
        <w:numId w:val="0"/>
      </w:numPr>
      <w:spacing w:before="300" w:after="200" w:line="240" w:lineRule="atLeast"/>
    </w:pPr>
    <w:rPr>
      <w:b/>
      <w:color w:val="C60C30" w:themeColor="accent2"/>
      <w:spacing w:val="4"/>
      <w:sz w:val="22"/>
      <w:szCs w:val="28"/>
    </w:rPr>
  </w:style>
  <w:style w:type="character" w:customStyle="1" w:styleId="AltHeading3Char">
    <w:name w:val="Alt Heading 3 Char"/>
    <w:basedOn w:val="DefaultParagraphFont"/>
    <w:link w:val="AltHeading3"/>
    <w:uiPriority w:val="5"/>
    <w:rsid w:val="0058021A"/>
    <w:rPr>
      <w:rFonts w:asciiTheme="majorHAnsi" w:eastAsiaTheme="majorEastAsia" w:hAnsiTheme="majorHAnsi" w:cstheme="majorBidi"/>
      <w:b/>
      <w:color w:val="C60C30" w:themeColor="accent2"/>
      <w:spacing w:val="4"/>
      <w:sz w:val="22"/>
      <w:szCs w:val="28"/>
    </w:rPr>
  </w:style>
  <w:style w:type="table" w:styleId="GridTable4-Accent2">
    <w:name w:val="Grid Table 4 Accent 2"/>
    <w:basedOn w:val="TableNormal"/>
    <w:uiPriority w:val="49"/>
    <w:rsid w:val="00EA31B2"/>
    <w:pPr>
      <w:spacing w:line="240" w:lineRule="auto"/>
    </w:pPr>
    <w:rPr>
      <w:color w:val="0D0D0D" w:themeColor="text1" w:themeTint="F2"/>
      <w:sz w:val="21"/>
      <w:szCs w:val="21"/>
    </w:rPr>
    <w:tblPr>
      <w:tblStyleRowBandSize w:val="1"/>
      <w:tblStyleColBandSize w:val="1"/>
      <w:tblBorders>
        <w:top w:val="single" w:sz="4" w:space="0" w:color="F45573" w:themeColor="accent2" w:themeTint="99"/>
        <w:left w:val="single" w:sz="4" w:space="0" w:color="F45573" w:themeColor="accent2" w:themeTint="99"/>
        <w:bottom w:val="single" w:sz="4" w:space="0" w:color="F45573" w:themeColor="accent2" w:themeTint="99"/>
        <w:right w:val="single" w:sz="4" w:space="0" w:color="F45573" w:themeColor="accent2" w:themeTint="99"/>
        <w:insideH w:val="single" w:sz="4" w:space="0" w:color="F45573" w:themeColor="accent2" w:themeTint="99"/>
        <w:insideV w:val="single" w:sz="4" w:space="0" w:color="F45573" w:themeColor="accent2" w:themeTint="99"/>
      </w:tblBorders>
    </w:tblPr>
    <w:tblStylePr w:type="firstRow">
      <w:rPr>
        <w:b/>
        <w:bCs/>
        <w:color w:val="FFFFFF" w:themeColor="background1"/>
      </w:rPr>
      <w:tblPr/>
      <w:tcPr>
        <w:tcBorders>
          <w:top w:val="single" w:sz="4" w:space="0" w:color="C60C30" w:themeColor="accent2"/>
          <w:left w:val="single" w:sz="4" w:space="0" w:color="C60C30" w:themeColor="accent2"/>
          <w:bottom w:val="single" w:sz="4" w:space="0" w:color="C60C30" w:themeColor="accent2"/>
          <w:right w:val="single" w:sz="4" w:space="0" w:color="C60C30" w:themeColor="accent2"/>
          <w:insideH w:val="nil"/>
          <w:insideV w:val="nil"/>
        </w:tcBorders>
        <w:shd w:val="clear" w:color="auto" w:fill="C60C30" w:themeFill="accent2"/>
      </w:tcPr>
    </w:tblStylePr>
    <w:tblStylePr w:type="lastRow">
      <w:rPr>
        <w:b/>
        <w:bCs/>
      </w:rPr>
      <w:tblPr/>
      <w:tcPr>
        <w:tcBorders>
          <w:top w:val="double" w:sz="4" w:space="0" w:color="C60C30" w:themeColor="accent2"/>
        </w:tcBorders>
      </w:tcPr>
    </w:tblStylePr>
    <w:tblStylePr w:type="firstCol">
      <w:rPr>
        <w:b/>
        <w:bCs/>
      </w:rPr>
    </w:tblStylePr>
    <w:tblStylePr w:type="lastCol">
      <w:rPr>
        <w:b/>
        <w:bCs/>
      </w:rPr>
    </w:tblStylePr>
    <w:tblStylePr w:type="band1Vert">
      <w:tblPr/>
      <w:tcPr>
        <w:shd w:val="clear" w:color="auto" w:fill="FBC6D0" w:themeFill="accent2" w:themeFillTint="33"/>
      </w:tcPr>
    </w:tblStylePr>
    <w:tblStylePr w:type="band1Horz">
      <w:tblPr/>
      <w:tcPr>
        <w:shd w:val="clear" w:color="auto" w:fill="FBC6D0" w:themeFill="accent2" w:themeFillTint="33"/>
      </w:tcPr>
    </w:tblStylePr>
  </w:style>
  <w:style w:type="paragraph" w:customStyle="1" w:styleId="AltHeading1">
    <w:name w:val="Alt Heading 1"/>
    <w:basedOn w:val="Heading1"/>
    <w:next w:val="Normal"/>
    <w:link w:val="AltHeading1Char"/>
    <w:uiPriority w:val="5"/>
    <w:qFormat/>
    <w:rsid w:val="00EA31B2"/>
    <w:pPr>
      <w:numPr>
        <w:numId w:val="0"/>
      </w:numPr>
      <w:pBdr>
        <w:bottom w:val="none" w:sz="0" w:space="0" w:color="auto"/>
      </w:pBdr>
      <w:spacing w:before="0" w:after="240" w:line="259" w:lineRule="auto"/>
    </w:pPr>
    <w:rPr>
      <w:b/>
      <w:color w:val="43308F"/>
    </w:rPr>
  </w:style>
  <w:style w:type="paragraph" w:styleId="EndnoteText">
    <w:name w:val="endnote text"/>
    <w:basedOn w:val="Normal"/>
    <w:link w:val="EndnoteTextChar"/>
    <w:uiPriority w:val="99"/>
    <w:semiHidden/>
    <w:unhideWhenUsed/>
    <w:rsid w:val="00EA31B2"/>
    <w:rPr>
      <w:color w:val="0D0D0D" w:themeColor="text1" w:themeTint="F2"/>
    </w:rPr>
  </w:style>
  <w:style w:type="character" w:customStyle="1" w:styleId="EndnoteTextChar">
    <w:name w:val="Endnote Text Char"/>
    <w:basedOn w:val="DefaultParagraphFont"/>
    <w:link w:val="EndnoteText"/>
    <w:uiPriority w:val="99"/>
    <w:semiHidden/>
    <w:rsid w:val="00EA31B2"/>
    <w:rPr>
      <w:color w:val="0D0D0D" w:themeColor="text1" w:themeTint="F2"/>
    </w:rPr>
  </w:style>
  <w:style w:type="character" w:styleId="EndnoteReference">
    <w:name w:val="endnote reference"/>
    <w:basedOn w:val="DefaultParagraphFont"/>
    <w:uiPriority w:val="99"/>
    <w:semiHidden/>
    <w:unhideWhenUsed/>
    <w:rsid w:val="00EA31B2"/>
    <w:rPr>
      <w:vertAlign w:val="superscript"/>
    </w:rPr>
  </w:style>
  <w:style w:type="paragraph" w:styleId="NormalWeb">
    <w:name w:val="Normal (Web)"/>
    <w:basedOn w:val="Normal"/>
    <w:uiPriority w:val="99"/>
    <w:semiHidden/>
    <w:rsid w:val="00EA31B2"/>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EA31B2"/>
    <w:rPr>
      <w:b/>
      <w:bCs/>
    </w:rPr>
  </w:style>
  <w:style w:type="paragraph" w:styleId="Revision">
    <w:name w:val="Revision"/>
    <w:hidden/>
    <w:uiPriority w:val="99"/>
    <w:semiHidden/>
    <w:rsid w:val="00EA31B2"/>
    <w:pPr>
      <w:spacing w:line="240" w:lineRule="auto"/>
    </w:pPr>
    <w:rPr>
      <w:color w:val="0D0D0D" w:themeColor="text1" w:themeTint="F2"/>
      <w:sz w:val="21"/>
      <w:szCs w:val="21"/>
    </w:rPr>
  </w:style>
  <w:style w:type="table" w:styleId="TableGridLight">
    <w:name w:val="Grid Table Light"/>
    <w:basedOn w:val="TableNormal"/>
    <w:uiPriority w:val="40"/>
    <w:rsid w:val="00EA31B2"/>
    <w:pPr>
      <w:spacing w:line="240" w:lineRule="auto"/>
    </w:pPr>
    <w:rPr>
      <w:color w:val="0D0D0D" w:themeColor="text1" w:themeTint="F2"/>
      <w:sz w:val="21"/>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A31B2"/>
    <w:pPr>
      <w:spacing w:line="240" w:lineRule="auto"/>
    </w:pPr>
    <w:rPr>
      <w:color w:val="0D0D0D" w:themeColor="text1" w:themeTint="F2"/>
      <w:sz w:val="21"/>
      <w:szCs w:val="21"/>
    </w:rPr>
    <w:tblPr>
      <w:tblStyleRowBandSize w:val="1"/>
      <w:tblStyleColBandSize w:val="1"/>
      <w:tblBorders>
        <w:top w:val="single" w:sz="4" w:space="0" w:color="811BFF" w:themeColor="accent1" w:themeTint="99"/>
        <w:left w:val="single" w:sz="4" w:space="0" w:color="811BFF" w:themeColor="accent1" w:themeTint="99"/>
        <w:bottom w:val="single" w:sz="4" w:space="0" w:color="811BFF" w:themeColor="accent1" w:themeTint="99"/>
        <w:right w:val="single" w:sz="4" w:space="0" w:color="811BFF" w:themeColor="accent1" w:themeTint="99"/>
        <w:insideH w:val="single" w:sz="4" w:space="0" w:color="811BFF" w:themeColor="accent1" w:themeTint="99"/>
        <w:insideV w:val="single" w:sz="4" w:space="0" w:color="811BFF" w:themeColor="accent1" w:themeTint="99"/>
      </w:tblBorders>
    </w:tblPr>
    <w:tblStylePr w:type="firstRow">
      <w:rPr>
        <w:b/>
        <w:bCs/>
        <w:color w:val="FFFFFF" w:themeColor="background1"/>
      </w:rPr>
      <w:tblPr/>
      <w:tcPr>
        <w:tcBorders>
          <w:top w:val="single" w:sz="4" w:space="0" w:color="3B0083" w:themeColor="accent1"/>
          <w:left w:val="single" w:sz="4" w:space="0" w:color="3B0083" w:themeColor="accent1"/>
          <w:bottom w:val="single" w:sz="4" w:space="0" w:color="3B0083" w:themeColor="accent1"/>
          <w:right w:val="single" w:sz="4" w:space="0" w:color="3B0083" w:themeColor="accent1"/>
          <w:insideH w:val="nil"/>
          <w:insideV w:val="nil"/>
        </w:tcBorders>
        <w:shd w:val="clear" w:color="auto" w:fill="3B0083" w:themeFill="accent1"/>
      </w:tcPr>
    </w:tblStylePr>
    <w:tblStylePr w:type="lastRow">
      <w:rPr>
        <w:b/>
        <w:bCs/>
      </w:rPr>
      <w:tblPr/>
      <w:tcPr>
        <w:tcBorders>
          <w:top w:val="double" w:sz="4" w:space="0" w:color="3B0083" w:themeColor="accent1"/>
        </w:tcBorders>
      </w:tcPr>
    </w:tblStylePr>
    <w:tblStylePr w:type="firstCol">
      <w:rPr>
        <w:b/>
        <w:bCs/>
      </w:rPr>
    </w:tblStylePr>
    <w:tblStylePr w:type="lastCol">
      <w:rPr>
        <w:b/>
        <w:bCs/>
      </w:rPr>
    </w:tblStylePr>
    <w:tblStylePr w:type="band1Vert">
      <w:tblPr/>
      <w:tcPr>
        <w:shd w:val="clear" w:color="auto" w:fill="D4B3FF" w:themeFill="accent1" w:themeFillTint="33"/>
      </w:tcPr>
    </w:tblStylePr>
    <w:tblStylePr w:type="band1Horz">
      <w:tblPr/>
      <w:tcPr>
        <w:shd w:val="clear" w:color="auto" w:fill="D4B3FF" w:themeFill="accent1" w:themeFillTint="33"/>
      </w:tcPr>
    </w:tblStylePr>
  </w:style>
  <w:style w:type="table" w:customStyle="1" w:styleId="TableHealthConsult2">
    <w:name w:val="Table_HealthConsult2"/>
    <w:basedOn w:val="TableNormal"/>
    <w:uiPriority w:val="99"/>
    <w:rsid w:val="00EA31B2"/>
    <w:pPr>
      <w:spacing w:before="60" w:after="60" w:line="259" w:lineRule="auto"/>
    </w:pPr>
    <w:rPr>
      <w:color w:val="0D0D0D" w:themeColor="text1" w:themeTint="F2"/>
      <w:sz w:val="16"/>
      <w:szCs w:val="21"/>
    </w:rPr>
    <w:tblPr>
      <w:tblStyleRowBandSize w:val="1"/>
      <w:tblStyleColBandSize w:val="1"/>
      <w:tblBorders>
        <w:top w:val="single" w:sz="4" w:space="0" w:color="3B0083" w:themeColor="accent1"/>
        <w:bottom w:val="single" w:sz="4" w:space="0" w:color="3B0083" w:themeColor="accent1"/>
        <w:insideH w:val="single" w:sz="4" w:space="0" w:color="F2F2F2" w:themeColor="background1" w:themeShade="F2"/>
        <w:insideV w:val="single" w:sz="4" w:space="0" w:color="F2F2F2" w:themeColor="background1" w:themeShade="F2"/>
      </w:tblBorders>
      <w:tblCellMar>
        <w:top w:w="28" w:type="dxa"/>
        <w:left w:w="85" w:type="dxa"/>
        <w:right w:w="85" w:type="dxa"/>
      </w:tblCellMar>
    </w:tblPr>
    <w:tcPr>
      <w:shd w:val="clear" w:color="auto" w:fill="auto"/>
      <w:tcMar>
        <w:top w:w="57" w:type="dxa"/>
        <w:bottom w:w="57" w:type="dxa"/>
      </w:tcMar>
    </w:tcPr>
    <w:tblStylePr w:type="firstRow">
      <w:pPr>
        <w:keepNext/>
        <w:wordWrap/>
        <w:spacing w:beforeLines="0" w:before="60" w:beforeAutospacing="0" w:afterLines="0" w:after="60" w:afterAutospacing="0" w:line="259" w:lineRule="auto"/>
        <w:jc w:val="left"/>
      </w:pPr>
      <w:rPr>
        <w:b/>
        <w:color w:val="FFFFFF" w:themeColor="background1"/>
      </w:rPr>
      <w:tblPr/>
      <w:trPr>
        <w:cantSplit w:val="0"/>
        <w:tblHeader/>
      </w:trPr>
      <w:tcPr>
        <w:shd w:val="clear" w:color="auto" w:fill="3B0083" w:themeFill="accent1"/>
      </w:tcPr>
    </w:tblStylePr>
    <w:tblStylePr w:type="lastRow">
      <w:rPr>
        <w:b/>
        <w:i w:val="0"/>
        <w:color w:val="0D0D0D" w:themeColor="text1" w:themeTint="F2"/>
      </w:rPr>
      <w:tblPr/>
      <w:tcPr>
        <w:tcBorders>
          <w:top w:val="nil"/>
          <w:left w:val="nil"/>
          <w:bottom w:val="single" w:sz="4" w:space="0" w:color="3B0083" w:themeColor="accent1"/>
          <w:right w:val="nil"/>
          <w:insideH w:val="nil"/>
          <w:insideV w:val="nil"/>
          <w:tl2br w:val="nil"/>
          <w:tr2bl w:val="nil"/>
        </w:tcBorders>
        <w:shd w:val="clear" w:color="auto" w:fill="E38698" w:themeFill="accent6"/>
      </w:tcPr>
    </w:tblStylePr>
    <w:tblStylePr w:type="firstCol">
      <w:pPr>
        <w:wordWrap/>
        <w:jc w:val="left"/>
      </w:pPr>
      <w:rPr>
        <w:b/>
        <w:i w:val="0"/>
        <w:color w:val="FFFFFF" w:themeColor="background1"/>
      </w:rPr>
      <w:tblPr/>
      <w:trPr>
        <w:cantSplit w:val="0"/>
      </w:trPr>
      <w:tcPr>
        <w:shd w:val="clear" w:color="auto" w:fill="3B0083" w:themeFill="accent1"/>
        <w:vAlign w:val="top"/>
      </w:tcPr>
    </w:tblStylePr>
    <w:tblStylePr w:type="lastCol">
      <w:rPr>
        <w:b/>
      </w:rPr>
      <w:tblPr/>
      <w:tcPr>
        <w:shd w:val="clear" w:color="auto" w:fill="E38698" w:themeFill="accent6"/>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wCell">
      <w:pPr>
        <w:wordWrap/>
        <w:jc w:val="left"/>
      </w:pPr>
      <w:tblPr/>
      <w:tcPr>
        <w:vAlign w:val="center"/>
      </w:tcPr>
    </w:tblStylePr>
  </w:style>
  <w:style w:type="table" w:customStyle="1" w:styleId="TableHealthConsult3">
    <w:name w:val="Table_HealthConsult3"/>
    <w:basedOn w:val="TableHealthConsult2"/>
    <w:uiPriority w:val="99"/>
    <w:rsid w:val="00EA31B2"/>
    <w:tblPr/>
    <w:tcPr>
      <w:shd w:val="clear" w:color="auto" w:fill="auto"/>
    </w:tcPr>
    <w:tblStylePr w:type="firstRow">
      <w:pPr>
        <w:keepNext/>
        <w:wordWrap/>
        <w:spacing w:beforeLines="0" w:before="60" w:beforeAutospacing="0" w:afterLines="0" w:after="60" w:afterAutospacing="0" w:line="259" w:lineRule="auto"/>
        <w:jc w:val="left"/>
      </w:pPr>
      <w:rPr>
        <w:b/>
        <w:color w:val="FFFFFF" w:themeColor="background1"/>
      </w:rPr>
      <w:tblPr/>
      <w:trPr>
        <w:cantSplit w:val="0"/>
        <w:tblHeader/>
      </w:trPr>
      <w:tcPr>
        <w:shd w:val="clear" w:color="auto" w:fill="3B0083" w:themeFill="accent1"/>
      </w:tcPr>
    </w:tblStylePr>
    <w:tblStylePr w:type="lastRow">
      <w:rPr>
        <w:b/>
        <w:i w:val="0"/>
        <w:color w:val="0D0D0D" w:themeColor="text1" w:themeTint="F2"/>
      </w:rPr>
      <w:tblPr/>
      <w:tcPr>
        <w:tcBorders>
          <w:top w:val="nil"/>
          <w:left w:val="nil"/>
          <w:bottom w:val="single" w:sz="4" w:space="0" w:color="3B0083" w:themeColor="accent1"/>
          <w:right w:val="nil"/>
          <w:insideH w:val="nil"/>
          <w:insideV w:val="nil"/>
          <w:tl2br w:val="nil"/>
          <w:tr2bl w:val="nil"/>
        </w:tcBorders>
        <w:shd w:val="clear" w:color="auto" w:fill="E38698" w:themeFill="accent6"/>
      </w:tcPr>
    </w:tblStylePr>
    <w:tblStylePr w:type="firstCol">
      <w:pPr>
        <w:wordWrap/>
        <w:jc w:val="left"/>
      </w:pPr>
      <w:rPr>
        <w:b/>
        <w:i w:val="0"/>
        <w:color w:val="FFFFFF" w:themeColor="background1"/>
      </w:rPr>
      <w:tblPr/>
      <w:trPr>
        <w:cantSplit w:val="0"/>
      </w:trPr>
      <w:tcPr>
        <w:shd w:val="clear" w:color="auto" w:fill="3B0083" w:themeFill="accent1"/>
        <w:vAlign w:val="top"/>
      </w:tcPr>
    </w:tblStylePr>
    <w:tblStylePr w:type="lastCol">
      <w:rPr>
        <w:b/>
      </w:rPr>
      <w:tblPr/>
      <w:tcPr>
        <w:shd w:val="clear" w:color="auto" w:fill="E38698" w:themeFill="accent6"/>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wCell">
      <w:pPr>
        <w:wordWrap/>
        <w:jc w:val="left"/>
      </w:pPr>
      <w:tblPr/>
      <w:tcPr>
        <w:vAlign w:val="center"/>
      </w:tcPr>
    </w:tblStylePr>
  </w:style>
  <w:style w:type="table" w:styleId="GridTable2-Accent4">
    <w:name w:val="Grid Table 2 Accent 4"/>
    <w:basedOn w:val="TableNormal"/>
    <w:uiPriority w:val="47"/>
    <w:rsid w:val="00EA31B2"/>
    <w:pPr>
      <w:spacing w:line="240" w:lineRule="auto"/>
    </w:pPr>
    <w:rPr>
      <w:color w:val="0D0D0D" w:themeColor="text1" w:themeTint="F2"/>
      <w:sz w:val="21"/>
      <w:szCs w:val="21"/>
    </w:rPr>
    <w:tblPr>
      <w:tblStyleRowBandSize w:val="1"/>
      <w:tblStyleColBandSize w:val="1"/>
      <w:tblBorders>
        <w:top w:val="single" w:sz="2" w:space="0" w:color="0BFFE0" w:themeColor="accent4" w:themeTint="99"/>
        <w:bottom w:val="single" w:sz="2" w:space="0" w:color="0BFFE0" w:themeColor="accent4" w:themeTint="99"/>
        <w:insideH w:val="single" w:sz="2" w:space="0" w:color="0BFFE0" w:themeColor="accent4" w:themeTint="99"/>
        <w:insideV w:val="single" w:sz="2" w:space="0" w:color="0BFFE0" w:themeColor="accent4" w:themeTint="99"/>
      </w:tblBorders>
    </w:tblPr>
    <w:tblStylePr w:type="firstRow">
      <w:rPr>
        <w:b/>
        <w:bCs/>
      </w:rPr>
      <w:tblPr/>
      <w:tcPr>
        <w:tcBorders>
          <w:top w:val="nil"/>
          <w:bottom w:val="single" w:sz="12" w:space="0" w:color="0BFFE0" w:themeColor="accent4" w:themeTint="99"/>
          <w:insideH w:val="nil"/>
          <w:insideV w:val="nil"/>
        </w:tcBorders>
        <w:shd w:val="clear" w:color="auto" w:fill="FFFFFF" w:themeFill="background1"/>
      </w:tcPr>
    </w:tblStylePr>
    <w:tblStylePr w:type="lastRow">
      <w:rPr>
        <w:b/>
        <w:bCs/>
      </w:rPr>
      <w:tblPr/>
      <w:tcPr>
        <w:tcBorders>
          <w:top w:val="double" w:sz="2" w:space="0" w:color="0BFFE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DFFF4" w:themeFill="accent4" w:themeFillTint="33"/>
      </w:tcPr>
    </w:tblStylePr>
    <w:tblStylePr w:type="band1Horz">
      <w:tblPr/>
      <w:tcPr>
        <w:shd w:val="clear" w:color="auto" w:fill="ADFFF4" w:themeFill="accent4" w:themeFillTint="33"/>
      </w:tcPr>
    </w:tblStylePr>
  </w:style>
  <w:style w:type="paragraph" w:customStyle="1" w:styleId="AltHeading4">
    <w:name w:val="Alt Heading 4"/>
    <w:basedOn w:val="Heading4"/>
    <w:next w:val="Normal"/>
    <w:link w:val="AltHeading4Char"/>
    <w:uiPriority w:val="5"/>
    <w:qFormat/>
    <w:rsid w:val="00EA31B2"/>
    <w:pPr>
      <w:spacing w:before="80" w:after="80" w:line="259" w:lineRule="auto"/>
    </w:pPr>
    <w:rPr>
      <w:sz w:val="22"/>
    </w:rPr>
  </w:style>
  <w:style w:type="character" w:styleId="PageNumber">
    <w:name w:val="page number"/>
    <w:basedOn w:val="DefaultParagraphFont"/>
    <w:uiPriority w:val="99"/>
    <w:rsid w:val="00EA31B2"/>
    <w:rPr>
      <w:color w:val="00338D" w:themeColor="accent3"/>
      <w:sz w:val="16"/>
    </w:rPr>
  </w:style>
  <w:style w:type="character" w:customStyle="1" w:styleId="AltHeading1Char">
    <w:name w:val="Alt Heading 1 Char"/>
    <w:basedOn w:val="Heading1Char"/>
    <w:link w:val="AltHeading1"/>
    <w:uiPriority w:val="5"/>
    <w:rsid w:val="00EA31B2"/>
    <w:rPr>
      <w:rFonts w:asciiTheme="majorHAnsi" w:eastAsiaTheme="majorEastAsia" w:hAnsiTheme="majorHAnsi" w:cstheme="majorBidi"/>
      <w:b/>
      <w:color w:val="43308F"/>
      <w:sz w:val="48"/>
      <w:szCs w:val="32"/>
    </w:rPr>
  </w:style>
  <w:style w:type="paragraph" w:customStyle="1" w:styleId="AltHeading2">
    <w:name w:val="Alt Heading 2"/>
    <w:basedOn w:val="Heading2"/>
    <w:next w:val="Normal"/>
    <w:link w:val="AltHeading2Char"/>
    <w:uiPriority w:val="5"/>
    <w:qFormat/>
    <w:rsid w:val="00EA31B2"/>
    <w:pPr>
      <w:numPr>
        <w:ilvl w:val="0"/>
        <w:numId w:val="0"/>
      </w:numPr>
      <w:spacing w:before="300" w:after="200" w:line="240" w:lineRule="atLeast"/>
    </w:pPr>
    <w:rPr>
      <w:b/>
      <w:color w:val="43308F"/>
      <w:spacing w:val="4"/>
      <w:sz w:val="24"/>
      <w:szCs w:val="32"/>
    </w:rPr>
  </w:style>
  <w:style w:type="character" w:customStyle="1" w:styleId="AltHeading2Char">
    <w:name w:val="Alt Heading 2 Char"/>
    <w:basedOn w:val="Heading2Char"/>
    <w:link w:val="AltHeading2"/>
    <w:uiPriority w:val="5"/>
    <w:rsid w:val="00EA31B2"/>
    <w:rPr>
      <w:rFonts w:asciiTheme="majorHAnsi" w:eastAsiaTheme="majorEastAsia" w:hAnsiTheme="majorHAnsi" w:cstheme="majorBidi"/>
      <w:b/>
      <w:color w:val="43308F"/>
      <w:spacing w:val="4"/>
      <w:sz w:val="24"/>
      <w:szCs w:val="32"/>
    </w:rPr>
  </w:style>
  <w:style w:type="paragraph" w:customStyle="1" w:styleId="Deliverable1">
    <w:name w:val="Deliverable 1"/>
    <w:basedOn w:val="Normal"/>
    <w:next w:val="Normal"/>
    <w:link w:val="Deliverable1Char"/>
    <w:uiPriority w:val="19"/>
    <w:qFormat/>
    <w:rsid w:val="00EA31B2"/>
    <w:pPr>
      <w:keepNext/>
      <w:spacing w:before="60" w:after="60" w:line="259" w:lineRule="auto"/>
      <w:ind w:left="785" w:hanging="360"/>
    </w:pPr>
    <w:rPr>
      <w:color w:val="3B0083" w:themeColor="accent1"/>
      <w:sz w:val="21"/>
      <w:szCs w:val="21"/>
    </w:rPr>
  </w:style>
  <w:style w:type="character" w:customStyle="1" w:styleId="Deliverable1Char">
    <w:name w:val="Deliverable 1 Char"/>
    <w:basedOn w:val="DefaultParagraphFont"/>
    <w:link w:val="Deliverable1"/>
    <w:uiPriority w:val="19"/>
    <w:rsid w:val="00EA31B2"/>
    <w:rPr>
      <w:color w:val="3B0083" w:themeColor="accent1"/>
      <w:sz w:val="21"/>
      <w:szCs w:val="21"/>
    </w:rPr>
  </w:style>
  <w:style w:type="paragraph" w:customStyle="1" w:styleId="Deliverable2">
    <w:name w:val="Deliverable 2"/>
    <w:basedOn w:val="Normal"/>
    <w:next w:val="Normal"/>
    <w:link w:val="Deliverable2Char"/>
    <w:uiPriority w:val="19"/>
    <w:qFormat/>
    <w:rsid w:val="00EA31B2"/>
    <w:pPr>
      <w:spacing w:before="60" w:after="60" w:line="259" w:lineRule="auto"/>
      <w:ind w:left="1505" w:hanging="360"/>
    </w:pPr>
    <w:rPr>
      <w:color w:val="0D0D0D" w:themeColor="text1" w:themeTint="F2"/>
      <w:szCs w:val="21"/>
    </w:rPr>
  </w:style>
  <w:style w:type="character" w:customStyle="1" w:styleId="Deliverable2Char">
    <w:name w:val="Deliverable 2 Char"/>
    <w:basedOn w:val="DefaultParagraphFont"/>
    <w:link w:val="Deliverable2"/>
    <w:uiPriority w:val="19"/>
    <w:rsid w:val="00EA31B2"/>
    <w:rPr>
      <w:color w:val="0D0D0D" w:themeColor="text1" w:themeTint="F2"/>
      <w:szCs w:val="21"/>
    </w:rPr>
  </w:style>
  <w:style w:type="character" w:customStyle="1" w:styleId="AltHeading4Char">
    <w:name w:val="Alt Heading 4 Char"/>
    <w:basedOn w:val="Heading4Char"/>
    <w:link w:val="AltHeading4"/>
    <w:uiPriority w:val="5"/>
    <w:rsid w:val="00EA31B2"/>
    <w:rPr>
      <w:rFonts w:asciiTheme="majorHAnsi" w:eastAsiaTheme="majorEastAsia" w:hAnsiTheme="majorHAnsi" w:cstheme="majorBidi"/>
      <w:b/>
      <w:iCs/>
      <w:color w:val="3B0083" w:themeColor="accent1"/>
      <w:spacing w:val="10"/>
      <w:sz w:val="22"/>
      <w:szCs w:val="24"/>
    </w:rPr>
  </w:style>
  <w:style w:type="paragraph" w:customStyle="1" w:styleId="ListBulletSmall">
    <w:name w:val="List Bullet Small"/>
    <w:basedOn w:val="Normal"/>
    <w:link w:val="ListBulletSmallChar"/>
    <w:uiPriority w:val="11"/>
    <w:qFormat/>
    <w:rsid w:val="00EA31B2"/>
    <w:pPr>
      <w:spacing w:before="20" w:after="20" w:line="259" w:lineRule="auto"/>
      <w:ind w:left="360" w:hanging="360"/>
    </w:pPr>
    <w:rPr>
      <w:color w:val="0D0D0D" w:themeColor="text1" w:themeTint="F2"/>
      <w:sz w:val="18"/>
      <w:szCs w:val="21"/>
    </w:rPr>
  </w:style>
  <w:style w:type="character" w:customStyle="1" w:styleId="ListBulletSmallChar">
    <w:name w:val="List Bullet Small Char"/>
    <w:basedOn w:val="DefaultParagraphFont"/>
    <w:link w:val="ListBulletSmall"/>
    <w:uiPriority w:val="11"/>
    <w:rsid w:val="00EA31B2"/>
    <w:rPr>
      <w:color w:val="0D0D0D" w:themeColor="text1" w:themeTint="F2"/>
      <w:sz w:val="18"/>
      <w:szCs w:val="21"/>
    </w:rPr>
  </w:style>
  <w:style w:type="paragraph" w:customStyle="1" w:styleId="CoverDetails">
    <w:name w:val="Cover Details"/>
    <w:basedOn w:val="Normal"/>
    <w:next w:val="Normal"/>
    <w:link w:val="CoverDetailsChar"/>
    <w:uiPriority w:val="36"/>
    <w:rsid w:val="00EA31B2"/>
    <w:pPr>
      <w:spacing w:before="0" w:after="600" w:line="259" w:lineRule="auto"/>
      <w:ind w:right="3402"/>
    </w:pPr>
    <w:rPr>
      <w:color w:val="FFFFFF" w:themeColor="background1"/>
      <w:spacing w:val="10"/>
      <w:sz w:val="22"/>
      <w:szCs w:val="21"/>
    </w:rPr>
  </w:style>
  <w:style w:type="character" w:customStyle="1" w:styleId="CoverDetailsChar">
    <w:name w:val="Cover Details Char"/>
    <w:basedOn w:val="DefaultParagraphFont"/>
    <w:link w:val="CoverDetails"/>
    <w:uiPriority w:val="36"/>
    <w:rsid w:val="00EA31B2"/>
    <w:rPr>
      <w:color w:val="FFFFFF" w:themeColor="background1"/>
      <w:spacing w:val="10"/>
      <w:sz w:val="22"/>
      <w:szCs w:val="21"/>
    </w:rPr>
  </w:style>
  <w:style w:type="table" w:styleId="GridTable3-Accent2">
    <w:name w:val="Grid Table 3 Accent 2"/>
    <w:basedOn w:val="TableNormal"/>
    <w:uiPriority w:val="48"/>
    <w:rsid w:val="00EA31B2"/>
    <w:pPr>
      <w:spacing w:after="0" w:line="240" w:lineRule="auto"/>
    </w:pPr>
    <w:rPr>
      <w:color w:val="0D0D0D" w:themeColor="text1" w:themeTint="F2"/>
      <w:sz w:val="21"/>
      <w:szCs w:val="21"/>
    </w:rPr>
    <w:tblPr>
      <w:tblStyleRowBandSize w:val="1"/>
      <w:tblStyleColBandSize w:val="1"/>
      <w:tblBorders>
        <w:top w:val="single" w:sz="4" w:space="0" w:color="F45573" w:themeColor="accent2" w:themeTint="99"/>
        <w:left w:val="single" w:sz="4" w:space="0" w:color="F45573" w:themeColor="accent2" w:themeTint="99"/>
        <w:bottom w:val="single" w:sz="4" w:space="0" w:color="F45573" w:themeColor="accent2" w:themeTint="99"/>
        <w:right w:val="single" w:sz="4" w:space="0" w:color="F45573" w:themeColor="accent2" w:themeTint="99"/>
        <w:insideH w:val="single" w:sz="4" w:space="0" w:color="F45573" w:themeColor="accent2" w:themeTint="99"/>
        <w:insideV w:val="single" w:sz="4" w:space="0" w:color="F4557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C6D0" w:themeFill="accent2" w:themeFillTint="33"/>
      </w:tcPr>
    </w:tblStylePr>
    <w:tblStylePr w:type="band1Horz">
      <w:tblPr/>
      <w:tcPr>
        <w:shd w:val="clear" w:color="auto" w:fill="FBC6D0" w:themeFill="accent2" w:themeFillTint="33"/>
      </w:tcPr>
    </w:tblStylePr>
    <w:tblStylePr w:type="neCell">
      <w:tblPr/>
      <w:tcPr>
        <w:tcBorders>
          <w:bottom w:val="single" w:sz="4" w:space="0" w:color="F45573" w:themeColor="accent2" w:themeTint="99"/>
        </w:tcBorders>
      </w:tcPr>
    </w:tblStylePr>
    <w:tblStylePr w:type="nwCell">
      <w:tblPr/>
      <w:tcPr>
        <w:tcBorders>
          <w:bottom w:val="single" w:sz="4" w:space="0" w:color="F45573" w:themeColor="accent2" w:themeTint="99"/>
        </w:tcBorders>
      </w:tcPr>
    </w:tblStylePr>
    <w:tblStylePr w:type="seCell">
      <w:tblPr/>
      <w:tcPr>
        <w:tcBorders>
          <w:top w:val="single" w:sz="4" w:space="0" w:color="F45573" w:themeColor="accent2" w:themeTint="99"/>
        </w:tcBorders>
      </w:tcPr>
    </w:tblStylePr>
    <w:tblStylePr w:type="swCell">
      <w:tblPr/>
      <w:tcPr>
        <w:tcBorders>
          <w:top w:val="single" w:sz="4" w:space="0" w:color="F45573" w:themeColor="accent2" w:themeTint="99"/>
        </w:tcBorders>
      </w:tcPr>
    </w:tblStylePr>
  </w:style>
  <w:style w:type="table" w:styleId="GridTable3-Accent1">
    <w:name w:val="Grid Table 3 Accent 1"/>
    <w:basedOn w:val="TableNormal"/>
    <w:uiPriority w:val="48"/>
    <w:rsid w:val="00EA31B2"/>
    <w:pPr>
      <w:spacing w:after="0" w:line="240" w:lineRule="auto"/>
    </w:pPr>
    <w:rPr>
      <w:color w:val="0D0D0D" w:themeColor="text1" w:themeTint="F2"/>
      <w:sz w:val="21"/>
      <w:szCs w:val="21"/>
    </w:rPr>
    <w:tblPr>
      <w:tblStyleRowBandSize w:val="1"/>
      <w:tblStyleColBandSize w:val="1"/>
      <w:tblBorders>
        <w:top w:val="single" w:sz="4" w:space="0" w:color="811BFF" w:themeColor="accent1" w:themeTint="99"/>
        <w:left w:val="single" w:sz="4" w:space="0" w:color="811BFF" w:themeColor="accent1" w:themeTint="99"/>
        <w:bottom w:val="single" w:sz="4" w:space="0" w:color="811BFF" w:themeColor="accent1" w:themeTint="99"/>
        <w:right w:val="single" w:sz="4" w:space="0" w:color="811BFF" w:themeColor="accent1" w:themeTint="99"/>
        <w:insideH w:val="single" w:sz="4" w:space="0" w:color="811BFF" w:themeColor="accent1" w:themeTint="99"/>
        <w:insideV w:val="single" w:sz="4" w:space="0" w:color="811B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B3FF" w:themeFill="accent1" w:themeFillTint="33"/>
      </w:tcPr>
    </w:tblStylePr>
    <w:tblStylePr w:type="band1Horz">
      <w:tblPr/>
      <w:tcPr>
        <w:shd w:val="clear" w:color="auto" w:fill="D4B3FF" w:themeFill="accent1" w:themeFillTint="33"/>
      </w:tcPr>
    </w:tblStylePr>
    <w:tblStylePr w:type="neCell">
      <w:tblPr/>
      <w:tcPr>
        <w:tcBorders>
          <w:bottom w:val="single" w:sz="4" w:space="0" w:color="811BFF" w:themeColor="accent1" w:themeTint="99"/>
        </w:tcBorders>
      </w:tcPr>
    </w:tblStylePr>
    <w:tblStylePr w:type="nwCell">
      <w:tblPr/>
      <w:tcPr>
        <w:tcBorders>
          <w:bottom w:val="single" w:sz="4" w:space="0" w:color="811BFF" w:themeColor="accent1" w:themeTint="99"/>
        </w:tcBorders>
      </w:tcPr>
    </w:tblStylePr>
    <w:tblStylePr w:type="seCell">
      <w:tblPr/>
      <w:tcPr>
        <w:tcBorders>
          <w:top w:val="single" w:sz="4" w:space="0" w:color="811BFF" w:themeColor="accent1" w:themeTint="99"/>
        </w:tcBorders>
      </w:tcPr>
    </w:tblStylePr>
    <w:tblStylePr w:type="swCell">
      <w:tblPr/>
      <w:tcPr>
        <w:tcBorders>
          <w:top w:val="single" w:sz="4" w:space="0" w:color="811BFF" w:themeColor="accent1" w:themeTint="99"/>
        </w:tcBorders>
      </w:tcPr>
    </w:tblStylePr>
  </w:style>
  <w:style w:type="character" w:customStyle="1" w:styleId="normaltextrun">
    <w:name w:val="normaltextrun"/>
    <w:basedOn w:val="DefaultParagraphFont"/>
    <w:rsid w:val="00EA31B2"/>
  </w:style>
  <w:style w:type="table" w:styleId="GridTable5Dark-Accent2">
    <w:name w:val="Grid Table 5 Dark Accent 2"/>
    <w:basedOn w:val="TableNormal"/>
    <w:uiPriority w:val="50"/>
    <w:rsid w:val="00EA31B2"/>
    <w:pPr>
      <w:spacing w:after="0" w:line="240" w:lineRule="auto"/>
    </w:pPr>
    <w:rPr>
      <w:color w:val="0D0D0D" w:themeColor="text1" w:themeTint="F2"/>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C6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0C3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0C3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0C3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0C30" w:themeFill="accent2"/>
      </w:tcPr>
    </w:tblStylePr>
    <w:tblStylePr w:type="band1Vert">
      <w:tblPr/>
      <w:tcPr>
        <w:shd w:val="clear" w:color="auto" w:fill="F88DA2" w:themeFill="accent2" w:themeFillTint="66"/>
      </w:tcPr>
    </w:tblStylePr>
    <w:tblStylePr w:type="band1Horz">
      <w:tblPr/>
      <w:tcPr>
        <w:shd w:val="clear" w:color="auto" w:fill="F88DA2" w:themeFill="accent2" w:themeFillTint="66"/>
      </w:tcPr>
    </w:tblStylePr>
  </w:style>
  <w:style w:type="character" w:customStyle="1" w:styleId="wixui-rich-texttext">
    <w:name w:val="wixui-rich-text__text"/>
    <w:basedOn w:val="DefaultParagraphFont"/>
    <w:rsid w:val="00EA31B2"/>
  </w:style>
  <w:style w:type="paragraph" w:customStyle="1" w:styleId="08Bulletsseriesofsentences">
    <w:name w:val="08. Bullets – series of sentences"/>
    <w:qFormat/>
    <w:rsid w:val="00EA31B2"/>
    <w:pPr>
      <w:spacing w:after="0" w:line="240" w:lineRule="auto"/>
      <w:ind w:left="720" w:hanging="360"/>
    </w:pPr>
    <w:rPr>
      <w:rFonts w:ascii="Arial Narrow" w:eastAsia="Calibri" w:hAnsi="Arial Narrow" w:cs="Times New Roman"/>
      <w:sz w:val="22"/>
      <w:szCs w:val="22"/>
    </w:rPr>
  </w:style>
  <w:style w:type="table" w:customStyle="1" w:styleId="TableHealthConsult6">
    <w:name w:val="Table_HealthConsult6"/>
    <w:basedOn w:val="TableNormal"/>
    <w:uiPriority w:val="99"/>
    <w:rsid w:val="00EA31B2"/>
    <w:pPr>
      <w:spacing w:before="0" w:line="259" w:lineRule="auto"/>
    </w:pPr>
    <w:rPr>
      <w:color w:val="0D0D0D" w:themeColor="text1" w:themeTint="F2"/>
      <w:sz w:val="18"/>
      <w:szCs w:val="22"/>
    </w:rPr>
    <w:tblPr>
      <w:tblStyleRowBandSize w:val="1"/>
      <w:tblBorders>
        <w:bottom w:val="single" w:sz="4" w:space="0" w:color="F2F2F2" w:themeColor="background1" w:themeShade="F2"/>
        <w:insideV w:val="single" w:sz="4" w:space="0" w:color="F2F2F2" w:themeColor="background1" w:themeShade="F2"/>
      </w:tblBorders>
      <w:tblCellMar>
        <w:top w:w="28" w:type="dxa"/>
        <w:left w:w="85" w:type="dxa"/>
        <w:right w:w="85" w:type="dxa"/>
      </w:tblCellMar>
    </w:tblPr>
    <w:trPr>
      <w:cantSplit/>
    </w:trPr>
    <w:tcPr>
      <w:shd w:val="clear" w:color="auto" w:fill="FFFFFF" w:themeFill="background1"/>
      <w:tcMar>
        <w:top w:w="57" w:type="dxa"/>
        <w:bottom w:w="57" w:type="dxa"/>
      </w:tcMar>
      <w:vAlign w:val="center"/>
    </w:tcPr>
    <w:tblStylePr w:type="firstRow">
      <w:pPr>
        <w:keepNext/>
        <w:wordWrap/>
        <w:spacing w:afterLines="0" w:after="0" w:afterAutospacing="0"/>
        <w:jc w:val="center"/>
      </w:pPr>
      <w:rPr>
        <w:rFonts w:asciiTheme="minorHAnsi" w:hAnsiTheme="minorHAnsi"/>
        <w:b/>
        <w:color w:val="auto"/>
        <w:sz w:val="20"/>
      </w:rPr>
      <w:tblPr/>
      <w:tcPr>
        <w:tcBorders>
          <w:bottom w:val="single" w:sz="4" w:space="0" w:color="C60C30" w:themeColor="accent2"/>
        </w:tcBorders>
        <w:shd w:val="clear" w:color="auto" w:fill="F2F2F2" w:themeFill="background1" w:themeFillShade="F2"/>
      </w:tcPr>
    </w:tblStylePr>
    <w:tblStylePr w:type="lastRow">
      <w:rPr>
        <w:b/>
        <w:i w:val="0"/>
        <w:color w:val="001946" w:themeColor="accent3" w:themeShade="80"/>
      </w:rPr>
      <w:tblPr/>
      <w:tcPr>
        <w:tcBorders>
          <w:top w:val="single" w:sz="8" w:space="0" w:color="C60C30" w:themeColor="accent2"/>
          <w:left w:val="single" w:sz="4" w:space="0" w:color="2171FF" w:themeColor="accent3" w:themeTint="99"/>
          <w:bottom w:val="single" w:sz="18" w:space="0" w:color="C60C30" w:themeColor="accent2"/>
          <w:right w:val="single" w:sz="4" w:space="0" w:color="2171FF" w:themeColor="accent3" w:themeTint="99"/>
          <w:insideH w:val="nil"/>
          <w:insideV w:val="single" w:sz="4" w:space="0" w:color="2171FF" w:themeColor="accent3" w:themeTint="99"/>
          <w:tl2br w:val="nil"/>
          <w:tr2bl w:val="nil"/>
        </w:tcBorders>
      </w:tcPr>
    </w:tblStylePr>
    <w:tblStylePr w:type="firstCol">
      <w:pPr>
        <w:wordWrap/>
        <w:jc w:val="left"/>
      </w:pPr>
      <w:rPr>
        <w:b w:val="0"/>
        <w:i w:val="0"/>
        <w:color w:val="001946" w:themeColor="accent3" w:themeShade="80"/>
      </w:rPr>
    </w:tblStylePr>
    <w:tblStylePr w:type="band2Horz">
      <w:tblPr/>
      <w:tcPr>
        <w:shd w:val="clear" w:color="auto" w:fill="F2F2F2" w:themeFill="background1" w:themeFillShade="F2"/>
      </w:tcPr>
    </w:tblStylePr>
    <w:tblStylePr w:type="nwCell">
      <w:pPr>
        <w:wordWrap/>
        <w:jc w:val="left"/>
      </w:pPr>
      <w:tblPr/>
      <w:tcPr>
        <w:vAlign w:val="center"/>
      </w:tcPr>
    </w:tblStylePr>
  </w:style>
  <w:style w:type="table" w:customStyle="1" w:styleId="TableHealthConsult4">
    <w:name w:val="Table_HealthConsult4"/>
    <w:basedOn w:val="TableNormal"/>
    <w:uiPriority w:val="99"/>
    <w:rsid w:val="00EA31B2"/>
    <w:pPr>
      <w:spacing w:before="0" w:line="259" w:lineRule="auto"/>
    </w:pPr>
    <w:rPr>
      <w:color w:val="0D0D0D" w:themeColor="text1" w:themeTint="F2"/>
      <w:sz w:val="18"/>
      <w:szCs w:val="22"/>
    </w:rPr>
    <w:tblPr>
      <w:tblStyleRowBandSize w:val="1"/>
      <w:tblBorders>
        <w:bottom w:val="single" w:sz="4" w:space="0" w:color="F2F2F2" w:themeColor="background1" w:themeShade="F2"/>
        <w:insideV w:val="single" w:sz="4" w:space="0" w:color="F2F2F2" w:themeColor="background1" w:themeShade="F2"/>
      </w:tblBorders>
      <w:tblCellMar>
        <w:top w:w="28" w:type="dxa"/>
        <w:left w:w="85" w:type="dxa"/>
        <w:right w:w="85" w:type="dxa"/>
      </w:tblCellMar>
    </w:tblPr>
    <w:trPr>
      <w:cantSplit/>
    </w:trPr>
    <w:tcPr>
      <w:shd w:val="clear" w:color="auto" w:fill="FFFFFF" w:themeFill="background1"/>
      <w:tcMar>
        <w:top w:w="57" w:type="dxa"/>
        <w:bottom w:w="57" w:type="dxa"/>
      </w:tcMar>
      <w:vAlign w:val="center"/>
    </w:tcPr>
    <w:tblStylePr w:type="firstRow">
      <w:pPr>
        <w:keepNext/>
        <w:wordWrap/>
        <w:spacing w:afterLines="0" w:after="0" w:afterAutospacing="0"/>
        <w:jc w:val="center"/>
      </w:pPr>
      <w:rPr>
        <w:rFonts w:asciiTheme="minorHAnsi" w:hAnsiTheme="minorHAnsi"/>
        <w:b/>
        <w:color w:val="auto"/>
        <w:sz w:val="20"/>
      </w:rPr>
      <w:tblPr/>
      <w:tcPr>
        <w:tcBorders>
          <w:bottom w:val="single" w:sz="4" w:space="0" w:color="C60C30" w:themeColor="accent2"/>
        </w:tcBorders>
        <w:shd w:val="clear" w:color="auto" w:fill="F2F2F2" w:themeFill="background1" w:themeFillShade="F2"/>
      </w:tcPr>
    </w:tblStylePr>
    <w:tblStylePr w:type="lastRow">
      <w:rPr>
        <w:b/>
        <w:i w:val="0"/>
        <w:color w:val="001946" w:themeColor="accent3" w:themeShade="80"/>
      </w:rPr>
      <w:tblPr/>
      <w:tcPr>
        <w:tcBorders>
          <w:top w:val="single" w:sz="8" w:space="0" w:color="C60C30" w:themeColor="accent2"/>
          <w:left w:val="single" w:sz="4" w:space="0" w:color="2171FF" w:themeColor="accent3" w:themeTint="99"/>
          <w:bottom w:val="single" w:sz="18" w:space="0" w:color="C60C30" w:themeColor="accent2"/>
          <w:right w:val="single" w:sz="4" w:space="0" w:color="2171FF" w:themeColor="accent3" w:themeTint="99"/>
          <w:insideH w:val="nil"/>
          <w:insideV w:val="single" w:sz="4" w:space="0" w:color="2171FF" w:themeColor="accent3" w:themeTint="99"/>
          <w:tl2br w:val="nil"/>
          <w:tr2bl w:val="nil"/>
        </w:tcBorders>
      </w:tcPr>
    </w:tblStylePr>
    <w:tblStylePr w:type="firstCol">
      <w:pPr>
        <w:wordWrap/>
        <w:jc w:val="left"/>
      </w:pPr>
      <w:rPr>
        <w:b w:val="0"/>
        <w:i w:val="0"/>
        <w:color w:val="001946" w:themeColor="accent3" w:themeShade="80"/>
      </w:rPr>
    </w:tblStylePr>
    <w:tblStylePr w:type="band2Horz">
      <w:tblPr/>
      <w:tcPr>
        <w:shd w:val="clear" w:color="auto" w:fill="F2F2F2" w:themeFill="background1" w:themeFillShade="F2"/>
      </w:tcPr>
    </w:tblStylePr>
    <w:tblStylePr w:type="nwCell">
      <w:pPr>
        <w:wordWrap/>
        <w:jc w:val="left"/>
      </w:pPr>
      <w:tblPr/>
      <w:tcPr>
        <w:vAlign w:val="center"/>
      </w:tcPr>
    </w:tblStylePr>
  </w:style>
  <w:style w:type="paragraph" w:customStyle="1" w:styleId="Default">
    <w:name w:val="Default"/>
    <w:rsid w:val="00EA31B2"/>
    <w:pPr>
      <w:autoSpaceDE w:val="0"/>
      <w:autoSpaceDN w:val="0"/>
      <w:adjustRightInd w:val="0"/>
      <w:spacing w:before="0" w:after="0" w:line="240" w:lineRule="auto"/>
    </w:pPr>
    <w:rPr>
      <w:rFonts w:ascii="Arial" w:hAnsi="Arial" w:cs="Arial"/>
      <w:color w:val="000000"/>
      <w:sz w:val="24"/>
      <w:szCs w:val="24"/>
    </w:rPr>
  </w:style>
  <w:style w:type="character" w:customStyle="1" w:styleId="cf01">
    <w:name w:val="cf01"/>
    <w:basedOn w:val="DefaultParagraphFont"/>
    <w:rsid w:val="00EA31B2"/>
    <w:rPr>
      <w:rFonts w:ascii="Segoe UI" w:hAnsi="Segoe UI" w:cs="Segoe UI" w:hint="default"/>
      <w:color w:val="0D0D0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28689">
      <w:bodyDiv w:val="1"/>
      <w:marLeft w:val="0"/>
      <w:marRight w:val="0"/>
      <w:marTop w:val="0"/>
      <w:marBottom w:val="0"/>
      <w:divBdr>
        <w:top w:val="none" w:sz="0" w:space="0" w:color="auto"/>
        <w:left w:val="none" w:sz="0" w:space="0" w:color="auto"/>
        <w:bottom w:val="none" w:sz="0" w:space="0" w:color="auto"/>
        <w:right w:val="none" w:sz="0" w:space="0" w:color="auto"/>
      </w:divBdr>
    </w:div>
    <w:div w:id="143477331">
      <w:bodyDiv w:val="1"/>
      <w:marLeft w:val="0"/>
      <w:marRight w:val="0"/>
      <w:marTop w:val="0"/>
      <w:marBottom w:val="0"/>
      <w:divBdr>
        <w:top w:val="none" w:sz="0" w:space="0" w:color="auto"/>
        <w:left w:val="none" w:sz="0" w:space="0" w:color="auto"/>
        <w:bottom w:val="none" w:sz="0" w:space="0" w:color="auto"/>
        <w:right w:val="none" w:sz="0" w:space="0" w:color="auto"/>
      </w:divBdr>
      <w:divsChild>
        <w:div w:id="266350461">
          <w:marLeft w:val="0"/>
          <w:marRight w:val="0"/>
          <w:marTop w:val="0"/>
          <w:marBottom w:val="0"/>
          <w:divBdr>
            <w:top w:val="single" w:sz="2" w:space="0" w:color="E3E3E3"/>
            <w:left w:val="single" w:sz="2" w:space="0" w:color="E3E3E3"/>
            <w:bottom w:val="single" w:sz="2" w:space="0" w:color="E3E3E3"/>
            <w:right w:val="single" w:sz="2" w:space="0" w:color="E3E3E3"/>
          </w:divBdr>
          <w:divsChild>
            <w:div w:id="1482847634">
              <w:marLeft w:val="0"/>
              <w:marRight w:val="0"/>
              <w:marTop w:val="0"/>
              <w:marBottom w:val="0"/>
              <w:divBdr>
                <w:top w:val="single" w:sz="2" w:space="0" w:color="E3E3E3"/>
                <w:left w:val="single" w:sz="2" w:space="0" w:color="E3E3E3"/>
                <w:bottom w:val="single" w:sz="2" w:space="0" w:color="E3E3E3"/>
                <w:right w:val="single" w:sz="2" w:space="0" w:color="E3E3E3"/>
              </w:divBdr>
              <w:divsChild>
                <w:div w:id="1360815116">
                  <w:marLeft w:val="0"/>
                  <w:marRight w:val="0"/>
                  <w:marTop w:val="0"/>
                  <w:marBottom w:val="0"/>
                  <w:divBdr>
                    <w:top w:val="single" w:sz="2" w:space="0" w:color="E3E3E3"/>
                    <w:left w:val="single" w:sz="2" w:space="0" w:color="E3E3E3"/>
                    <w:bottom w:val="single" w:sz="2" w:space="0" w:color="E3E3E3"/>
                    <w:right w:val="single" w:sz="2" w:space="0" w:color="E3E3E3"/>
                  </w:divBdr>
                  <w:divsChild>
                    <w:div w:id="1672443994">
                      <w:marLeft w:val="0"/>
                      <w:marRight w:val="0"/>
                      <w:marTop w:val="0"/>
                      <w:marBottom w:val="0"/>
                      <w:divBdr>
                        <w:top w:val="single" w:sz="2" w:space="0" w:color="E3E3E3"/>
                        <w:left w:val="single" w:sz="2" w:space="0" w:color="E3E3E3"/>
                        <w:bottom w:val="single" w:sz="2" w:space="0" w:color="E3E3E3"/>
                        <w:right w:val="single" w:sz="2" w:space="0" w:color="E3E3E3"/>
                      </w:divBdr>
                      <w:divsChild>
                        <w:div w:id="2071807717">
                          <w:marLeft w:val="0"/>
                          <w:marRight w:val="0"/>
                          <w:marTop w:val="0"/>
                          <w:marBottom w:val="0"/>
                          <w:divBdr>
                            <w:top w:val="single" w:sz="2" w:space="0" w:color="E3E3E3"/>
                            <w:left w:val="single" w:sz="2" w:space="0" w:color="E3E3E3"/>
                            <w:bottom w:val="single" w:sz="2" w:space="0" w:color="E3E3E3"/>
                            <w:right w:val="single" w:sz="2" w:space="0" w:color="E3E3E3"/>
                          </w:divBdr>
                          <w:divsChild>
                            <w:div w:id="1859930514">
                              <w:marLeft w:val="0"/>
                              <w:marRight w:val="0"/>
                              <w:marTop w:val="100"/>
                              <w:marBottom w:val="100"/>
                              <w:divBdr>
                                <w:top w:val="single" w:sz="2" w:space="0" w:color="E3E3E3"/>
                                <w:left w:val="single" w:sz="2" w:space="0" w:color="E3E3E3"/>
                                <w:bottom w:val="single" w:sz="2" w:space="0" w:color="E3E3E3"/>
                                <w:right w:val="single" w:sz="2" w:space="0" w:color="E3E3E3"/>
                              </w:divBdr>
                              <w:divsChild>
                                <w:div w:id="2140605547">
                                  <w:marLeft w:val="0"/>
                                  <w:marRight w:val="0"/>
                                  <w:marTop w:val="0"/>
                                  <w:marBottom w:val="0"/>
                                  <w:divBdr>
                                    <w:top w:val="single" w:sz="2" w:space="0" w:color="E3E3E3"/>
                                    <w:left w:val="single" w:sz="2" w:space="0" w:color="E3E3E3"/>
                                    <w:bottom w:val="single" w:sz="2" w:space="0" w:color="E3E3E3"/>
                                    <w:right w:val="single" w:sz="2" w:space="0" w:color="E3E3E3"/>
                                  </w:divBdr>
                                  <w:divsChild>
                                    <w:div w:id="1912353809">
                                      <w:marLeft w:val="0"/>
                                      <w:marRight w:val="0"/>
                                      <w:marTop w:val="0"/>
                                      <w:marBottom w:val="0"/>
                                      <w:divBdr>
                                        <w:top w:val="single" w:sz="2" w:space="0" w:color="E3E3E3"/>
                                        <w:left w:val="single" w:sz="2" w:space="0" w:color="E3E3E3"/>
                                        <w:bottom w:val="single" w:sz="2" w:space="0" w:color="E3E3E3"/>
                                        <w:right w:val="single" w:sz="2" w:space="0" w:color="E3E3E3"/>
                                      </w:divBdr>
                                      <w:divsChild>
                                        <w:div w:id="2020082501">
                                          <w:marLeft w:val="0"/>
                                          <w:marRight w:val="0"/>
                                          <w:marTop w:val="0"/>
                                          <w:marBottom w:val="0"/>
                                          <w:divBdr>
                                            <w:top w:val="single" w:sz="2" w:space="0" w:color="E3E3E3"/>
                                            <w:left w:val="single" w:sz="2" w:space="0" w:color="E3E3E3"/>
                                            <w:bottom w:val="single" w:sz="2" w:space="0" w:color="E3E3E3"/>
                                            <w:right w:val="single" w:sz="2" w:space="0" w:color="E3E3E3"/>
                                          </w:divBdr>
                                          <w:divsChild>
                                            <w:div w:id="890386696">
                                              <w:marLeft w:val="0"/>
                                              <w:marRight w:val="0"/>
                                              <w:marTop w:val="0"/>
                                              <w:marBottom w:val="0"/>
                                              <w:divBdr>
                                                <w:top w:val="single" w:sz="2" w:space="0" w:color="E3E3E3"/>
                                                <w:left w:val="single" w:sz="2" w:space="0" w:color="E3E3E3"/>
                                                <w:bottom w:val="single" w:sz="2" w:space="0" w:color="E3E3E3"/>
                                                <w:right w:val="single" w:sz="2" w:space="0" w:color="E3E3E3"/>
                                              </w:divBdr>
                                              <w:divsChild>
                                                <w:div w:id="392628446">
                                                  <w:marLeft w:val="0"/>
                                                  <w:marRight w:val="0"/>
                                                  <w:marTop w:val="0"/>
                                                  <w:marBottom w:val="0"/>
                                                  <w:divBdr>
                                                    <w:top w:val="single" w:sz="2" w:space="0" w:color="E3E3E3"/>
                                                    <w:left w:val="single" w:sz="2" w:space="0" w:color="E3E3E3"/>
                                                    <w:bottom w:val="single" w:sz="2" w:space="0" w:color="E3E3E3"/>
                                                    <w:right w:val="single" w:sz="2" w:space="0" w:color="E3E3E3"/>
                                                  </w:divBdr>
                                                  <w:divsChild>
                                                    <w:div w:id="3850268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42334373">
          <w:marLeft w:val="0"/>
          <w:marRight w:val="0"/>
          <w:marTop w:val="0"/>
          <w:marBottom w:val="0"/>
          <w:divBdr>
            <w:top w:val="none" w:sz="0" w:space="0" w:color="auto"/>
            <w:left w:val="none" w:sz="0" w:space="0" w:color="auto"/>
            <w:bottom w:val="none" w:sz="0" w:space="0" w:color="auto"/>
            <w:right w:val="none" w:sz="0" w:space="0" w:color="auto"/>
          </w:divBdr>
        </w:div>
      </w:divsChild>
    </w:div>
    <w:div w:id="163667163">
      <w:bodyDiv w:val="1"/>
      <w:marLeft w:val="0"/>
      <w:marRight w:val="0"/>
      <w:marTop w:val="0"/>
      <w:marBottom w:val="0"/>
      <w:divBdr>
        <w:top w:val="none" w:sz="0" w:space="0" w:color="auto"/>
        <w:left w:val="none" w:sz="0" w:space="0" w:color="auto"/>
        <w:bottom w:val="none" w:sz="0" w:space="0" w:color="auto"/>
        <w:right w:val="none" w:sz="0" w:space="0" w:color="auto"/>
      </w:divBdr>
    </w:div>
    <w:div w:id="343939771">
      <w:bodyDiv w:val="1"/>
      <w:marLeft w:val="0"/>
      <w:marRight w:val="0"/>
      <w:marTop w:val="0"/>
      <w:marBottom w:val="0"/>
      <w:divBdr>
        <w:top w:val="none" w:sz="0" w:space="0" w:color="auto"/>
        <w:left w:val="none" w:sz="0" w:space="0" w:color="auto"/>
        <w:bottom w:val="none" w:sz="0" w:space="0" w:color="auto"/>
        <w:right w:val="none" w:sz="0" w:space="0" w:color="auto"/>
      </w:divBdr>
    </w:div>
    <w:div w:id="387460085">
      <w:bodyDiv w:val="1"/>
      <w:marLeft w:val="0"/>
      <w:marRight w:val="0"/>
      <w:marTop w:val="0"/>
      <w:marBottom w:val="0"/>
      <w:divBdr>
        <w:top w:val="none" w:sz="0" w:space="0" w:color="auto"/>
        <w:left w:val="none" w:sz="0" w:space="0" w:color="auto"/>
        <w:bottom w:val="none" w:sz="0" w:space="0" w:color="auto"/>
        <w:right w:val="none" w:sz="0" w:space="0" w:color="auto"/>
      </w:divBdr>
    </w:div>
    <w:div w:id="462384447">
      <w:bodyDiv w:val="1"/>
      <w:marLeft w:val="0"/>
      <w:marRight w:val="0"/>
      <w:marTop w:val="0"/>
      <w:marBottom w:val="0"/>
      <w:divBdr>
        <w:top w:val="none" w:sz="0" w:space="0" w:color="auto"/>
        <w:left w:val="none" w:sz="0" w:space="0" w:color="auto"/>
        <w:bottom w:val="none" w:sz="0" w:space="0" w:color="auto"/>
        <w:right w:val="none" w:sz="0" w:space="0" w:color="auto"/>
      </w:divBdr>
    </w:div>
    <w:div w:id="463041851">
      <w:bodyDiv w:val="1"/>
      <w:marLeft w:val="0"/>
      <w:marRight w:val="0"/>
      <w:marTop w:val="0"/>
      <w:marBottom w:val="0"/>
      <w:divBdr>
        <w:top w:val="none" w:sz="0" w:space="0" w:color="auto"/>
        <w:left w:val="none" w:sz="0" w:space="0" w:color="auto"/>
        <w:bottom w:val="none" w:sz="0" w:space="0" w:color="auto"/>
        <w:right w:val="none" w:sz="0" w:space="0" w:color="auto"/>
      </w:divBdr>
    </w:div>
    <w:div w:id="577134332">
      <w:bodyDiv w:val="1"/>
      <w:marLeft w:val="0"/>
      <w:marRight w:val="0"/>
      <w:marTop w:val="0"/>
      <w:marBottom w:val="0"/>
      <w:divBdr>
        <w:top w:val="none" w:sz="0" w:space="0" w:color="auto"/>
        <w:left w:val="none" w:sz="0" w:space="0" w:color="auto"/>
        <w:bottom w:val="none" w:sz="0" w:space="0" w:color="auto"/>
        <w:right w:val="none" w:sz="0" w:space="0" w:color="auto"/>
      </w:divBdr>
    </w:div>
    <w:div w:id="634287893">
      <w:bodyDiv w:val="1"/>
      <w:marLeft w:val="0"/>
      <w:marRight w:val="0"/>
      <w:marTop w:val="0"/>
      <w:marBottom w:val="0"/>
      <w:divBdr>
        <w:top w:val="none" w:sz="0" w:space="0" w:color="auto"/>
        <w:left w:val="none" w:sz="0" w:space="0" w:color="auto"/>
        <w:bottom w:val="none" w:sz="0" w:space="0" w:color="auto"/>
        <w:right w:val="none" w:sz="0" w:space="0" w:color="auto"/>
      </w:divBdr>
    </w:div>
    <w:div w:id="680011294">
      <w:bodyDiv w:val="1"/>
      <w:marLeft w:val="0"/>
      <w:marRight w:val="0"/>
      <w:marTop w:val="0"/>
      <w:marBottom w:val="0"/>
      <w:divBdr>
        <w:top w:val="none" w:sz="0" w:space="0" w:color="auto"/>
        <w:left w:val="none" w:sz="0" w:space="0" w:color="auto"/>
        <w:bottom w:val="none" w:sz="0" w:space="0" w:color="auto"/>
        <w:right w:val="none" w:sz="0" w:space="0" w:color="auto"/>
      </w:divBdr>
    </w:div>
    <w:div w:id="691299382">
      <w:bodyDiv w:val="1"/>
      <w:marLeft w:val="0"/>
      <w:marRight w:val="0"/>
      <w:marTop w:val="0"/>
      <w:marBottom w:val="0"/>
      <w:divBdr>
        <w:top w:val="none" w:sz="0" w:space="0" w:color="auto"/>
        <w:left w:val="none" w:sz="0" w:space="0" w:color="auto"/>
        <w:bottom w:val="none" w:sz="0" w:space="0" w:color="auto"/>
        <w:right w:val="none" w:sz="0" w:space="0" w:color="auto"/>
      </w:divBdr>
    </w:div>
    <w:div w:id="722871460">
      <w:bodyDiv w:val="1"/>
      <w:marLeft w:val="0"/>
      <w:marRight w:val="0"/>
      <w:marTop w:val="0"/>
      <w:marBottom w:val="0"/>
      <w:divBdr>
        <w:top w:val="none" w:sz="0" w:space="0" w:color="auto"/>
        <w:left w:val="none" w:sz="0" w:space="0" w:color="auto"/>
        <w:bottom w:val="none" w:sz="0" w:space="0" w:color="auto"/>
        <w:right w:val="none" w:sz="0" w:space="0" w:color="auto"/>
      </w:divBdr>
    </w:div>
    <w:div w:id="750270851">
      <w:bodyDiv w:val="1"/>
      <w:marLeft w:val="0"/>
      <w:marRight w:val="0"/>
      <w:marTop w:val="0"/>
      <w:marBottom w:val="0"/>
      <w:divBdr>
        <w:top w:val="none" w:sz="0" w:space="0" w:color="auto"/>
        <w:left w:val="none" w:sz="0" w:space="0" w:color="auto"/>
        <w:bottom w:val="none" w:sz="0" w:space="0" w:color="auto"/>
        <w:right w:val="none" w:sz="0" w:space="0" w:color="auto"/>
      </w:divBdr>
    </w:div>
    <w:div w:id="1033769985">
      <w:bodyDiv w:val="1"/>
      <w:marLeft w:val="0"/>
      <w:marRight w:val="0"/>
      <w:marTop w:val="0"/>
      <w:marBottom w:val="0"/>
      <w:divBdr>
        <w:top w:val="none" w:sz="0" w:space="0" w:color="auto"/>
        <w:left w:val="none" w:sz="0" w:space="0" w:color="auto"/>
        <w:bottom w:val="none" w:sz="0" w:space="0" w:color="auto"/>
        <w:right w:val="none" w:sz="0" w:space="0" w:color="auto"/>
      </w:divBdr>
    </w:div>
    <w:div w:id="1130443693">
      <w:bodyDiv w:val="1"/>
      <w:marLeft w:val="0"/>
      <w:marRight w:val="0"/>
      <w:marTop w:val="0"/>
      <w:marBottom w:val="0"/>
      <w:divBdr>
        <w:top w:val="none" w:sz="0" w:space="0" w:color="auto"/>
        <w:left w:val="none" w:sz="0" w:space="0" w:color="auto"/>
        <w:bottom w:val="none" w:sz="0" w:space="0" w:color="auto"/>
        <w:right w:val="none" w:sz="0" w:space="0" w:color="auto"/>
      </w:divBdr>
    </w:div>
    <w:div w:id="1137645925">
      <w:bodyDiv w:val="1"/>
      <w:marLeft w:val="0"/>
      <w:marRight w:val="0"/>
      <w:marTop w:val="0"/>
      <w:marBottom w:val="0"/>
      <w:divBdr>
        <w:top w:val="none" w:sz="0" w:space="0" w:color="auto"/>
        <w:left w:val="none" w:sz="0" w:space="0" w:color="auto"/>
        <w:bottom w:val="none" w:sz="0" w:space="0" w:color="auto"/>
        <w:right w:val="none" w:sz="0" w:space="0" w:color="auto"/>
      </w:divBdr>
    </w:div>
    <w:div w:id="1173573273">
      <w:bodyDiv w:val="1"/>
      <w:marLeft w:val="0"/>
      <w:marRight w:val="0"/>
      <w:marTop w:val="0"/>
      <w:marBottom w:val="0"/>
      <w:divBdr>
        <w:top w:val="none" w:sz="0" w:space="0" w:color="auto"/>
        <w:left w:val="none" w:sz="0" w:space="0" w:color="auto"/>
        <w:bottom w:val="none" w:sz="0" w:space="0" w:color="auto"/>
        <w:right w:val="none" w:sz="0" w:space="0" w:color="auto"/>
      </w:divBdr>
    </w:div>
    <w:div w:id="1193031059">
      <w:bodyDiv w:val="1"/>
      <w:marLeft w:val="0"/>
      <w:marRight w:val="0"/>
      <w:marTop w:val="0"/>
      <w:marBottom w:val="0"/>
      <w:divBdr>
        <w:top w:val="none" w:sz="0" w:space="0" w:color="auto"/>
        <w:left w:val="none" w:sz="0" w:space="0" w:color="auto"/>
        <w:bottom w:val="none" w:sz="0" w:space="0" w:color="auto"/>
        <w:right w:val="none" w:sz="0" w:space="0" w:color="auto"/>
      </w:divBdr>
    </w:div>
    <w:div w:id="1231035018">
      <w:bodyDiv w:val="1"/>
      <w:marLeft w:val="0"/>
      <w:marRight w:val="0"/>
      <w:marTop w:val="0"/>
      <w:marBottom w:val="0"/>
      <w:divBdr>
        <w:top w:val="none" w:sz="0" w:space="0" w:color="auto"/>
        <w:left w:val="none" w:sz="0" w:space="0" w:color="auto"/>
        <w:bottom w:val="none" w:sz="0" w:space="0" w:color="auto"/>
        <w:right w:val="none" w:sz="0" w:space="0" w:color="auto"/>
      </w:divBdr>
    </w:div>
    <w:div w:id="1419516654">
      <w:bodyDiv w:val="1"/>
      <w:marLeft w:val="0"/>
      <w:marRight w:val="0"/>
      <w:marTop w:val="0"/>
      <w:marBottom w:val="0"/>
      <w:divBdr>
        <w:top w:val="none" w:sz="0" w:space="0" w:color="auto"/>
        <w:left w:val="none" w:sz="0" w:space="0" w:color="auto"/>
        <w:bottom w:val="none" w:sz="0" w:space="0" w:color="auto"/>
        <w:right w:val="none" w:sz="0" w:space="0" w:color="auto"/>
      </w:divBdr>
    </w:div>
    <w:div w:id="1425567941">
      <w:bodyDiv w:val="1"/>
      <w:marLeft w:val="0"/>
      <w:marRight w:val="0"/>
      <w:marTop w:val="0"/>
      <w:marBottom w:val="0"/>
      <w:divBdr>
        <w:top w:val="none" w:sz="0" w:space="0" w:color="auto"/>
        <w:left w:val="none" w:sz="0" w:space="0" w:color="auto"/>
        <w:bottom w:val="none" w:sz="0" w:space="0" w:color="auto"/>
        <w:right w:val="none" w:sz="0" w:space="0" w:color="auto"/>
      </w:divBdr>
    </w:div>
    <w:div w:id="1457872061">
      <w:bodyDiv w:val="1"/>
      <w:marLeft w:val="0"/>
      <w:marRight w:val="0"/>
      <w:marTop w:val="0"/>
      <w:marBottom w:val="0"/>
      <w:divBdr>
        <w:top w:val="none" w:sz="0" w:space="0" w:color="auto"/>
        <w:left w:val="none" w:sz="0" w:space="0" w:color="auto"/>
        <w:bottom w:val="none" w:sz="0" w:space="0" w:color="auto"/>
        <w:right w:val="none" w:sz="0" w:space="0" w:color="auto"/>
      </w:divBdr>
    </w:div>
    <w:div w:id="1527326172">
      <w:bodyDiv w:val="1"/>
      <w:marLeft w:val="0"/>
      <w:marRight w:val="0"/>
      <w:marTop w:val="0"/>
      <w:marBottom w:val="0"/>
      <w:divBdr>
        <w:top w:val="none" w:sz="0" w:space="0" w:color="auto"/>
        <w:left w:val="none" w:sz="0" w:space="0" w:color="auto"/>
        <w:bottom w:val="none" w:sz="0" w:space="0" w:color="auto"/>
        <w:right w:val="none" w:sz="0" w:space="0" w:color="auto"/>
      </w:divBdr>
    </w:div>
    <w:div w:id="1560507881">
      <w:bodyDiv w:val="1"/>
      <w:marLeft w:val="0"/>
      <w:marRight w:val="0"/>
      <w:marTop w:val="0"/>
      <w:marBottom w:val="0"/>
      <w:divBdr>
        <w:top w:val="none" w:sz="0" w:space="0" w:color="auto"/>
        <w:left w:val="none" w:sz="0" w:space="0" w:color="auto"/>
        <w:bottom w:val="none" w:sz="0" w:space="0" w:color="auto"/>
        <w:right w:val="none" w:sz="0" w:space="0" w:color="auto"/>
      </w:divBdr>
    </w:div>
    <w:div w:id="1815178510">
      <w:bodyDiv w:val="1"/>
      <w:marLeft w:val="0"/>
      <w:marRight w:val="0"/>
      <w:marTop w:val="0"/>
      <w:marBottom w:val="0"/>
      <w:divBdr>
        <w:top w:val="none" w:sz="0" w:space="0" w:color="auto"/>
        <w:left w:val="none" w:sz="0" w:space="0" w:color="auto"/>
        <w:bottom w:val="none" w:sz="0" w:space="0" w:color="auto"/>
        <w:right w:val="none" w:sz="0" w:space="0" w:color="auto"/>
      </w:divBdr>
    </w:div>
    <w:div w:id="1834442522">
      <w:bodyDiv w:val="1"/>
      <w:marLeft w:val="0"/>
      <w:marRight w:val="0"/>
      <w:marTop w:val="0"/>
      <w:marBottom w:val="0"/>
      <w:divBdr>
        <w:top w:val="none" w:sz="0" w:space="0" w:color="auto"/>
        <w:left w:val="none" w:sz="0" w:space="0" w:color="auto"/>
        <w:bottom w:val="none" w:sz="0" w:space="0" w:color="auto"/>
        <w:right w:val="none" w:sz="0" w:space="0" w:color="auto"/>
      </w:divBdr>
    </w:div>
    <w:div w:id="1858427552">
      <w:bodyDiv w:val="1"/>
      <w:marLeft w:val="0"/>
      <w:marRight w:val="0"/>
      <w:marTop w:val="0"/>
      <w:marBottom w:val="0"/>
      <w:divBdr>
        <w:top w:val="none" w:sz="0" w:space="0" w:color="auto"/>
        <w:left w:val="none" w:sz="0" w:space="0" w:color="auto"/>
        <w:bottom w:val="none" w:sz="0" w:space="0" w:color="auto"/>
        <w:right w:val="none" w:sz="0" w:space="0" w:color="auto"/>
      </w:divBdr>
    </w:div>
    <w:div w:id="1898783551">
      <w:bodyDiv w:val="1"/>
      <w:marLeft w:val="0"/>
      <w:marRight w:val="0"/>
      <w:marTop w:val="0"/>
      <w:marBottom w:val="0"/>
      <w:divBdr>
        <w:top w:val="none" w:sz="0" w:space="0" w:color="auto"/>
        <w:left w:val="none" w:sz="0" w:space="0" w:color="auto"/>
        <w:bottom w:val="none" w:sz="0" w:space="0" w:color="auto"/>
        <w:right w:val="none" w:sz="0" w:space="0" w:color="auto"/>
      </w:divBdr>
    </w:div>
    <w:div w:id="1926919811">
      <w:bodyDiv w:val="1"/>
      <w:marLeft w:val="0"/>
      <w:marRight w:val="0"/>
      <w:marTop w:val="0"/>
      <w:marBottom w:val="0"/>
      <w:divBdr>
        <w:top w:val="none" w:sz="0" w:space="0" w:color="auto"/>
        <w:left w:val="none" w:sz="0" w:space="0" w:color="auto"/>
        <w:bottom w:val="none" w:sz="0" w:space="0" w:color="auto"/>
        <w:right w:val="none" w:sz="0" w:space="0" w:color="auto"/>
      </w:divBdr>
    </w:div>
    <w:div w:id="1944921540">
      <w:bodyDiv w:val="1"/>
      <w:marLeft w:val="0"/>
      <w:marRight w:val="0"/>
      <w:marTop w:val="0"/>
      <w:marBottom w:val="0"/>
      <w:divBdr>
        <w:top w:val="none" w:sz="0" w:space="0" w:color="auto"/>
        <w:left w:val="none" w:sz="0" w:space="0" w:color="auto"/>
        <w:bottom w:val="none" w:sz="0" w:space="0" w:color="auto"/>
        <w:right w:val="none" w:sz="0" w:space="0" w:color="auto"/>
      </w:divBdr>
    </w:div>
    <w:div w:id="1972325630">
      <w:bodyDiv w:val="1"/>
      <w:marLeft w:val="0"/>
      <w:marRight w:val="0"/>
      <w:marTop w:val="0"/>
      <w:marBottom w:val="0"/>
      <w:divBdr>
        <w:top w:val="none" w:sz="0" w:space="0" w:color="auto"/>
        <w:left w:val="none" w:sz="0" w:space="0" w:color="auto"/>
        <w:bottom w:val="none" w:sz="0" w:space="0" w:color="auto"/>
        <w:right w:val="none" w:sz="0" w:space="0" w:color="auto"/>
      </w:divBdr>
      <w:divsChild>
        <w:div w:id="853034904">
          <w:marLeft w:val="0"/>
          <w:marRight w:val="0"/>
          <w:marTop w:val="0"/>
          <w:marBottom w:val="0"/>
          <w:divBdr>
            <w:top w:val="single" w:sz="2" w:space="0" w:color="D9D9E3"/>
            <w:left w:val="single" w:sz="2" w:space="0" w:color="D9D9E3"/>
            <w:bottom w:val="single" w:sz="2" w:space="0" w:color="D9D9E3"/>
            <w:right w:val="single" w:sz="2" w:space="0" w:color="D9D9E3"/>
          </w:divBdr>
          <w:divsChild>
            <w:div w:id="1580166683">
              <w:marLeft w:val="0"/>
              <w:marRight w:val="0"/>
              <w:marTop w:val="0"/>
              <w:marBottom w:val="0"/>
              <w:divBdr>
                <w:top w:val="single" w:sz="2" w:space="0" w:color="D9D9E3"/>
                <w:left w:val="single" w:sz="2" w:space="0" w:color="D9D9E3"/>
                <w:bottom w:val="single" w:sz="2" w:space="0" w:color="D9D9E3"/>
                <w:right w:val="single" w:sz="2" w:space="0" w:color="D9D9E3"/>
              </w:divBdr>
              <w:divsChild>
                <w:div w:id="1515415718">
                  <w:marLeft w:val="0"/>
                  <w:marRight w:val="0"/>
                  <w:marTop w:val="0"/>
                  <w:marBottom w:val="0"/>
                  <w:divBdr>
                    <w:top w:val="single" w:sz="2" w:space="0" w:color="D9D9E3"/>
                    <w:left w:val="single" w:sz="2" w:space="0" w:color="D9D9E3"/>
                    <w:bottom w:val="single" w:sz="2" w:space="0" w:color="D9D9E3"/>
                    <w:right w:val="single" w:sz="2" w:space="0" w:color="D9D9E3"/>
                  </w:divBdr>
                  <w:divsChild>
                    <w:div w:id="1793553445">
                      <w:marLeft w:val="0"/>
                      <w:marRight w:val="0"/>
                      <w:marTop w:val="0"/>
                      <w:marBottom w:val="0"/>
                      <w:divBdr>
                        <w:top w:val="single" w:sz="2" w:space="0" w:color="D9D9E3"/>
                        <w:left w:val="single" w:sz="2" w:space="0" w:color="D9D9E3"/>
                        <w:bottom w:val="single" w:sz="2" w:space="0" w:color="D9D9E3"/>
                        <w:right w:val="single" w:sz="2" w:space="0" w:color="D9D9E3"/>
                      </w:divBdr>
                      <w:divsChild>
                        <w:div w:id="776877219">
                          <w:marLeft w:val="0"/>
                          <w:marRight w:val="0"/>
                          <w:marTop w:val="0"/>
                          <w:marBottom w:val="0"/>
                          <w:divBdr>
                            <w:top w:val="single" w:sz="2" w:space="0" w:color="D9D9E3"/>
                            <w:left w:val="single" w:sz="2" w:space="0" w:color="D9D9E3"/>
                            <w:bottom w:val="single" w:sz="2" w:space="0" w:color="D9D9E3"/>
                            <w:right w:val="single" w:sz="2" w:space="0" w:color="D9D9E3"/>
                          </w:divBdr>
                          <w:divsChild>
                            <w:div w:id="48119677">
                              <w:marLeft w:val="0"/>
                              <w:marRight w:val="0"/>
                              <w:marTop w:val="100"/>
                              <w:marBottom w:val="100"/>
                              <w:divBdr>
                                <w:top w:val="single" w:sz="2" w:space="0" w:color="D9D9E3"/>
                                <w:left w:val="single" w:sz="2" w:space="0" w:color="D9D9E3"/>
                                <w:bottom w:val="single" w:sz="2" w:space="0" w:color="D9D9E3"/>
                                <w:right w:val="single" w:sz="2" w:space="0" w:color="D9D9E3"/>
                              </w:divBdr>
                              <w:divsChild>
                                <w:div w:id="524446517">
                                  <w:marLeft w:val="0"/>
                                  <w:marRight w:val="0"/>
                                  <w:marTop w:val="0"/>
                                  <w:marBottom w:val="0"/>
                                  <w:divBdr>
                                    <w:top w:val="single" w:sz="2" w:space="0" w:color="D9D9E3"/>
                                    <w:left w:val="single" w:sz="2" w:space="0" w:color="D9D9E3"/>
                                    <w:bottom w:val="single" w:sz="2" w:space="0" w:color="D9D9E3"/>
                                    <w:right w:val="single" w:sz="2" w:space="0" w:color="D9D9E3"/>
                                  </w:divBdr>
                                  <w:divsChild>
                                    <w:div w:id="659425048">
                                      <w:marLeft w:val="0"/>
                                      <w:marRight w:val="0"/>
                                      <w:marTop w:val="0"/>
                                      <w:marBottom w:val="0"/>
                                      <w:divBdr>
                                        <w:top w:val="single" w:sz="2" w:space="0" w:color="D9D9E3"/>
                                        <w:left w:val="single" w:sz="2" w:space="0" w:color="D9D9E3"/>
                                        <w:bottom w:val="single" w:sz="2" w:space="0" w:color="D9D9E3"/>
                                        <w:right w:val="single" w:sz="2" w:space="0" w:color="D9D9E3"/>
                                      </w:divBdr>
                                      <w:divsChild>
                                        <w:div w:id="315770863">
                                          <w:marLeft w:val="0"/>
                                          <w:marRight w:val="0"/>
                                          <w:marTop w:val="0"/>
                                          <w:marBottom w:val="0"/>
                                          <w:divBdr>
                                            <w:top w:val="single" w:sz="2" w:space="0" w:color="D9D9E3"/>
                                            <w:left w:val="single" w:sz="2" w:space="0" w:color="D9D9E3"/>
                                            <w:bottom w:val="single" w:sz="2" w:space="0" w:color="D9D9E3"/>
                                            <w:right w:val="single" w:sz="2" w:space="0" w:color="D9D9E3"/>
                                          </w:divBdr>
                                          <w:divsChild>
                                            <w:div w:id="2128887446">
                                              <w:marLeft w:val="0"/>
                                              <w:marRight w:val="0"/>
                                              <w:marTop w:val="0"/>
                                              <w:marBottom w:val="0"/>
                                              <w:divBdr>
                                                <w:top w:val="single" w:sz="2" w:space="0" w:color="D9D9E3"/>
                                                <w:left w:val="single" w:sz="2" w:space="0" w:color="D9D9E3"/>
                                                <w:bottom w:val="single" w:sz="2" w:space="0" w:color="D9D9E3"/>
                                                <w:right w:val="single" w:sz="2" w:space="0" w:color="D9D9E3"/>
                                              </w:divBdr>
                                              <w:divsChild>
                                                <w:div w:id="830557853">
                                                  <w:marLeft w:val="0"/>
                                                  <w:marRight w:val="0"/>
                                                  <w:marTop w:val="0"/>
                                                  <w:marBottom w:val="0"/>
                                                  <w:divBdr>
                                                    <w:top w:val="single" w:sz="2" w:space="0" w:color="D9D9E3"/>
                                                    <w:left w:val="single" w:sz="2" w:space="0" w:color="D9D9E3"/>
                                                    <w:bottom w:val="single" w:sz="2" w:space="0" w:color="D9D9E3"/>
                                                    <w:right w:val="single" w:sz="2" w:space="0" w:color="D9D9E3"/>
                                                  </w:divBdr>
                                                  <w:divsChild>
                                                    <w:div w:id="3036591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98363028">
          <w:marLeft w:val="0"/>
          <w:marRight w:val="0"/>
          <w:marTop w:val="0"/>
          <w:marBottom w:val="0"/>
          <w:divBdr>
            <w:top w:val="none" w:sz="0" w:space="0" w:color="auto"/>
            <w:left w:val="none" w:sz="0" w:space="0" w:color="auto"/>
            <w:bottom w:val="none" w:sz="0" w:space="0" w:color="auto"/>
            <w:right w:val="none" w:sz="0" w:space="0" w:color="auto"/>
          </w:divBdr>
        </w:div>
      </w:divsChild>
    </w:div>
    <w:div w:id="1975794767">
      <w:bodyDiv w:val="1"/>
      <w:marLeft w:val="0"/>
      <w:marRight w:val="0"/>
      <w:marTop w:val="0"/>
      <w:marBottom w:val="0"/>
      <w:divBdr>
        <w:top w:val="none" w:sz="0" w:space="0" w:color="auto"/>
        <w:left w:val="none" w:sz="0" w:space="0" w:color="auto"/>
        <w:bottom w:val="none" w:sz="0" w:space="0" w:color="auto"/>
        <w:right w:val="none" w:sz="0" w:space="0" w:color="auto"/>
      </w:divBdr>
    </w:div>
    <w:div w:id="2011323661">
      <w:bodyDiv w:val="1"/>
      <w:marLeft w:val="0"/>
      <w:marRight w:val="0"/>
      <w:marTop w:val="0"/>
      <w:marBottom w:val="0"/>
      <w:divBdr>
        <w:top w:val="none" w:sz="0" w:space="0" w:color="auto"/>
        <w:left w:val="none" w:sz="0" w:space="0" w:color="auto"/>
        <w:bottom w:val="none" w:sz="0" w:space="0" w:color="auto"/>
        <w:right w:val="none" w:sz="0" w:space="0" w:color="auto"/>
      </w:divBdr>
    </w:div>
    <w:div w:id="202231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yperlink" Target="https://health.nt.gov.au/professionals/disability-equipment-program" TargetMode="External"/><Relationship Id="rId47" Type="http://schemas.openxmlformats.org/officeDocument/2006/relationships/hyperlink" Target="http://www.drugtariff.nhsbsa.nhs.uk/" TargetMode="External"/><Relationship Id="rId63" Type="http://schemas.openxmlformats.org/officeDocument/2006/relationships/hyperlink" Target="https://qldstoma.asn.au/wp-content/uploads/QSA-member-application-CLG-From-1-July-2023.pdf" TargetMode="External"/><Relationship Id="rId68" Type="http://schemas.openxmlformats.org/officeDocument/2006/relationships/hyperlink" Target="https://www.cms.gov/medicare-coverage-database/view/article.aspx?articleId=52487" TargetMode="External"/><Relationship Id="rId84" Type="http://schemas.openxmlformats.org/officeDocument/2006/relationships/hyperlink" Target="https://www.servicesaustralia.gov.au/pb050" TargetMode="External"/><Relationship Id="rId89" Type="http://schemas.openxmlformats.org/officeDocument/2006/relationships/hyperlink" Target="https://www.independenceaustralia.com.au/nebds/"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07" Type="http://schemas.openxmlformats.org/officeDocument/2006/relationships/image" Target="media/image36.png"/><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yperlink" Target="https://www.health.tas.gov.au/patients/support-services-your-visit-hospital/medical-aids-and-equipment-tasequip" TargetMode="External"/><Relationship Id="rId40" Type="http://schemas.openxmlformats.org/officeDocument/2006/relationships/hyperlink" Target="https://equipmentprogram.sa.gov.au/__data/assets/word_doc/0017/19700/DHS-EP-Equipment-Request-Form.docx" TargetMode="External"/><Relationship Id="rId45" Type="http://schemas.openxmlformats.org/officeDocument/2006/relationships/hyperlink" Target="https://www.health.gov.au/our-work/stoma-appliance-scheme" TargetMode="External"/><Relationship Id="rId53" Type="http://schemas.openxmlformats.org/officeDocument/2006/relationships/hyperlink" Target="https://iasupport.org/" TargetMode="External"/><Relationship Id="rId58" Type="http://schemas.openxmlformats.org/officeDocument/2006/relationships/hyperlink" Target="https://www.health.gov.au/sites/default/files/2023-04/stoma-appliance-scheme-schedule_0.pdf" TargetMode="External"/><Relationship Id="rId66" Type="http://schemas.openxmlformats.org/officeDocument/2006/relationships/hyperlink" Target="https://www.nswstoma.org.au/online-order-form/" TargetMode="External"/><Relationship Id="rId74" Type="http://schemas.openxmlformats.org/officeDocument/2006/relationships/hyperlink" Target="https://www.health.gov.au/sites/default/files/documents/2022/10/stoma-appliance-scheme-operational-guidelines.pdf" TargetMode="External"/><Relationship Id="rId79" Type="http://schemas.openxmlformats.org/officeDocument/2006/relationships/hyperlink" Target="https://www.health.gov.au/our-work/continence-aids-payment-scheme-caps" TargetMode="External"/><Relationship Id="rId87" Type="http://schemas.openxmlformats.org/officeDocument/2006/relationships/hyperlink" Target="https://www.health.gov.au/sites/default/files/2023-08/continence-aids-payment-scheme-application-guidelines-and-application-form_0.pdf" TargetMode="External"/><Relationship Id="rId102" Type="http://schemas.openxmlformats.org/officeDocument/2006/relationships/image" Target="media/image31.png"/><Relationship Id="rId110"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hyperlink" Target="https://www.nhsbsa.nhs.uk/sites/default/files/2023-09/Drug%20Tariff%20Part%20IX%20October%202023.pdf" TargetMode="External"/><Relationship Id="rId82" Type="http://schemas.openxmlformats.org/officeDocument/2006/relationships/hyperlink" Target="https://qldstoma.asn.au/wp-content/uploads/QSA-member-application-CLG-From-1-July-2023.pdf" TargetMode="External"/><Relationship Id="rId90" Type="http://schemas.openxmlformats.org/officeDocument/2006/relationships/image" Target="media/image19.png"/><Relationship Id="rId95" Type="http://schemas.openxmlformats.org/officeDocument/2006/relationships/image" Target="media/image24.png"/><Relationship Id="rId19" Type="http://schemas.openxmlformats.org/officeDocument/2006/relationships/header" Target="header2.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chart" Target="charts/chart1.xml"/><Relationship Id="rId35" Type="http://schemas.openxmlformats.org/officeDocument/2006/relationships/hyperlink" Target="https://www.wa.gov.au/government/publications/referrer-information-community-aids-and-equipment-program" TargetMode="External"/><Relationship Id="rId43" Type="http://schemas.openxmlformats.org/officeDocument/2006/relationships/hyperlink" Target="https://ilct.com.au/uploads/general/Welcome-Pack/TasEquip-Standard-Equip-Request.pdf" TargetMode="External"/><Relationship Id="rId48" Type="http://schemas.openxmlformats.org/officeDocument/2006/relationships/hyperlink" Target="https://www.colostomyuk.org/information/prescriptions/" TargetMode="External"/><Relationship Id="rId56" Type="http://schemas.openxmlformats.org/officeDocument/2006/relationships/hyperlink" Target="https://www.ostomy.org/" TargetMode="External"/><Relationship Id="rId64" Type="http://schemas.openxmlformats.org/officeDocument/2006/relationships/hyperlink" Target="https://www.servicesaustralia.gov.au/pb049" TargetMode="External"/><Relationship Id="rId69" Type="http://schemas.openxmlformats.org/officeDocument/2006/relationships/hyperlink" Target="https://www.cms.gov/medicare-coverage-database/view/lcd.aspx?lcdId=33828&amp;ver=25" TargetMode="External"/><Relationship Id="rId77" Type="http://schemas.openxmlformats.org/officeDocument/2006/relationships/hyperlink" Target="https://www.health.gov.au/resources/publications/stoma-appliance-scheme-application-to-list-products-on-the-schedule-benchmark-groups-1-to-7?language=en" TargetMode="External"/><Relationship Id="rId100" Type="http://schemas.openxmlformats.org/officeDocument/2006/relationships/image" Target="media/image29.png"/><Relationship Id="rId105" Type="http://schemas.openxmlformats.org/officeDocument/2006/relationships/image" Target="media/image34.png"/><Relationship Id="rId8" Type="http://schemas.openxmlformats.org/officeDocument/2006/relationships/settings" Target="settings.xml"/><Relationship Id="rId51" Type="http://schemas.openxmlformats.org/officeDocument/2006/relationships/hyperlink" Target="https://www.nswstoma.org.au/online-order-form/" TargetMode="External"/><Relationship Id="rId72" Type="http://schemas.openxmlformats.org/officeDocument/2006/relationships/hyperlink" Target="https://www.health.gov.au/resources/apps-and-tools/stoma-appliance-scheme/schedule" TargetMode="External"/><Relationship Id="rId80" Type="http://schemas.openxmlformats.org/officeDocument/2006/relationships/hyperlink" Target="https://www.legislation.gov.au/Details/F2023C00676" TargetMode="External"/><Relationship Id="rId85" Type="http://schemas.openxmlformats.org/officeDocument/2006/relationships/hyperlink" Target="https://www.nswstoma.org.au/online-order-form/" TargetMode="External"/><Relationship Id="rId93" Type="http://schemas.openxmlformats.org/officeDocument/2006/relationships/image" Target="media/image22.png"/><Relationship Id="rId98"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hyperlink" Target="https://swep.bhs.org.au/available-items-and-subsidy.php" TargetMode="External"/><Relationship Id="rId38" Type="http://schemas.openxmlformats.org/officeDocument/2006/relationships/hyperlink" Target="https://swep.bhs.org.au/other-relevant-documents.php" TargetMode="External"/><Relationship Id="rId46" Type="http://schemas.openxmlformats.org/officeDocument/2006/relationships/hyperlink" Target="https://www.health.gov.au/resources/apps-and-tools/stoma-appliance-scheme/schedule" TargetMode="External"/><Relationship Id="rId59" Type="http://schemas.openxmlformats.org/officeDocument/2006/relationships/hyperlink" Target="https://www.health.gov.au/sites/default/files/2023-07/stoma-appliance-scheme-application-and-assessment-guidelines.pdf" TargetMode="External"/><Relationship Id="rId67" Type="http://schemas.openxmlformats.org/officeDocument/2006/relationships/hyperlink" Target="https://www.health.gov.au/our-work/stoma-appliance-scheme/stoma-appliance-scheme-for-ostomates%23forms" TargetMode="External"/><Relationship Id="rId103" Type="http://schemas.openxmlformats.org/officeDocument/2006/relationships/image" Target="media/image32.png"/><Relationship Id="rId108" Type="http://schemas.openxmlformats.org/officeDocument/2006/relationships/image" Target="media/image37.png"/><Relationship Id="rId20" Type="http://schemas.openxmlformats.org/officeDocument/2006/relationships/footer" Target="footer2.xml"/><Relationship Id="rId41" Type="http://schemas.openxmlformats.org/officeDocument/2006/relationships/hyperlink" Target="https://www.wa.gov.au/government/publications/referral-form-community-aids-and-equipment-program" TargetMode="External"/><Relationship Id="rId54" Type="http://schemas.openxmlformats.org/officeDocument/2006/relationships/hyperlink" Target="https://ascnuk.com/default.aspx" TargetMode="External"/><Relationship Id="rId62" Type="http://schemas.openxmlformats.org/officeDocument/2006/relationships/hyperlink" Target="https://www.nhsbsa.nhs.uk/sites/default/files/2023-07/Drug%20Tariff%20Guidance%20v1.7.pdf" TargetMode="External"/><Relationship Id="rId70" Type="http://schemas.openxmlformats.org/officeDocument/2006/relationships/image" Target="media/image18.png"/><Relationship Id="rId75" Type="http://schemas.openxmlformats.org/officeDocument/2006/relationships/hyperlink" Target="https://www.health.gov.au/sites/default/files/2023-04/stoma-appliance-scheme-schedule_0.pdf" TargetMode="External"/><Relationship Id="rId83" Type="http://schemas.openxmlformats.org/officeDocument/2006/relationships/hyperlink" Target="https://www.servicesaustralia.gov.au/pb049" TargetMode="External"/><Relationship Id="rId88" Type="http://schemas.openxmlformats.org/officeDocument/2006/relationships/hyperlink" Target="https://www.ndss.com.au/wp-content/uploads/forms/form-ndss-registration-form.pdf" TargetMode="External"/><Relationship Id="rId91" Type="http://schemas.openxmlformats.org/officeDocument/2006/relationships/image" Target="media/image20.png"/><Relationship Id="rId96" Type="http://schemas.openxmlformats.org/officeDocument/2006/relationships/image" Target="media/image25.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canberrahealthservices.act.gov.au/__data/assets/pdf_file/0007/1935772/ACTES-loan-equipment-scheme_accessible-FA.pdf" TargetMode="External"/><Relationship Id="rId49" Type="http://schemas.openxmlformats.org/officeDocument/2006/relationships/hyperlink" Target="https://www.nhs.uk/nhs-services/prescriptions-and-pharmacies/who-can-get-free-prescriptions/" TargetMode="External"/><Relationship Id="rId57" Type="http://schemas.openxmlformats.org/officeDocument/2006/relationships/hyperlink" Target="https://www.health.gov.au/sites/default/files/documents/2022/10/stoma-appliance-scheme-operational-guidelines.pdf" TargetMode="External"/><Relationship Id="rId106" Type="http://schemas.openxmlformats.org/officeDocument/2006/relationships/image" Target="media/image35.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17.png"/><Relationship Id="rId52" Type="http://schemas.openxmlformats.org/officeDocument/2006/relationships/hyperlink" Target="https://www.colostomyuk.org/about-us/" TargetMode="External"/><Relationship Id="rId60" Type="http://schemas.openxmlformats.org/officeDocument/2006/relationships/hyperlink" Target="https://www.health.gov.au/resources/publications/stoma-appliance-scheme-application-to-list-products-on-the-schedule-benchmark-groups-1-to-7?language=en" TargetMode="External"/><Relationship Id="rId65" Type="http://schemas.openxmlformats.org/officeDocument/2006/relationships/hyperlink" Target="https://www.servicesaustralia.gov.au/pb050" TargetMode="External"/><Relationship Id="rId73" Type="http://schemas.openxmlformats.org/officeDocument/2006/relationships/hyperlink" Target="https://www.nswstoma.org.au/online-order-form/" TargetMode="External"/><Relationship Id="rId78" Type="http://schemas.openxmlformats.org/officeDocument/2006/relationships/hyperlink" Target="https://www.health.gov.au/resources/publications/continence-aids-payment-scheme-application-guidelines-and-application-form?language=und" TargetMode="External"/><Relationship Id="rId81" Type="http://schemas.openxmlformats.org/officeDocument/2006/relationships/hyperlink" Target="https://www.ebdressings.com.au/wp-content/uploads/2018/09/NEBDS_ScheduleOfDressings_February2022-.pdf" TargetMode="External"/><Relationship Id="rId86" Type="http://schemas.openxmlformats.org/officeDocument/2006/relationships/hyperlink" Target="https://www.health.gov.au/our-work/stoma-appliance-scheme/stoma-appliance-scheme-for-ostomates%23forms" TargetMode="External"/><Relationship Id="rId94" Type="http://schemas.openxmlformats.org/officeDocument/2006/relationships/image" Target="media/image23.png"/><Relationship Id="rId99" Type="http://schemas.openxmlformats.org/officeDocument/2006/relationships/image" Target="media/image28.png"/><Relationship Id="rId101"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5.png"/><Relationship Id="rId39" Type="http://schemas.openxmlformats.org/officeDocument/2006/relationships/hyperlink" Target="https://www.enable.health.nsw.gov.au/prescribers/forms" TargetMode="External"/><Relationship Id="rId109" Type="http://schemas.openxmlformats.org/officeDocument/2006/relationships/fontTable" Target="fontTable.xml"/><Relationship Id="rId34" Type="http://schemas.openxmlformats.org/officeDocument/2006/relationships/hyperlink" Target="https://equipmentprogram.sa.gov.au/lists/dhs-equipment-program-documents" TargetMode="External"/><Relationship Id="rId50" Type="http://schemas.openxmlformats.org/officeDocument/2006/relationships/hyperlink" Target="http://www.nhsbsa.nhs.uk/PrescriptionServices/4940.aspx" TargetMode="External"/><Relationship Id="rId55" Type="http://schemas.openxmlformats.org/officeDocument/2006/relationships/hyperlink" Target="https://urostomyassociation.org.uk/" TargetMode="External"/><Relationship Id="rId76" Type="http://schemas.openxmlformats.org/officeDocument/2006/relationships/hyperlink" Target="https://www.health.gov.au/sites/default/files/2023-07/stoma-appliance-scheme-application-and-assessment-guidelines.pdf" TargetMode="External"/><Relationship Id="rId97" Type="http://schemas.openxmlformats.org/officeDocument/2006/relationships/image" Target="media/image26.png"/><Relationship Id="rId104" Type="http://schemas.openxmlformats.org/officeDocument/2006/relationships/image" Target="media/image33.png"/><Relationship Id="rId7" Type="http://schemas.openxmlformats.org/officeDocument/2006/relationships/styles" Target="styles.xml"/><Relationship Id="rId71" Type="http://schemas.openxmlformats.org/officeDocument/2006/relationships/hyperlink" Target="https://www.health.gov.au/our-work/stoma-appliance-scheme" TargetMode="External"/><Relationship Id="rId92" Type="http://schemas.openxmlformats.org/officeDocument/2006/relationships/image" Target="media/image21.png"/></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health.gov.au/resources/publications/stoma-appliance-scheme-deodorant-and-absorption-gelling-sachets-authorisation-form?language=en" TargetMode="External"/><Relationship Id="rId3" Type="http://schemas.openxmlformats.org/officeDocument/2006/relationships/hyperlink" Target="https://www.health.gov.au/resources/publications/stoma-appliance-scheme-consultation-outcomes?language=en" TargetMode="External"/><Relationship Id="rId7" Type="http://schemas.openxmlformats.org/officeDocument/2006/relationships/hyperlink" Target="https://www.health.gov.au/resources/publications/stoma-appliance-scheme-cleanser-wipe-authorisation-form?language=en" TargetMode="External"/><Relationship Id="rId12" Type="http://schemas.openxmlformats.org/officeDocument/2006/relationships/hyperlink" Target="https://www.canceraustralia.gov.au/cancer-types/bowel-cancer/statistics" TargetMode="External"/><Relationship Id="rId2" Type="http://schemas.openxmlformats.org/officeDocument/2006/relationships/hyperlink" Target="https://www.health.gov.au/sites/default/files/documents/2022/10/stoma-appliance-scheme-operational-guidelines.pdf" TargetMode="External"/><Relationship Id="rId1" Type="http://schemas.openxmlformats.org/officeDocument/2006/relationships/hyperlink" Target="https://www.health.gov.au/resources/publications/stoma-appliance-scheme-utilisation-and-expenditure-data-quarterly-report-april-to-june-2023-and-end-of-financial-year-2022-23?language=en" TargetMode="External"/><Relationship Id="rId6" Type="http://schemas.openxmlformats.org/officeDocument/2006/relationships/hyperlink" Target="https://www.nswstoma.org.au/wp-content/uploads/2023/07/Garments-Discontinued-1st-October-2023.pdf" TargetMode="External"/><Relationship Id="rId11" Type="http://schemas.openxmlformats.org/officeDocument/2006/relationships/hyperlink" Target="https://www.aihw.gov.au/reports/mothers-babies/congenital-anomalies-in-australia/data" TargetMode="External"/><Relationship Id="rId5" Type="http://schemas.openxmlformats.org/officeDocument/2006/relationships/hyperlink" Target="https://www.nswstoma.org.au/" TargetMode="External"/><Relationship Id="rId10" Type="http://schemas.openxmlformats.org/officeDocument/2006/relationships/hyperlink" Target="https://www.msaustralia.org.au/wp-content/uploads/2023/02/media-release-ms-rising-and-accelerating-in-australia.pdf" TargetMode="External"/><Relationship Id="rId4" Type="http://schemas.openxmlformats.org/officeDocument/2006/relationships/hyperlink" Target="https://www.health.gov.au/resources/publications/stoma-appliance-scheme-schedule" TargetMode="External"/><Relationship Id="rId9" Type="http://schemas.openxmlformats.org/officeDocument/2006/relationships/hyperlink" Target="https://www.nursingtimes.net/clinical-archive/stoma-care/stoma-savings-helping-to-reduce-waste-and-spend-in-the-nhs-28-09-202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healthconsult86.sharepoint.com/sites/HealthConsultMain/Common/Current%20Jobs/DoHAC-Stoma%20Review%20-%20100.102/Stage%204_%20Modelling/HealthConsult_Stoma%20Review_Financial%20Model_27%2002%20202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'[HealthConsult_Stoma Review_Financial Model_27 02 2024.xlsx]Model - Access modifications'!$H$60</c:f>
              <c:strCache>
                <c:ptCount val="1"/>
                <c:pt idx="0">
                  <c:v>Change in expenditure</c:v>
                </c:pt>
              </c:strCache>
            </c:strRef>
          </c:tx>
          <c:spPr>
            <a:solidFill>
              <a:schemeClr val="accent2"/>
            </a:solidFill>
            <a:ln>
              <a:noFill/>
            </a:ln>
            <a:effectLst/>
          </c:spPr>
          <c:invertIfNegative val="0"/>
          <c:dPt>
            <c:idx val="9"/>
            <c:invertIfNegative val="0"/>
            <c:bubble3D val="0"/>
            <c:spPr>
              <a:solidFill>
                <a:schemeClr val="accent6"/>
              </a:solidFill>
              <a:ln>
                <a:noFill/>
              </a:ln>
              <a:effectLst/>
            </c:spPr>
            <c:extLst>
              <c:ext xmlns:c16="http://schemas.microsoft.com/office/drawing/2014/chart" uri="{C3380CC4-5D6E-409C-BE32-E72D297353CC}">
                <c16:uniqueId val="{00000001-C0B2-453B-9F8A-0E3DAD2E1360}"/>
              </c:ext>
            </c:extLst>
          </c:dPt>
          <c:dPt>
            <c:idx val="10"/>
            <c:invertIfNegative val="0"/>
            <c:bubble3D val="0"/>
            <c:spPr>
              <a:solidFill>
                <a:schemeClr val="accent6"/>
              </a:solidFill>
              <a:ln>
                <a:noFill/>
              </a:ln>
              <a:effectLst/>
            </c:spPr>
            <c:extLst>
              <c:ext xmlns:c16="http://schemas.microsoft.com/office/drawing/2014/chart" uri="{C3380CC4-5D6E-409C-BE32-E72D297353CC}">
                <c16:uniqueId val="{00000003-C0B2-453B-9F8A-0E3DAD2E1360}"/>
              </c:ext>
            </c:extLst>
          </c:dPt>
          <c:val>
            <c:numRef>
              <c:f>'[HealthConsult_Stoma Review_Financial Model_27 02 2024.xlsx]Model - Access modifications'!$I$61:$I$71</c:f>
              <c:numCache>
                <c:formatCode>"$"#,##0</c:formatCode>
                <c:ptCount val="11"/>
                <c:pt idx="0">
                  <c:v>75876.269999995828</c:v>
                </c:pt>
                <c:pt idx="1">
                  <c:v>12916.819999992847</c:v>
                </c:pt>
                <c:pt idx="2">
                  <c:v>647739.75</c:v>
                </c:pt>
                <c:pt idx="3">
                  <c:v>480380.29999999702</c:v>
                </c:pt>
                <c:pt idx="4">
                  <c:v>3786366.5199999958</c:v>
                </c:pt>
                <c:pt idx="5">
                  <c:v>29820.410000011325</c:v>
                </c:pt>
                <c:pt idx="6">
                  <c:v>6744893.3600000441</c:v>
                </c:pt>
                <c:pt idx="7">
                  <c:v>7254.75</c:v>
                </c:pt>
                <c:pt idx="8">
                  <c:v>6425.640000000596</c:v>
                </c:pt>
                <c:pt idx="9">
                  <c:v>639514.61999987066</c:v>
                </c:pt>
                <c:pt idx="10">
                  <c:v>902977.55999998748</c:v>
                </c:pt>
              </c:numCache>
            </c:numRef>
          </c:val>
          <c:extLst>
            <c:ext xmlns:c16="http://schemas.microsoft.com/office/drawing/2014/chart" uri="{C3380CC4-5D6E-409C-BE32-E72D297353CC}">
              <c16:uniqueId val="{00000004-C0B2-453B-9F8A-0E3DAD2E1360}"/>
            </c:ext>
          </c:extLst>
        </c:ser>
        <c:dLbls>
          <c:showLegendKey val="0"/>
          <c:showVal val="0"/>
          <c:showCatName val="0"/>
          <c:showSerName val="0"/>
          <c:showPercent val="0"/>
          <c:showBubbleSize val="0"/>
        </c:dLbls>
        <c:gapWidth val="114"/>
        <c:axId val="407259584"/>
        <c:axId val="407274944"/>
      </c:barChart>
      <c:lineChart>
        <c:grouping val="stacked"/>
        <c:varyColors val="0"/>
        <c:ser>
          <c:idx val="0"/>
          <c:order val="0"/>
          <c:tx>
            <c:strRef>
              <c:f>'[HealthConsult_Stoma Review_Financial Model_27 02 2024.xlsx]Model - Access modifications'!$G$60</c:f>
              <c:strCache>
                <c:ptCount val="1"/>
                <c:pt idx="0">
                  <c:v>Number of ostomates impacted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'[HealthConsult_Stoma Review_Financial Model_27 02 2024.xlsx]Model - Access modifications'!$F$61:$F$71</c:f>
              <c:strCache>
                <c:ptCount val="11"/>
                <c:pt idx="0">
                  <c:v>Creams and ointments (09f) removed</c:v>
                </c:pt>
                <c:pt idx="1">
                  <c:v>Creams and ointments (09f) quantity limited</c:v>
                </c:pt>
                <c:pt idx="2">
                  <c:v>Catheters (08c) removed</c:v>
                </c:pt>
                <c:pt idx="3">
                  <c:v>Deodorants (09g) removed</c:v>
                </c:pt>
                <c:pt idx="4">
                  <c:v>Cleanser wipes removed (03568T, 09981H, 03520G, 80125D)</c:v>
                </c:pt>
                <c:pt idx="5">
                  <c:v>Removal of low utilisation products (&lt;10 orders per annum)</c:v>
                </c:pt>
                <c:pt idx="6">
                  <c:v>50% decrease in annual quantity of closed bag systems</c:v>
                </c:pt>
                <c:pt idx="7">
                  <c:v>100% increase in annual quantity of plug systems (08a)</c:v>
                </c:pt>
                <c:pt idx="8">
                  <c:v>Increase maximum quantity of caps to 90 per month (01a)</c:v>
                </c:pt>
                <c:pt idx="9">
                  <c:v>Increase maximum quantity of seals to 90 per month (09l)</c:v>
                </c:pt>
                <c:pt idx="10">
                  <c:v>Increase maximum quantity of convex bag systems to 90 per month (01c and 03b)</c:v>
                </c:pt>
              </c:strCache>
            </c:strRef>
          </c:cat>
          <c:val>
            <c:numRef>
              <c:f>'[HealthConsult_Stoma Review_Financial Model_27 02 2024.xlsx]Model - Access modifications'!$G$61:$G$71</c:f>
              <c:numCache>
                <c:formatCode>#,##0</c:formatCode>
                <c:ptCount val="11"/>
                <c:pt idx="0">
                  <c:v>2340</c:v>
                </c:pt>
                <c:pt idx="1">
                  <c:v>382</c:v>
                </c:pt>
                <c:pt idx="2">
                  <c:v>621</c:v>
                </c:pt>
                <c:pt idx="3">
                  <c:v>9051</c:v>
                </c:pt>
                <c:pt idx="4">
                  <c:v>19229</c:v>
                </c:pt>
                <c:pt idx="5">
                  <c:v>246.96</c:v>
                </c:pt>
                <c:pt idx="6">
                  <c:v>7202</c:v>
                </c:pt>
                <c:pt idx="7">
                  <c:v>47</c:v>
                </c:pt>
                <c:pt idx="8">
                  <c:v>25</c:v>
                </c:pt>
                <c:pt idx="9">
                  <c:v>1408</c:v>
                </c:pt>
                <c:pt idx="10">
                  <c:v>1074</c:v>
                </c:pt>
              </c:numCache>
            </c:numRef>
          </c:val>
          <c:smooth val="0"/>
          <c:extLst>
            <c:ext xmlns:c16="http://schemas.microsoft.com/office/drawing/2014/chart" uri="{C3380CC4-5D6E-409C-BE32-E72D297353CC}">
              <c16:uniqueId val="{00000005-C0B2-453B-9F8A-0E3DAD2E1360}"/>
            </c:ext>
          </c:extLst>
        </c:ser>
        <c:dLbls>
          <c:showLegendKey val="0"/>
          <c:showVal val="0"/>
          <c:showCatName val="0"/>
          <c:showSerName val="0"/>
          <c:showPercent val="0"/>
          <c:showBubbleSize val="0"/>
        </c:dLbls>
        <c:marker val="1"/>
        <c:smooth val="0"/>
        <c:axId val="1339002336"/>
        <c:axId val="1339001856"/>
      </c:lineChart>
      <c:catAx>
        <c:axId val="40725958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AU" sz="900" b="1"/>
                  <a:t>Scenario</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274944"/>
        <c:crosses val="autoZero"/>
        <c:auto val="1"/>
        <c:lblAlgn val="ctr"/>
        <c:lblOffset val="100"/>
        <c:noMultiLvlLbl val="0"/>
      </c:catAx>
      <c:valAx>
        <c:axId val="407274944"/>
        <c:scaling>
          <c:orientation val="minMax"/>
          <c:max val="70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AU" sz="900" b="1"/>
                  <a:t>Change in expenditure (absolute value)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7259584"/>
        <c:crosses val="autoZero"/>
        <c:crossBetween val="between"/>
      </c:valAx>
      <c:valAx>
        <c:axId val="1339001856"/>
        <c:scaling>
          <c:orientation val="minMax"/>
          <c:max val="35000"/>
        </c:scaling>
        <c:delete val="0"/>
        <c:axPos val="r"/>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AU" sz="900" b="1"/>
                  <a:t>Number of ostomates impacted</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39002336"/>
        <c:crosses val="max"/>
        <c:crossBetween val="between"/>
      </c:valAx>
      <c:catAx>
        <c:axId val="1339002336"/>
        <c:scaling>
          <c:orientation val="minMax"/>
        </c:scaling>
        <c:delete val="1"/>
        <c:axPos val="b"/>
        <c:numFmt formatCode="General" sourceLinked="1"/>
        <c:majorTickMark val="out"/>
        <c:minorTickMark val="none"/>
        <c:tickLblPos val="nextTo"/>
        <c:crossAx val="13390018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9A292E70174F279099772989F8085D"/>
        <w:category>
          <w:name w:val="General"/>
          <w:gallery w:val="placeholder"/>
        </w:category>
        <w:types>
          <w:type w:val="bbPlcHdr"/>
        </w:types>
        <w:behaviors>
          <w:behavior w:val="content"/>
        </w:behaviors>
        <w:guid w:val="{97F4DEC8-2164-44A5-A727-C71BA055193B}"/>
      </w:docPartPr>
      <w:docPartBody>
        <w:p w:rsidR="007658CC" w:rsidRDefault="00473D39">
          <w:pPr>
            <w:pStyle w:val="779A292E70174F279099772989F8085D"/>
          </w:pPr>
          <w:r w:rsidRPr="00FD76BB">
            <w:rPr>
              <w:shd w:val="clear" w:color="auto" w:fill="BFBFBF" w:themeFill="background1" w:themeFillShade="BF"/>
            </w:rPr>
            <w:t>[Client Name]</w:t>
          </w:r>
        </w:p>
      </w:docPartBody>
    </w:docPart>
    <w:docPart>
      <w:docPartPr>
        <w:name w:val="9ED3851A048B42FAAE2F64FEAD293766"/>
        <w:category>
          <w:name w:val="General"/>
          <w:gallery w:val="placeholder"/>
        </w:category>
        <w:types>
          <w:type w:val="bbPlcHdr"/>
        </w:types>
        <w:behaviors>
          <w:behavior w:val="content"/>
        </w:behaviors>
        <w:guid w:val="{2AA6B011-362B-418D-9F2C-31B9DBB3B42A}"/>
      </w:docPartPr>
      <w:docPartBody>
        <w:p w:rsidR="007658CC" w:rsidRDefault="00473D39">
          <w:pPr>
            <w:pStyle w:val="9ED3851A048B42FAAE2F64FEAD293766"/>
          </w:pPr>
          <w:r w:rsidRPr="00FD76BB">
            <w:rPr>
              <w:shd w:val="clear" w:color="auto" w:fill="BFBFBF" w:themeFill="background1" w:themeFillShade="BF"/>
            </w:rPr>
            <w:t>[Project Name]</w:t>
          </w:r>
        </w:p>
      </w:docPartBody>
    </w:docPart>
    <w:docPart>
      <w:docPartPr>
        <w:name w:val="90F3D81530354C449240BC07D7FE3C89"/>
        <w:category>
          <w:name w:val="General"/>
          <w:gallery w:val="placeholder"/>
        </w:category>
        <w:types>
          <w:type w:val="bbPlcHdr"/>
        </w:types>
        <w:behaviors>
          <w:behavior w:val="content"/>
        </w:behaviors>
        <w:guid w:val="{9E8DD05D-5F01-41F9-A744-E4C56E43AA3C}"/>
      </w:docPartPr>
      <w:docPartBody>
        <w:p w:rsidR="007658CC" w:rsidRDefault="00473D39">
          <w:pPr>
            <w:pStyle w:val="90F3D81530354C449240BC07D7FE3C89"/>
          </w:pPr>
          <w:r w:rsidRPr="00FD76BB">
            <w:rPr>
              <w:shd w:val="clear" w:color="auto" w:fill="BFBFBF" w:themeFill="background1" w:themeFillShade="BF"/>
            </w:rPr>
            <w:t>[Document Title]</w:t>
          </w:r>
        </w:p>
      </w:docPartBody>
    </w:docPart>
    <w:docPart>
      <w:docPartPr>
        <w:name w:val="819BD8B6975C45F0BBEF212D49B2D6D5"/>
        <w:category>
          <w:name w:val="General"/>
          <w:gallery w:val="placeholder"/>
        </w:category>
        <w:types>
          <w:type w:val="bbPlcHdr"/>
        </w:types>
        <w:behaviors>
          <w:behavior w:val="content"/>
        </w:behaviors>
        <w:guid w:val="{953E3ED8-BA3E-4836-BE28-CDAEEED81BA0}"/>
      </w:docPartPr>
      <w:docPartBody>
        <w:p w:rsidR="00DF6962" w:rsidRDefault="00DF6962" w:rsidP="00DF6962">
          <w:pPr>
            <w:pStyle w:val="819BD8B6975C45F0BBEF212D49B2D6D5"/>
          </w:pPr>
          <w:r w:rsidRPr="00FD76BB">
            <w:rPr>
              <w:shd w:val="clear" w:color="auto" w:fill="BFBFBF" w:themeFill="background1" w:themeFillShade="BF"/>
            </w:rPr>
            <w:t>[click to insert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oppins">
    <w:charset w:val="00"/>
    <w:family w:val="auto"/>
    <w:pitch w:val="variable"/>
    <w:sig w:usb0="00008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ontserrat SemiBold">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Poppins SemiBold">
    <w:altName w:val="Cambria"/>
    <w:charset w:val="00"/>
    <w:family w:val="auto"/>
    <w:pitch w:val="variable"/>
    <w:sig w:usb0="00008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altName w:val="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848"/>
    <w:rsid w:val="00011876"/>
    <w:rsid w:val="00015C40"/>
    <w:rsid w:val="000E1FCD"/>
    <w:rsid w:val="00116658"/>
    <w:rsid w:val="00130A85"/>
    <w:rsid w:val="001700F7"/>
    <w:rsid w:val="0018319F"/>
    <w:rsid w:val="00187848"/>
    <w:rsid w:val="001F2247"/>
    <w:rsid w:val="002002DF"/>
    <w:rsid w:val="002154EF"/>
    <w:rsid w:val="00225685"/>
    <w:rsid w:val="002B525F"/>
    <w:rsid w:val="002D55F6"/>
    <w:rsid w:val="00373026"/>
    <w:rsid w:val="00397FCB"/>
    <w:rsid w:val="00460C3E"/>
    <w:rsid w:val="00473D39"/>
    <w:rsid w:val="0049766F"/>
    <w:rsid w:val="004C64E6"/>
    <w:rsid w:val="004D301B"/>
    <w:rsid w:val="004D34CA"/>
    <w:rsid w:val="005776DD"/>
    <w:rsid w:val="005F1099"/>
    <w:rsid w:val="00674B3A"/>
    <w:rsid w:val="00750DE6"/>
    <w:rsid w:val="007658CC"/>
    <w:rsid w:val="007663CD"/>
    <w:rsid w:val="007C0E64"/>
    <w:rsid w:val="00801200"/>
    <w:rsid w:val="0085564D"/>
    <w:rsid w:val="00921849"/>
    <w:rsid w:val="00A16870"/>
    <w:rsid w:val="00A6780B"/>
    <w:rsid w:val="00A8258A"/>
    <w:rsid w:val="00AC01BA"/>
    <w:rsid w:val="00BC5094"/>
    <w:rsid w:val="00BE72A5"/>
    <w:rsid w:val="00C43EA2"/>
    <w:rsid w:val="00C83A12"/>
    <w:rsid w:val="00CE3501"/>
    <w:rsid w:val="00D40239"/>
    <w:rsid w:val="00DC6DDE"/>
    <w:rsid w:val="00DD1C3A"/>
    <w:rsid w:val="00DF6962"/>
    <w:rsid w:val="00E05C60"/>
    <w:rsid w:val="00E93649"/>
    <w:rsid w:val="00EF6C12"/>
    <w:rsid w:val="00F22CF4"/>
    <w:rsid w:val="00F45E7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ED45DB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79A292E70174F279099772989F8085D">
    <w:name w:val="779A292E70174F279099772989F8085D"/>
  </w:style>
  <w:style w:type="paragraph" w:customStyle="1" w:styleId="9ED3851A048B42FAAE2F64FEAD293766">
    <w:name w:val="9ED3851A048B42FAAE2F64FEAD293766"/>
  </w:style>
  <w:style w:type="paragraph" w:customStyle="1" w:styleId="90F3D81530354C449240BC07D7FE3C89">
    <w:name w:val="90F3D81530354C449240BC07D7FE3C89"/>
  </w:style>
  <w:style w:type="paragraph" w:customStyle="1" w:styleId="819BD8B6975C45F0BBEF212D49B2D6D5">
    <w:name w:val="819BD8B6975C45F0BBEF212D49B2D6D5"/>
    <w:rsid w:val="00DF6962"/>
    <w:pPr>
      <w:spacing w:line="259"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HealthConsult">
      <a:dk1>
        <a:sysClr val="windowText" lastClr="000000"/>
      </a:dk1>
      <a:lt1>
        <a:sysClr val="window" lastClr="FFFFFF"/>
      </a:lt1>
      <a:dk2>
        <a:srgbClr val="44546A"/>
      </a:dk2>
      <a:lt2>
        <a:srgbClr val="E7E6E6"/>
      </a:lt2>
      <a:accent1>
        <a:srgbClr val="3B0083"/>
      </a:accent1>
      <a:accent2>
        <a:srgbClr val="C60C30"/>
      </a:accent2>
      <a:accent3>
        <a:srgbClr val="00338D"/>
      </a:accent3>
      <a:accent4>
        <a:srgbClr val="00685B"/>
      </a:accent4>
      <a:accent5>
        <a:srgbClr val="9D80C1"/>
      </a:accent5>
      <a:accent6>
        <a:srgbClr val="E38698"/>
      </a:accent6>
      <a:hlink>
        <a:srgbClr val="3B0083"/>
      </a:hlink>
      <a:folHlink>
        <a:srgbClr val="C60C30"/>
      </a:folHlink>
    </a:clrScheme>
    <a:fontScheme name="Poppins">
      <a:majorFont>
        <a:latin typeface="Poppins SemiBold"/>
        <a:ea typeface=""/>
        <a:cs typeface=""/>
      </a:majorFont>
      <a:minorFont>
        <a:latin typeface="Poppi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6350">
          <a:solidFill>
            <a:schemeClr val="accent1"/>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lnDef>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solidFill>
            <a:schemeClr val="accent1"/>
          </a:solidFill>
        </a:ln>
      </a:spPr>
      <a:bodyPr rot="0" spcFirstLastPara="0" vertOverflow="overflow" horzOverflow="overflow" vert="horz" wrap="square" lIns="72000" tIns="72000" rIns="72000" bIns="7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Department of Health and Aged Care</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78cfb1fb-92f8-4b2d-9387-138416fd8e2f" xsi:nil="true"/>
    <lcf76f155ced4ddcb4097134ff3c332f xmlns="e9ed4965-6c79-43b2-b66c-0156d707dfda">
      <Terms xmlns="http://schemas.microsoft.com/office/infopath/2007/PartnerControls"/>
    </lcf76f155ced4ddcb4097134ff3c332f>
    <SharedWithUsers xmlns="78cfb1fb-92f8-4b2d-9387-138416fd8e2f">
      <UserInfo>
        <DisplayName>Lisa Fodero</DisplayName>
        <AccountId>10</AccountId>
        <AccountType/>
      </UserInfo>
      <UserInfo>
        <DisplayName>Sophie  Clarke</DisplayName>
        <AccountId>21</AccountId>
        <AccountType/>
      </UserInfo>
      <UserInfo>
        <DisplayName>Joe Scuteri</DisplayName>
        <AccountId>11</AccountId>
        <AccountType/>
      </UserInfo>
      <UserInfo>
        <DisplayName>Tiffany Spurway</DisplayName>
        <AccountId>22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D215C8367D5C4D875B0EB2331BADF4" ma:contentTypeVersion="15" ma:contentTypeDescription="Create a new document." ma:contentTypeScope="" ma:versionID="67768c9219ab8da149fa74ef82155823">
  <xsd:schema xmlns:xsd="http://www.w3.org/2001/XMLSchema" xmlns:xs="http://www.w3.org/2001/XMLSchema" xmlns:p="http://schemas.microsoft.com/office/2006/metadata/properties" xmlns:ns2="e9ed4965-6c79-43b2-b66c-0156d707dfda" xmlns:ns3="78cfb1fb-92f8-4b2d-9387-138416fd8e2f" targetNamespace="http://schemas.microsoft.com/office/2006/metadata/properties" ma:root="true" ma:fieldsID="16d04355c606815fec6e32444261ee2a" ns2:_="" ns3:_="">
    <xsd:import namespace="e9ed4965-6c79-43b2-b66c-0156d707dfda"/>
    <xsd:import namespace="78cfb1fb-92f8-4b2d-9387-138416fd8e2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ed4965-6c79-43b2-b66c-0156d707df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02b57ba-a143-482e-8372-109041eae08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cfb1fb-92f8-4b2d-9387-138416fd8e2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8e27dbc-aeab-41fd-819a-96df73959cc8}" ma:internalName="TaxCatchAll" ma:showField="CatchAllData" ma:web="78cfb1fb-92f8-4b2d-9387-138416fd8e2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625529-F228-42E1-8025-3231AF762211}">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8cfb1fb-92f8-4b2d-9387-138416fd8e2f"/>
    <ds:schemaRef ds:uri="http://purl.org/dc/elements/1.1/"/>
    <ds:schemaRef ds:uri="http://schemas.microsoft.com/office/2006/metadata/properties"/>
    <ds:schemaRef ds:uri="e9ed4965-6c79-43b2-b66c-0156d707dfda"/>
    <ds:schemaRef ds:uri="http://www.w3.org/XML/1998/namespace"/>
    <ds:schemaRef ds:uri="http://purl.org/dc/dcmitype/"/>
  </ds:schemaRefs>
</ds:datastoreItem>
</file>

<file path=customXml/itemProps3.xml><?xml version="1.0" encoding="utf-8"?>
<ds:datastoreItem xmlns:ds="http://schemas.openxmlformats.org/officeDocument/2006/customXml" ds:itemID="{683EF4DB-C478-4FF1-BC95-97F93B8FB228}">
  <ds:schemaRefs>
    <ds:schemaRef ds:uri="http://schemas.microsoft.com/sharepoint/v3/contenttype/forms"/>
  </ds:schemaRefs>
</ds:datastoreItem>
</file>

<file path=customXml/itemProps4.xml><?xml version="1.0" encoding="utf-8"?>
<ds:datastoreItem xmlns:ds="http://schemas.openxmlformats.org/officeDocument/2006/customXml" ds:itemID="{B6A27FBD-B790-48B7-9813-2457B8F99C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ed4965-6c79-43b2-b66c-0156d707dfda"/>
    <ds:schemaRef ds:uri="78cfb1fb-92f8-4b2d-9387-138416fd8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5620AE0-5C60-4585-916E-1F9DAB828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122</Pages>
  <Words>33952</Words>
  <Characters>212194</Characters>
  <Application>Microsoft Office Word</Application>
  <DocSecurity>4</DocSecurity>
  <PresentationFormat/>
  <Lines>1768</Lines>
  <Paragraphs>491</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Final Report</vt:lpstr>
    </vt:vector>
  </TitlesOfParts>
  <Manager/>
  <Company/>
  <LinksUpToDate>false</LinksUpToDate>
  <CharactersWithSpaces>245655</CharactersWithSpaces>
  <SharedDoc>false</SharedDoc>
  <HyperlinkBase/>
  <HLinks>
    <vt:vector size="846" baseType="variant">
      <vt:variant>
        <vt:i4>2228324</vt:i4>
      </vt:variant>
      <vt:variant>
        <vt:i4>855</vt:i4>
      </vt:variant>
      <vt:variant>
        <vt:i4>0</vt:i4>
      </vt:variant>
      <vt:variant>
        <vt:i4>5</vt:i4>
      </vt:variant>
      <vt:variant>
        <vt:lpwstr>https://www.independenceaustralia.com.au/nebds/</vt:lpwstr>
      </vt:variant>
      <vt:variant>
        <vt:lpwstr>:~:text=The%20National%20Epidermolysis%20Bullosa%20Dressing%20Scheme%20%28NEBDS%29%20supports,the%20Australian%20Government%20and%20administered%20by%20Independence%20Australia.</vt:lpwstr>
      </vt:variant>
      <vt:variant>
        <vt:i4>458828</vt:i4>
      </vt:variant>
      <vt:variant>
        <vt:i4>852</vt:i4>
      </vt:variant>
      <vt:variant>
        <vt:i4>0</vt:i4>
      </vt:variant>
      <vt:variant>
        <vt:i4>5</vt:i4>
      </vt:variant>
      <vt:variant>
        <vt:lpwstr>https://www.ndss.com.au/wp-content/uploads/forms/form-ndss-registration-form.pdf</vt:lpwstr>
      </vt:variant>
      <vt:variant>
        <vt:lpwstr/>
      </vt:variant>
      <vt:variant>
        <vt:i4>2949145</vt:i4>
      </vt:variant>
      <vt:variant>
        <vt:i4>849</vt:i4>
      </vt:variant>
      <vt:variant>
        <vt:i4>0</vt:i4>
      </vt:variant>
      <vt:variant>
        <vt:i4>5</vt:i4>
      </vt:variant>
      <vt:variant>
        <vt:lpwstr>https://www.health.gov.au/sites/default/files/2023-08/continence-aids-payment-scheme-application-guidelines-and-application-form_0.pdf</vt:lpwstr>
      </vt:variant>
      <vt:variant>
        <vt:lpwstr/>
      </vt:variant>
      <vt:variant>
        <vt:i4>2687087</vt:i4>
      </vt:variant>
      <vt:variant>
        <vt:i4>846</vt:i4>
      </vt:variant>
      <vt:variant>
        <vt:i4>0</vt:i4>
      </vt:variant>
      <vt:variant>
        <vt:i4>5</vt:i4>
      </vt:variant>
      <vt:variant>
        <vt:lpwstr>https://www.health.gov.au/our-work/stoma-appliance-scheme/stoma-appliance-scheme-for-ostomates%23forms</vt:lpwstr>
      </vt:variant>
      <vt:variant>
        <vt:lpwstr/>
      </vt:variant>
      <vt:variant>
        <vt:i4>2097215</vt:i4>
      </vt:variant>
      <vt:variant>
        <vt:i4>843</vt:i4>
      </vt:variant>
      <vt:variant>
        <vt:i4>0</vt:i4>
      </vt:variant>
      <vt:variant>
        <vt:i4>5</vt:i4>
      </vt:variant>
      <vt:variant>
        <vt:lpwstr>https://www.nswstoma.org.au/online-order-form/</vt:lpwstr>
      </vt:variant>
      <vt:variant>
        <vt:lpwstr/>
      </vt:variant>
      <vt:variant>
        <vt:i4>2621480</vt:i4>
      </vt:variant>
      <vt:variant>
        <vt:i4>840</vt:i4>
      </vt:variant>
      <vt:variant>
        <vt:i4>0</vt:i4>
      </vt:variant>
      <vt:variant>
        <vt:i4>5</vt:i4>
      </vt:variant>
      <vt:variant>
        <vt:lpwstr>https://www.servicesaustralia.gov.au/pb050</vt:lpwstr>
      </vt:variant>
      <vt:variant>
        <vt:lpwstr/>
      </vt:variant>
      <vt:variant>
        <vt:i4>2162729</vt:i4>
      </vt:variant>
      <vt:variant>
        <vt:i4>837</vt:i4>
      </vt:variant>
      <vt:variant>
        <vt:i4>0</vt:i4>
      </vt:variant>
      <vt:variant>
        <vt:i4>5</vt:i4>
      </vt:variant>
      <vt:variant>
        <vt:lpwstr>https://www.servicesaustralia.gov.au/pb049</vt:lpwstr>
      </vt:variant>
      <vt:variant>
        <vt:lpwstr/>
      </vt:variant>
      <vt:variant>
        <vt:i4>6684768</vt:i4>
      </vt:variant>
      <vt:variant>
        <vt:i4>834</vt:i4>
      </vt:variant>
      <vt:variant>
        <vt:i4>0</vt:i4>
      </vt:variant>
      <vt:variant>
        <vt:i4>5</vt:i4>
      </vt:variant>
      <vt:variant>
        <vt:lpwstr>https://qldstoma.asn.au/wp-content/uploads/QSA-member-application-CLG-From-1-July-2023.pdf</vt:lpwstr>
      </vt:variant>
      <vt:variant>
        <vt:lpwstr/>
      </vt:variant>
      <vt:variant>
        <vt:i4>4522058</vt:i4>
      </vt:variant>
      <vt:variant>
        <vt:i4>831</vt:i4>
      </vt:variant>
      <vt:variant>
        <vt:i4>0</vt:i4>
      </vt:variant>
      <vt:variant>
        <vt:i4>5</vt:i4>
      </vt:variant>
      <vt:variant>
        <vt:lpwstr>https://www.ebdressings.com.au/wp-content/uploads/2018/09/NEBDS_ScheduleOfDressings_February2022-.pdf</vt:lpwstr>
      </vt:variant>
      <vt:variant>
        <vt:lpwstr/>
      </vt:variant>
      <vt:variant>
        <vt:i4>7733282</vt:i4>
      </vt:variant>
      <vt:variant>
        <vt:i4>828</vt:i4>
      </vt:variant>
      <vt:variant>
        <vt:i4>0</vt:i4>
      </vt:variant>
      <vt:variant>
        <vt:i4>5</vt:i4>
      </vt:variant>
      <vt:variant>
        <vt:lpwstr>https://www.legislation.gov.au/Details/F2023C00676</vt:lpwstr>
      </vt:variant>
      <vt:variant>
        <vt:lpwstr/>
      </vt:variant>
      <vt:variant>
        <vt:i4>3014777</vt:i4>
      </vt:variant>
      <vt:variant>
        <vt:i4>825</vt:i4>
      </vt:variant>
      <vt:variant>
        <vt:i4>0</vt:i4>
      </vt:variant>
      <vt:variant>
        <vt:i4>5</vt:i4>
      </vt:variant>
      <vt:variant>
        <vt:lpwstr>https://www.health.gov.au/our-work/continence-aids-payment-scheme-caps</vt:lpwstr>
      </vt:variant>
      <vt:variant>
        <vt:lpwstr/>
      </vt:variant>
      <vt:variant>
        <vt:i4>4849684</vt:i4>
      </vt:variant>
      <vt:variant>
        <vt:i4>822</vt:i4>
      </vt:variant>
      <vt:variant>
        <vt:i4>0</vt:i4>
      </vt:variant>
      <vt:variant>
        <vt:i4>5</vt:i4>
      </vt:variant>
      <vt:variant>
        <vt:lpwstr>https://www.health.gov.au/resources/publications/continence-aids-payment-scheme-application-guidelines-and-application-form?language=und</vt:lpwstr>
      </vt:variant>
      <vt:variant>
        <vt:lpwstr/>
      </vt:variant>
      <vt:variant>
        <vt:i4>852045</vt:i4>
      </vt:variant>
      <vt:variant>
        <vt:i4>819</vt:i4>
      </vt:variant>
      <vt:variant>
        <vt:i4>0</vt:i4>
      </vt:variant>
      <vt:variant>
        <vt:i4>5</vt:i4>
      </vt:variant>
      <vt:variant>
        <vt:lpwstr>https://www.health.gov.au/resources/publications/stoma-appliance-scheme-application-to-list-products-on-the-schedule-benchmark-groups-1-to-7?language=en</vt:lpwstr>
      </vt:variant>
      <vt:variant>
        <vt:lpwstr/>
      </vt:variant>
      <vt:variant>
        <vt:i4>7012405</vt:i4>
      </vt:variant>
      <vt:variant>
        <vt:i4>816</vt:i4>
      </vt:variant>
      <vt:variant>
        <vt:i4>0</vt:i4>
      </vt:variant>
      <vt:variant>
        <vt:i4>5</vt:i4>
      </vt:variant>
      <vt:variant>
        <vt:lpwstr>https://www.health.gov.au/sites/default/files/2023-07/stoma-appliance-scheme-application-and-assessment-guidelines.pdf</vt:lpwstr>
      </vt:variant>
      <vt:variant>
        <vt:lpwstr/>
      </vt:variant>
      <vt:variant>
        <vt:i4>5177395</vt:i4>
      </vt:variant>
      <vt:variant>
        <vt:i4>813</vt:i4>
      </vt:variant>
      <vt:variant>
        <vt:i4>0</vt:i4>
      </vt:variant>
      <vt:variant>
        <vt:i4>5</vt:i4>
      </vt:variant>
      <vt:variant>
        <vt:lpwstr>https://www.health.gov.au/sites/default/files/2023-04/stoma-appliance-scheme-schedule_0.pdf</vt:lpwstr>
      </vt:variant>
      <vt:variant>
        <vt:lpwstr/>
      </vt:variant>
      <vt:variant>
        <vt:i4>4194385</vt:i4>
      </vt:variant>
      <vt:variant>
        <vt:i4>810</vt:i4>
      </vt:variant>
      <vt:variant>
        <vt:i4>0</vt:i4>
      </vt:variant>
      <vt:variant>
        <vt:i4>5</vt:i4>
      </vt:variant>
      <vt:variant>
        <vt:lpwstr>https://www.health.gov.au/sites/default/files/documents/2022/10/stoma-appliance-scheme-operational-guidelines.pdf</vt:lpwstr>
      </vt:variant>
      <vt:variant>
        <vt:lpwstr/>
      </vt:variant>
      <vt:variant>
        <vt:i4>2097215</vt:i4>
      </vt:variant>
      <vt:variant>
        <vt:i4>807</vt:i4>
      </vt:variant>
      <vt:variant>
        <vt:i4>0</vt:i4>
      </vt:variant>
      <vt:variant>
        <vt:i4>5</vt:i4>
      </vt:variant>
      <vt:variant>
        <vt:lpwstr>https://www.nswstoma.org.au/online-order-form/</vt:lpwstr>
      </vt:variant>
      <vt:variant>
        <vt:lpwstr/>
      </vt:variant>
      <vt:variant>
        <vt:i4>7012455</vt:i4>
      </vt:variant>
      <vt:variant>
        <vt:i4>804</vt:i4>
      </vt:variant>
      <vt:variant>
        <vt:i4>0</vt:i4>
      </vt:variant>
      <vt:variant>
        <vt:i4>5</vt:i4>
      </vt:variant>
      <vt:variant>
        <vt:lpwstr>https://www.health.gov.au/resources/apps-and-tools/stoma-appliance-scheme/schedule</vt:lpwstr>
      </vt:variant>
      <vt:variant>
        <vt:lpwstr/>
      </vt:variant>
      <vt:variant>
        <vt:i4>5373969</vt:i4>
      </vt:variant>
      <vt:variant>
        <vt:i4>801</vt:i4>
      </vt:variant>
      <vt:variant>
        <vt:i4>0</vt:i4>
      </vt:variant>
      <vt:variant>
        <vt:i4>5</vt:i4>
      </vt:variant>
      <vt:variant>
        <vt:lpwstr>https://www.health.gov.au/our-work/stoma-appliance-scheme</vt:lpwstr>
      </vt:variant>
      <vt:variant>
        <vt:lpwstr/>
      </vt:variant>
      <vt:variant>
        <vt:i4>7929892</vt:i4>
      </vt:variant>
      <vt:variant>
        <vt:i4>792</vt:i4>
      </vt:variant>
      <vt:variant>
        <vt:i4>0</vt:i4>
      </vt:variant>
      <vt:variant>
        <vt:i4>5</vt:i4>
      </vt:variant>
      <vt:variant>
        <vt:lpwstr>https://www.cms.gov/medicare-coverage-database/view/lcd.aspx?lcdId=33828&amp;ver=25</vt:lpwstr>
      </vt:variant>
      <vt:variant>
        <vt:lpwstr/>
      </vt:variant>
      <vt:variant>
        <vt:i4>4522078</vt:i4>
      </vt:variant>
      <vt:variant>
        <vt:i4>789</vt:i4>
      </vt:variant>
      <vt:variant>
        <vt:i4>0</vt:i4>
      </vt:variant>
      <vt:variant>
        <vt:i4>5</vt:i4>
      </vt:variant>
      <vt:variant>
        <vt:lpwstr>https://www.cms.gov/medicare-coverage-database/view/article.aspx?articleId=52487</vt:lpwstr>
      </vt:variant>
      <vt:variant>
        <vt:lpwstr/>
      </vt:variant>
      <vt:variant>
        <vt:i4>2687087</vt:i4>
      </vt:variant>
      <vt:variant>
        <vt:i4>786</vt:i4>
      </vt:variant>
      <vt:variant>
        <vt:i4>0</vt:i4>
      </vt:variant>
      <vt:variant>
        <vt:i4>5</vt:i4>
      </vt:variant>
      <vt:variant>
        <vt:lpwstr>https://www.health.gov.au/our-work/stoma-appliance-scheme/stoma-appliance-scheme-for-ostomates%23forms</vt:lpwstr>
      </vt:variant>
      <vt:variant>
        <vt:lpwstr/>
      </vt:variant>
      <vt:variant>
        <vt:i4>2097215</vt:i4>
      </vt:variant>
      <vt:variant>
        <vt:i4>783</vt:i4>
      </vt:variant>
      <vt:variant>
        <vt:i4>0</vt:i4>
      </vt:variant>
      <vt:variant>
        <vt:i4>5</vt:i4>
      </vt:variant>
      <vt:variant>
        <vt:lpwstr>https://www.nswstoma.org.au/online-order-form/</vt:lpwstr>
      </vt:variant>
      <vt:variant>
        <vt:lpwstr/>
      </vt:variant>
      <vt:variant>
        <vt:i4>2621480</vt:i4>
      </vt:variant>
      <vt:variant>
        <vt:i4>780</vt:i4>
      </vt:variant>
      <vt:variant>
        <vt:i4>0</vt:i4>
      </vt:variant>
      <vt:variant>
        <vt:i4>5</vt:i4>
      </vt:variant>
      <vt:variant>
        <vt:lpwstr>https://www.servicesaustralia.gov.au/pb050</vt:lpwstr>
      </vt:variant>
      <vt:variant>
        <vt:lpwstr/>
      </vt:variant>
      <vt:variant>
        <vt:i4>2162729</vt:i4>
      </vt:variant>
      <vt:variant>
        <vt:i4>777</vt:i4>
      </vt:variant>
      <vt:variant>
        <vt:i4>0</vt:i4>
      </vt:variant>
      <vt:variant>
        <vt:i4>5</vt:i4>
      </vt:variant>
      <vt:variant>
        <vt:lpwstr>https://www.servicesaustralia.gov.au/pb049</vt:lpwstr>
      </vt:variant>
      <vt:variant>
        <vt:lpwstr/>
      </vt:variant>
      <vt:variant>
        <vt:i4>6684768</vt:i4>
      </vt:variant>
      <vt:variant>
        <vt:i4>774</vt:i4>
      </vt:variant>
      <vt:variant>
        <vt:i4>0</vt:i4>
      </vt:variant>
      <vt:variant>
        <vt:i4>5</vt:i4>
      </vt:variant>
      <vt:variant>
        <vt:lpwstr>https://qldstoma.asn.au/wp-content/uploads/QSA-member-application-CLG-From-1-July-2023.pdf</vt:lpwstr>
      </vt:variant>
      <vt:variant>
        <vt:lpwstr/>
      </vt:variant>
      <vt:variant>
        <vt:i4>6422588</vt:i4>
      </vt:variant>
      <vt:variant>
        <vt:i4>771</vt:i4>
      </vt:variant>
      <vt:variant>
        <vt:i4>0</vt:i4>
      </vt:variant>
      <vt:variant>
        <vt:i4>5</vt:i4>
      </vt:variant>
      <vt:variant>
        <vt:lpwstr>https://www.nhsbsa.nhs.uk/sites/default/files/2023-07/Drug Tariff Guidance v1.7.pdf</vt:lpwstr>
      </vt:variant>
      <vt:variant>
        <vt:lpwstr/>
      </vt:variant>
      <vt:variant>
        <vt:i4>6946931</vt:i4>
      </vt:variant>
      <vt:variant>
        <vt:i4>768</vt:i4>
      </vt:variant>
      <vt:variant>
        <vt:i4>0</vt:i4>
      </vt:variant>
      <vt:variant>
        <vt:i4>5</vt:i4>
      </vt:variant>
      <vt:variant>
        <vt:lpwstr>https://www.nhsbsa.nhs.uk/sites/default/files/2023-09/Drug Tariff Part IX October 2023.pdf</vt:lpwstr>
      </vt:variant>
      <vt:variant>
        <vt:lpwstr/>
      </vt:variant>
      <vt:variant>
        <vt:i4>852045</vt:i4>
      </vt:variant>
      <vt:variant>
        <vt:i4>765</vt:i4>
      </vt:variant>
      <vt:variant>
        <vt:i4>0</vt:i4>
      </vt:variant>
      <vt:variant>
        <vt:i4>5</vt:i4>
      </vt:variant>
      <vt:variant>
        <vt:lpwstr>https://www.health.gov.au/resources/publications/stoma-appliance-scheme-application-to-list-products-on-the-schedule-benchmark-groups-1-to-7?language=en</vt:lpwstr>
      </vt:variant>
      <vt:variant>
        <vt:lpwstr/>
      </vt:variant>
      <vt:variant>
        <vt:i4>7012405</vt:i4>
      </vt:variant>
      <vt:variant>
        <vt:i4>762</vt:i4>
      </vt:variant>
      <vt:variant>
        <vt:i4>0</vt:i4>
      </vt:variant>
      <vt:variant>
        <vt:i4>5</vt:i4>
      </vt:variant>
      <vt:variant>
        <vt:lpwstr>https://www.health.gov.au/sites/default/files/2023-07/stoma-appliance-scheme-application-and-assessment-guidelines.pdf</vt:lpwstr>
      </vt:variant>
      <vt:variant>
        <vt:lpwstr/>
      </vt:variant>
      <vt:variant>
        <vt:i4>5177395</vt:i4>
      </vt:variant>
      <vt:variant>
        <vt:i4>759</vt:i4>
      </vt:variant>
      <vt:variant>
        <vt:i4>0</vt:i4>
      </vt:variant>
      <vt:variant>
        <vt:i4>5</vt:i4>
      </vt:variant>
      <vt:variant>
        <vt:lpwstr>https://www.health.gov.au/sites/default/files/2023-04/stoma-appliance-scheme-schedule_0.pdf</vt:lpwstr>
      </vt:variant>
      <vt:variant>
        <vt:lpwstr/>
      </vt:variant>
      <vt:variant>
        <vt:i4>4194385</vt:i4>
      </vt:variant>
      <vt:variant>
        <vt:i4>756</vt:i4>
      </vt:variant>
      <vt:variant>
        <vt:i4>0</vt:i4>
      </vt:variant>
      <vt:variant>
        <vt:i4>5</vt:i4>
      </vt:variant>
      <vt:variant>
        <vt:lpwstr>https://www.health.gov.au/sites/default/files/documents/2022/10/stoma-appliance-scheme-operational-guidelines.pdf</vt:lpwstr>
      </vt:variant>
      <vt:variant>
        <vt:lpwstr/>
      </vt:variant>
      <vt:variant>
        <vt:i4>2424938</vt:i4>
      </vt:variant>
      <vt:variant>
        <vt:i4>753</vt:i4>
      </vt:variant>
      <vt:variant>
        <vt:i4>0</vt:i4>
      </vt:variant>
      <vt:variant>
        <vt:i4>5</vt:i4>
      </vt:variant>
      <vt:variant>
        <vt:lpwstr>https://www.ostomy.org/</vt:lpwstr>
      </vt:variant>
      <vt:variant>
        <vt:lpwstr/>
      </vt:variant>
      <vt:variant>
        <vt:i4>7405609</vt:i4>
      </vt:variant>
      <vt:variant>
        <vt:i4>750</vt:i4>
      </vt:variant>
      <vt:variant>
        <vt:i4>0</vt:i4>
      </vt:variant>
      <vt:variant>
        <vt:i4>5</vt:i4>
      </vt:variant>
      <vt:variant>
        <vt:lpwstr>https://urostomyassociation.org.uk/</vt:lpwstr>
      </vt:variant>
      <vt:variant>
        <vt:lpwstr/>
      </vt:variant>
      <vt:variant>
        <vt:i4>8061036</vt:i4>
      </vt:variant>
      <vt:variant>
        <vt:i4>747</vt:i4>
      </vt:variant>
      <vt:variant>
        <vt:i4>0</vt:i4>
      </vt:variant>
      <vt:variant>
        <vt:i4>5</vt:i4>
      </vt:variant>
      <vt:variant>
        <vt:lpwstr>https://ascnuk.com/default.aspx</vt:lpwstr>
      </vt:variant>
      <vt:variant>
        <vt:lpwstr/>
      </vt:variant>
      <vt:variant>
        <vt:i4>7602233</vt:i4>
      </vt:variant>
      <vt:variant>
        <vt:i4>744</vt:i4>
      </vt:variant>
      <vt:variant>
        <vt:i4>0</vt:i4>
      </vt:variant>
      <vt:variant>
        <vt:i4>5</vt:i4>
      </vt:variant>
      <vt:variant>
        <vt:lpwstr>https://iasupport.org/</vt:lpwstr>
      </vt:variant>
      <vt:variant>
        <vt:lpwstr/>
      </vt:variant>
      <vt:variant>
        <vt:i4>1966150</vt:i4>
      </vt:variant>
      <vt:variant>
        <vt:i4>741</vt:i4>
      </vt:variant>
      <vt:variant>
        <vt:i4>0</vt:i4>
      </vt:variant>
      <vt:variant>
        <vt:i4>5</vt:i4>
      </vt:variant>
      <vt:variant>
        <vt:lpwstr>https://www.colostomyuk.org/about-us/</vt:lpwstr>
      </vt:variant>
      <vt:variant>
        <vt:lpwstr/>
      </vt:variant>
      <vt:variant>
        <vt:i4>2097215</vt:i4>
      </vt:variant>
      <vt:variant>
        <vt:i4>738</vt:i4>
      </vt:variant>
      <vt:variant>
        <vt:i4>0</vt:i4>
      </vt:variant>
      <vt:variant>
        <vt:i4>5</vt:i4>
      </vt:variant>
      <vt:variant>
        <vt:lpwstr>https://www.nswstoma.org.au/online-order-form/</vt:lpwstr>
      </vt:variant>
      <vt:variant>
        <vt:lpwstr/>
      </vt:variant>
      <vt:variant>
        <vt:i4>7864358</vt:i4>
      </vt:variant>
      <vt:variant>
        <vt:i4>735</vt:i4>
      </vt:variant>
      <vt:variant>
        <vt:i4>0</vt:i4>
      </vt:variant>
      <vt:variant>
        <vt:i4>5</vt:i4>
      </vt:variant>
      <vt:variant>
        <vt:lpwstr>http://www.nhsbsa.nhs.uk/PrescriptionServices/4940.aspx</vt:lpwstr>
      </vt:variant>
      <vt:variant>
        <vt:lpwstr/>
      </vt:variant>
      <vt:variant>
        <vt:i4>5374023</vt:i4>
      </vt:variant>
      <vt:variant>
        <vt:i4>732</vt:i4>
      </vt:variant>
      <vt:variant>
        <vt:i4>0</vt:i4>
      </vt:variant>
      <vt:variant>
        <vt:i4>5</vt:i4>
      </vt:variant>
      <vt:variant>
        <vt:lpwstr>https://www.nhs.uk/nhs-services/prescriptions-and-pharmacies/who-can-get-free-prescriptions/</vt:lpwstr>
      </vt:variant>
      <vt:variant>
        <vt:lpwstr/>
      </vt:variant>
      <vt:variant>
        <vt:i4>3539000</vt:i4>
      </vt:variant>
      <vt:variant>
        <vt:i4>729</vt:i4>
      </vt:variant>
      <vt:variant>
        <vt:i4>0</vt:i4>
      </vt:variant>
      <vt:variant>
        <vt:i4>5</vt:i4>
      </vt:variant>
      <vt:variant>
        <vt:lpwstr>https://www.colostomyuk.org/information/prescriptions/</vt:lpwstr>
      </vt:variant>
      <vt:variant>
        <vt:lpwstr>:~:text=When%20you%20leave%20hospital%20you,specialist%20supplier%20or%20local%20chemist</vt:lpwstr>
      </vt:variant>
      <vt:variant>
        <vt:i4>5439594</vt:i4>
      </vt:variant>
      <vt:variant>
        <vt:i4>726</vt:i4>
      </vt:variant>
      <vt:variant>
        <vt:i4>0</vt:i4>
      </vt:variant>
      <vt:variant>
        <vt:i4>5</vt:i4>
      </vt:variant>
      <vt:variant>
        <vt:lpwstr>http://www.drugtariff.nhsbsa.nhs.uk/</vt:lpwstr>
      </vt:variant>
      <vt:variant>
        <vt:lpwstr>/00465833-DB_1/DB00465714/Part%20IXC%20-%20Stoma%20Appliances</vt:lpwstr>
      </vt:variant>
      <vt:variant>
        <vt:i4>7012455</vt:i4>
      </vt:variant>
      <vt:variant>
        <vt:i4>723</vt:i4>
      </vt:variant>
      <vt:variant>
        <vt:i4>0</vt:i4>
      </vt:variant>
      <vt:variant>
        <vt:i4>5</vt:i4>
      </vt:variant>
      <vt:variant>
        <vt:lpwstr>https://www.health.gov.au/resources/apps-and-tools/stoma-appliance-scheme/schedule</vt:lpwstr>
      </vt:variant>
      <vt:variant>
        <vt:lpwstr/>
      </vt:variant>
      <vt:variant>
        <vt:i4>5373969</vt:i4>
      </vt:variant>
      <vt:variant>
        <vt:i4>720</vt:i4>
      </vt:variant>
      <vt:variant>
        <vt:i4>0</vt:i4>
      </vt:variant>
      <vt:variant>
        <vt:i4>5</vt:i4>
      </vt:variant>
      <vt:variant>
        <vt:lpwstr>https://www.health.gov.au/our-work/stoma-appliance-scheme</vt:lpwstr>
      </vt:variant>
      <vt:variant>
        <vt:lpwstr/>
      </vt:variant>
      <vt:variant>
        <vt:i4>5636181</vt:i4>
      </vt:variant>
      <vt:variant>
        <vt:i4>711</vt:i4>
      </vt:variant>
      <vt:variant>
        <vt:i4>0</vt:i4>
      </vt:variant>
      <vt:variant>
        <vt:i4>5</vt:i4>
      </vt:variant>
      <vt:variant>
        <vt:lpwstr>https://ilct.com.au/uploads/general/Welcome-Pack/TasEquip-Standard-Equip-Request.pdf</vt:lpwstr>
      </vt:variant>
      <vt:variant>
        <vt:lpwstr/>
      </vt:variant>
      <vt:variant>
        <vt:i4>7471222</vt:i4>
      </vt:variant>
      <vt:variant>
        <vt:i4>708</vt:i4>
      </vt:variant>
      <vt:variant>
        <vt:i4>0</vt:i4>
      </vt:variant>
      <vt:variant>
        <vt:i4>5</vt:i4>
      </vt:variant>
      <vt:variant>
        <vt:lpwstr>https://health.nt.gov.au/professionals/disability-equipment-program</vt:lpwstr>
      </vt:variant>
      <vt:variant>
        <vt:lpwstr/>
      </vt:variant>
      <vt:variant>
        <vt:i4>5046298</vt:i4>
      </vt:variant>
      <vt:variant>
        <vt:i4>705</vt:i4>
      </vt:variant>
      <vt:variant>
        <vt:i4>0</vt:i4>
      </vt:variant>
      <vt:variant>
        <vt:i4>5</vt:i4>
      </vt:variant>
      <vt:variant>
        <vt:lpwstr>https://www.wa.gov.au/government/publications/referral-form-community-aids-and-equipment-program</vt:lpwstr>
      </vt:variant>
      <vt:variant>
        <vt:lpwstr/>
      </vt:variant>
      <vt:variant>
        <vt:i4>7274564</vt:i4>
      </vt:variant>
      <vt:variant>
        <vt:i4>702</vt:i4>
      </vt:variant>
      <vt:variant>
        <vt:i4>0</vt:i4>
      </vt:variant>
      <vt:variant>
        <vt:i4>5</vt:i4>
      </vt:variant>
      <vt:variant>
        <vt:lpwstr>https://equipmentprogram.sa.gov.au/__data/assets/word_doc/0017/19700/DHS-EP-Equipment-Request-Form.docx</vt:lpwstr>
      </vt:variant>
      <vt:variant>
        <vt:lpwstr/>
      </vt:variant>
      <vt:variant>
        <vt:i4>7667823</vt:i4>
      </vt:variant>
      <vt:variant>
        <vt:i4>699</vt:i4>
      </vt:variant>
      <vt:variant>
        <vt:i4>0</vt:i4>
      </vt:variant>
      <vt:variant>
        <vt:i4>5</vt:i4>
      </vt:variant>
      <vt:variant>
        <vt:lpwstr>https://www.enable.health.nsw.gov.au/prescribers/forms</vt:lpwstr>
      </vt:variant>
      <vt:variant>
        <vt:lpwstr/>
      </vt:variant>
      <vt:variant>
        <vt:i4>2031620</vt:i4>
      </vt:variant>
      <vt:variant>
        <vt:i4>696</vt:i4>
      </vt:variant>
      <vt:variant>
        <vt:i4>0</vt:i4>
      </vt:variant>
      <vt:variant>
        <vt:i4>5</vt:i4>
      </vt:variant>
      <vt:variant>
        <vt:lpwstr>https://swep.bhs.org.au/other-relevant-documents.php</vt:lpwstr>
      </vt:variant>
      <vt:variant>
        <vt:lpwstr/>
      </vt:variant>
      <vt:variant>
        <vt:i4>3997738</vt:i4>
      </vt:variant>
      <vt:variant>
        <vt:i4>693</vt:i4>
      </vt:variant>
      <vt:variant>
        <vt:i4>0</vt:i4>
      </vt:variant>
      <vt:variant>
        <vt:i4>5</vt:i4>
      </vt:variant>
      <vt:variant>
        <vt:lpwstr>https://www.health.tas.gov.au/patients/support-services-your-visit-hospital/medical-aids-and-equipment-tasequip</vt:lpwstr>
      </vt:variant>
      <vt:variant>
        <vt:lpwstr/>
      </vt:variant>
      <vt:variant>
        <vt:i4>4587536</vt:i4>
      </vt:variant>
      <vt:variant>
        <vt:i4>690</vt:i4>
      </vt:variant>
      <vt:variant>
        <vt:i4>0</vt:i4>
      </vt:variant>
      <vt:variant>
        <vt:i4>5</vt:i4>
      </vt:variant>
      <vt:variant>
        <vt:lpwstr>https://www.canberrahealthservices.act.gov.au/__data/assets/pdf_file/0007/1935772/ACTES-loan-equipment-scheme_accessible-FA.pdf</vt:lpwstr>
      </vt:variant>
      <vt:variant>
        <vt:lpwstr/>
      </vt:variant>
      <vt:variant>
        <vt:i4>6815794</vt:i4>
      </vt:variant>
      <vt:variant>
        <vt:i4>687</vt:i4>
      </vt:variant>
      <vt:variant>
        <vt:i4>0</vt:i4>
      </vt:variant>
      <vt:variant>
        <vt:i4>5</vt:i4>
      </vt:variant>
      <vt:variant>
        <vt:lpwstr>https://www.wa.gov.au/government/publications/referrer-information-community-aids-and-equipment-program</vt:lpwstr>
      </vt:variant>
      <vt:variant>
        <vt:lpwstr/>
      </vt:variant>
      <vt:variant>
        <vt:i4>1966150</vt:i4>
      </vt:variant>
      <vt:variant>
        <vt:i4>684</vt:i4>
      </vt:variant>
      <vt:variant>
        <vt:i4>0</vt:i4>
      </vt:variant>
      <vt:variant>
        <vt:i4>5</vt:i4>
      </vt:variant>
      <vt:variant>
        <vt:lpwstr>https://equipmentprogram.sa.gov.au/lists/dhs-equipment-program-documents</vt:lpwstr>
      </vt:variant>
      <vt:variant>
        <vt:lpwstr/>
      </vt:variant>
      <vt:variant>
        <vt:i4>2949239</vt:i4>
      </vt:variant>
      <vt:variant>
        <vt:i4>681</vt:i4>
      </vt:variant>
      <vt:variant>
        <vt:i4>0</vt:i4>
      </vt:variant>
      <vt:variant>
        <vt:i4>5</vt:i4>
      </vt:variant>
      <vt:variant>
        <vt:lpwstr>https://swep.bhs.org.au/available-items-and-subsidy.php</vt:lpwstr>
      </vt:variant>
      <vt:variant>
        <vt:lpwstr/>
      </vt:variant>
      <vt:variant>
        <vt:i4>1966140</vt:i4>
      </vt:variant>
      <vt:variant>
        <vt:i4>446</vt:i4>
      </vt:variant>
      <vt:variant>
        <vt:i4>0</vt:i4>
      </vt:variant>
      <vt:variant>
        <vt:i4>5</vt:i4>
      </vt:variant>
      <vt:variant>
        <vt:lpwstr/>
      </vt:variant>
      <vt:variant>
        <vt:lpwstr>_Toc159946031</vt:lpwstr>
      </vt:variant>
      <vt:variant>
        <vt:i4>1966140</vt:i4>
      </vt:variant>
      <vt:variant>
        <vt:i4>440</vt:i4>
      </vt:variant>
      <vt:variant>
        <vt:i4>0</vt:i4>
      </vt:variant>
      <vt:variant>
        <vt:i4>5</vt:i4>
      </vt:variant>
      <vt:variant>
        <vt:lpwstr/>
      </vt:variant>
      <vt:variant>
        <vt:lpwstr>_Toc159946030</vt:lpwstr>
      </vt:variant>
      <vt:variant>
        <vt:i4>2031676</vt:i4>
      </vt:variant>
      <vt:variant>
        <vt:i4>434</vt:i4>
      </vt:variant>
      <vt:variant>
        <vt:i4>0</vt:i4>
      </vt:variant>
      <vt:variant>
        <vt:i4>5</vt:i4>
      </vt:variant>
      <vt:variant>
        <vt:lpwstr/>
      </vt:variant>
      <vt:variant>
        <vt:lpwstr>_Toc159946029</vt:lpwstr>
      </vt:variant>
      <vt:variant>
        <vt:i4>2031676</vt:i4>
      </vt:variant>
      <vt:variant>
        <vt:i4>428</vt:i4>
      </vt:variant>
      <vt:variant>
        <vt:i4>0</vt:i4>
      </vt:variant>
      <vt:variant>
        <vt:i4>5</vt:i4>
      </vt:variant>
      <vt:variant>
        <vt:lpwstr/>
      </vt:variant>
      <vt:variant>
        <vt:lpwstr>_Toc159946028</vt:lpwstr>
      </vt:variant>
      <vt:variant>
        <vt:i4>2031676</vt:i4>
      </vt:variant>
      <vt:variant>
        <vt:i4>422</vt:i4>
      </vt:variant>
      <vt:variant>
        <vt:i4>0</vt:i4>
      </vt:variant>
      <vt:variant>
        <vt:i4>5</vt:i4>
      </vt:variant>
      <vt:variant>
        <vt:lpwstr/>
      </vt:variant>
      <vt:variant>
        <vt:lpwstr>_Toc159946027</vt:lpwstr>
      </vt:variant>
      <vt:variant>
        <vt:i4>2031676</vt:i4>
      </vt:variant>
      <vt:variant>
        <vt:i4>416</vt:i4>
      </vt:variant>
      <vt:variant>
        <vt:i4>0</vt:i4>
      </vt:variant>
      <vt:variant>
        <vt:i4>5</vt:i4>
      </vt:variant>
      <vt:variant>
        <vt:lpwstr/>
      </vt:variant>
      <vt:variant>
        <vt:lpwstr>_Toc159946026</vt:lpwstr>
      </vt:variant>
      <vt:variant>
        <vt:i4>2031676</vt:i4>
      </vt:variant>
      <vt:variant>
        <vt:i4>410</vt:i4>
      </vt:variant>
      <vt:variant>
        <vt:i4>0</vt:i4>
      </vt:variant>
      <vt:variant>
        <vt:i4>5</vt:i4>
      </vt:variant>
      <vt:variant>
        <vt:lpwstr/>
      </vt:variant>
      <vt:variant>
        <vt:lpwstr>_Toc159946025</vt:lpwstr>
      </vt:variant>
      <vt:variant>
        <vt:i4>2031676</vt:i4>
      </vt:variant>
      <vt:variant>
        <vt:i4>404</vt:i4>
      </vt:variant>
      <vt:variant>
        <vt:i4>0</vt:i4>
      </vt:variant>
      <vt:variant>
        <vt:i4>5</vt:i4>
      </vt:variant>
      <vt:variant>
        <vt:lpwstr/>
      </vt:variant>
      <vt:variant>
        <vt:lpwstr>_Toc159946024</vt:lpwstr>
      </vt:variant>
      <vt:variant>
        <vt:i4>2031676</vt:i4>
      </vt:variant>
      <vt:variant>
        <vt:i4>398</vt:i4>
      </vt:variant>
      <vt:variant>
        <vt:i4>0</vt:i4>
      </vt:variant>
      <vt:variant>
        <vt:i4>5</vt:i4>
      </vt:variant>
      <vt:variant>
        <vt:lpwstr/>
      </vt:variant>
      <vt:variant>
        <vt:lpwstr>_Toc159946023</vt:lpwstr>
      </vt:variant>
      <vt:variant>
        <vt:i4>2031676</vt:i4>
      </vt:variant>
      <vt:variant>
        <vt:i4>392</vt:i4>
      </vt:variant>
      <vt:variant>
        <vt:i4>0</vt:i4>
      </vt:variant>
      <vt:variant>
        <vt:i4>5</vt:i4>
      </vt:variant>
      <vt:variant>
        <vt:lpwstr/>
      </vt:variant>
      <vt:variant>
        <vt:lpwstr>_Toc159946022</vt:lpwstr>
      </vt:variant>
      <vt:variant>
        <vt:i4>2031676</vt:i4>
      </vt:variant>
      <vt:variant>
        <vt:i4>386</vt:i4>
      </vt:variant>
      <vt:variant>
        <vt:i4>0</vt:i4>
      </vt:variant>
      <vt:variant>
        <vt:i4>5</vt:i4>
      </vt:variant>
      <vt:variant>
        <vt:lpwstr/>
      </vt:variant>
      <vt:variant>
        <vt:lpwstr>_Toc159946021</vt:lpwstr>
      </vt:variant>
      <vt:variant>
        <vt:i4>2031676</vt:i4>
      </vt:variant>
      <vt:variant>
        <vt:i4>380</vt:i4>
      </vt:variant>
      <vt:variant>
        <vt:i4>0</vt:i4>
      </vt:variant>
      <vt:variant>
        <vt:i4>5</vt:i4>
      </vt:variant>
      <vt:variant>
        <vt:lpwstr/>
      </vt:variant>
      <vt:variant>
        <vt:lpwstr>_Toc159946020</vt:lpwstr>
      </vt:variant>
      <vt:variant>
        <vt:i4>1835068</vt:i4>
      </vt:variant>
      <vt:variant>
        <vt:i4>374</vt:i4>
      </vt:variant>
      <vt:variant>
        <vt:i4>0</vt:i4>
      </vt:variant>
      <vt:variant>
        <vt:i4>5</vt:i4>
      </vt:variant>
      <vt:variant>
        <vt:lpwstr/>
      </vt:variant>
      <vt:variant>
        <vt:lpwstr>_Toc159946019</vt:lpwstr>
      </vt:variant>
      <vt:variant>
        <vt:i4>1835068</vt:i4>
      </vt:variant>
      <vt:variant>
        <vt:i4>368</vt:i4>
      </vt:variant>
      <vt:variant>
        <vt:i4>0</vt:i4>
      </vt:variant>
      <vt:variant>
        <vt:i4>5</vt:i4>
      </vt:variant>
      <vt:variant>
        <vt:lpwstr/>
      </vt:variant>
      <vt:variant>
        <vt:lpwstr>_Toc159946018</vt:lpwstr>
      </vt:variant>
      <vt:variant>
        <vt:i4>1835068</vt:i4>
      </vt:variant>
      <vt:variant>
        <vt:i4>362</vt:i4>
      </vt:variant>
      <vt:variant>
        <vt:i4>0</vt:i4>
      </vt:variant>
      <vt:variant>
        <vt:i4>5</vt:i4>
      </vt:variant>
      <vt:variant>
        <vt:lpwstr/>
      </vt:variant>
      <vt:variant>
        <vt:lpwstr>_Toc159946017</vt:lpwstr>
      </vt:variant>
      <vt:variant>
        <vt:i4>1835068</vt:i4>
      </vt:variant>
      <vt:variant>
        <vt:i4>356</vt:i4>
      </vt:variant>
      <vt:variant>
        <vt:i4>0</vt:i4>
      </vt:variant>
      <vt:variant>
        <vt:i4>5</vt:i4>
      </vt:variant>
      <vt:variant>
        <vt:lpwstr/>
      </vt:variant>
      <vt:variant>
        <vt:lpwstr>_Toc159946016</vt:lpwstr>
      </vt:variant>
      <vt:variant>
        <vt:i4>1835068</vt:i4>
      </vt:variant>
      <vt:variant>
        <vt:i4>350</vt:i4>
      </vt:variant>
      <vt:variant>
        <vt:i4>0</vt:i4>
      </vt:variant>
      <vt:variant>
        <vt:i4>5</vt:i4>
      </vt:variant>
      <vt:variant>
        <vt:lpwstr/>
      </vt:variant>
      <vt:variant>
        <vt:lpwstr>_Toc159946015</vt:lpwstr>
      </vt:variant>
      <vt:variant>
        <vt:i4>1835068</vt:i4>
      </vt:variant>
      <vt:variant>
        <vt:i4>344</vt:i4>
      </vt:variant>
      <vt:variant>
        <vt:i4>0</vt:i4>
      </vt:variant>
      <vt:variant>
        <vt:i4>5</vt:i4>
      </vt:variant>
      <vt:variant>
        <vt:lpwstr/>
      </vt:variant>
      <vt:variant>
        <vt:lpwstr>_Toc159946014</vt:lpwstr>
      </vt:variant>
      <vt:variant>
        <vt:i4>1835068</vt:i4>
      </vt:variant>
      <vt:variant>
        <vt:i4>338</vt:i4>
      </vt:variant>
      <vt:variant>
        <vt:i4>0</vt:i4>
      </vt:variant>
      <vt:variant>
        <vt:i4>5</vt:i4>
      </vt:variant>
      <vt:variant>
        <vt:lpwstr/>
      </vt:variant>
      <vt:variant>
        <vt:lpwstr>_Toc159946013</vt:lpwstr>
      </vt:variant>
      <vt:variant>
        <vt:i4>1835068</vt:i4>
      </vt:variant>
      <vt:variant>
        <vt:i4>332</vt:i4>
      </vt:variant>
      <vt:variant>
        <vt:i4>0</vt:i4>
      </vt:variant>
      <vt:variant>
        <vt:i4>5</vt:i4>
      </vt:variant>
      <vt:variant>
        <vt:lpwstr/>
      </vt:variant>
      <vt:variant>
        <vt:lpwstr>_Toc159946012</vt:lpwstr>
      </vt:variant>
      <vt:variant>
        <vt:i4>1835068</vt:i4>
      </vt:variant>
      <vt:variant>
        <vt:i4>326</vt:i4>
      </vt:variant>
      <vt:variant>
        <vt:i4>0</vt:i4>
      </vt:variant>
      <vt:variant>
        <vt:i4>5</vt:i4>
      </vt:variant>
      <vt:variant>
        <vt:lpwstr/>
      </vt:variant>
      <vt:variant>
        <vt:lpwstr>_Toc159946011</vt:lpwstr>
      </vt:variant>
      <vt:variant>
        <vt:i4>1835068</vt:i4>
      </vt:variant>
      <vt:variant>
        <vt:i4>320</vt:i4>
      </vt:variant>
      <vt:variant>
        <vt:i4>0</vt:i4>
      </vt:variant>
      <vt:variant>
        <vt:i4>5</vt:i4>
      </vt:variant>
      <vt:variant>
        <vt:lpwstr/>
      </vt:variant>
      <vt:variant>
        <vt:lpwstr>_Toc159946010</vt:lpwstr>
      </vt:variant>
      <vt:variant>
        <vt:i4>1900604</vt:i4>
      </vt:variant>
      <vt:variant>
        <vt:i4>314</vt:i4>
      </vt:variant>
      <vt:variant>
        <vt:i4>0</vt:i4>
      </vt:variant>
      <vt:variant>
        <vt:i4>5</vt:i4>
      </vt:variant>
      <vt:variant>
        <vt:lpwstr/>
      </vt:variant>
      <vt:variant>
        <vt:lpwstr>_Toc159946009</vt:lpwstr>
      </vt:variant>
      <vt:variant>
        <vt:i4>1900604</vt:i4>
      </vt:variant>
      <vt:variant>
        <vt:i4>308</vt:i4>
      </vt:variant>
      <vt:variant>
        <vt:i4>0</vt:i4>
      </vt:variant>
      <vt:variant>
        <vt:i4>5</vt:i4>
      </vt:variant>
      <vt:variant>
        <vt:lpwstr/>
      </vt:variant>
      <vt:variant>
        <vt:lpwstr>_Toc159946008</vt:lpwstr>
      </vt:variant>
      <vt:variant>
        <vt:i4>1900604</vt:i4>
      </vt:variant>
      <vt:variant>
        <vt:i4>302</vt:i4>
      </vt:variant>
      <vt:variant>
        <vt:i4>0</vt:i4>
      </vt:variant>
      <vt:variant>
        <vt:i4>5</vt:i4>
      </vt:variant>
      <vt:variant>
        <vt:lpwstr/>
      </vt:variant>
      <vt:variant>
        <vt:lpwstr>_Toc159946007</vt:lpwstr>
      </vt:variant>
      <vt:variant>
        <vt:i4>1900604</vt:i4>
      </vt:variant>
      <vt:variant>
        <vt:i4>296</vt:i4>
      </vt:variant>
      <vt:variant>
        <vt:i4>0</vt:i4>
      </vt:variant>
      <vt:variant>
        <vt:i4>5</vt:i4>
      </vt:variant>
      <vt:variant>
        <vt:lpwstr/>
      </vt:variant>
      <vt:variant>
        <vt:lpwstr>_Toc159946006</vt:lpwstr>
      </vt:variant>
      <vt:variant>
        <vt:i4>1900604</vt:i4>
      </vt:variant>
      <vt:variant>
        <vt:i4>290</vt:i4>
      </vt:variant>
      <vt:variant>
        <vt:i4>0</vt:i4>
      </vt:variant>
      <vt:variant>
        <vt:i4>5</vt:i4>
      </vt:variant>
      <vt:variant>
        <vt:lpwstr/>
      </vt:variant>
      <vt:variant>
        <vt:lpwstr>_Toc159946005</vt:lpwstr>
      </vt:variant>
      <vt:variant>
        <vt:i4>1900604</vt:i4>
      </vt:variant>
      <vt:variant>
        <vt:i4>284</vt:i4>
      </vt:variant>
      <vt:variant>
        <vt:i4>0</vt:i4>
      </vt:variant>
      <vt:variant>
        <vt:i4>5</vt:i4>
      </vt:variant>
      <vt:variant>
        <vt:lpwstr/>
      </vt:variant>
      <vt:variant>
        <vt:lpwstr>_Toc159946004</vt:lpwstr>
      </vt:variant>
      <vt:variant>
        <vt:i4>1900604</vt:i4>
      </vt:variant>
      <vt:variant>
        <vt:i4>278</vt:i4>
      </vt:variant>
      <vt:variant>
        <vt:i4>0</vt:i4>
      </vt:variant>
      <vt:variant>
        <vt:i4>5</vt:i4>
      </vt:variant>
      <vt:variant>
        <vt:lpwstr/>
      </vt:variant>
      <vt:variant>
        <vt:lpwstr>_Toc159946003</vt:lpwstr>
      </vt:variant>
      <vt:variant>
        <vt:i4>1900604</vt:i4>
      </vt:variant>
      <vt:variant>
        <vt:i4>272</vt:i4>
      </vt:variant>
      <vt:variant>
        <vt:i4>0</vt:i4>
      </vt:variant>
      <vt:variant>
        <vt:i4>5</vt:i4>
      </vt:variant>
      <vt:variant>
        <vt:lpwstr/>
      </vt:variant>
      <vt:variant>
        <vt:lpwstr>_Toc159946002</vt:lpwstr>
      </vt:variant>
      <vt:variant>
        <vt:i4>1900604</vt:i4>
      </vt:variant>
      <vt:variant>
        <vt:i4>266</vt:i4>
      </vt:variant>
      <vt:variant>
        <vt:i4>0</vt:i4>
      </vt:variant>
      <vt:variant>
        <vt:i4>5</vt:i4>
      </vt:variant>
      <vt:variant>
        <vt:lpwstr/>
      </vt:variant>
      <vt:variant>
        <vt:lpwstr>_Toc159946001</vt:lpwstr>
      </vt:variant>
      <vt:variant>
        <vt:i4>1900604</vt:i4>
      </vt:variant>
      <vt:variant>
        <vt:i4>260</vt:i4>
      </vt:variant>
      <vt:variant>
        <vt:i4>0</vt:i4>
      </vt:variant>
      <vt:variant>
        <vt:i4>5</vt:i4>
      </vt:variant>
      <vt:variant>
        <vt:lpwstr/>
      </vt:variant>
      <vt:variant>
        <vt:lpwstr>_Toc159946000</vt:lpwstr>
      </vt:variant>
      <vt:variant>
        <vt:i4>1507381</vt:i4>
      </vt:variant>
      <vt:variant>
        <vt:i4>254</vt:i4>
      </vt:variant>
      <vt:variant>
        <vt:i4>0</vt:i4>
      </vt:variant>
      <vt:variant>
        <vt:i4>5</vt:i4>
      </vt:variant>
      <vt:variant>
        <vt:lpwstr/>
      </vt:variant>
      <vt:variant>
        <vt:lpwstr>_Toc159945999</vt:lpwstr>
      </vt:variant>
      <vt:variant>
        <vt:i4>1507381</vt:i4>
      </vt:variant>
      <vt:variant>
        <vt:i4>248</vt:i4>
      </vt:variant>
      <vt:variant>
        <vt:i4>0</vt:i4>
      </vt:variant>
      <vt:variant>
        <vt:i4>5</vt:i4>
      </vt:variant>
      <vt:variant>
        <vt:lpwstr/>
      </vt:variant>
      <vt:variant>
        <vt:lpwstr>_Toc159945998</vt:lpwstr>
      </vt:variant>
      <vt:variant>
        <vt:i4>1507381</vt:i4>
      </vt:variant>
      <vt:variant>
        <vt:i4>239</vt:i4>
      </vt:variant>
      <vt:variant>
        <vt:i4>0</vt:i4>
      </vt:variant>
      <vt:variant>
        <vt:i4>5</vt:i4>
      </vt:variant>
      <vt:variant>
        <vt:lpwstr/>
      </vt:variant>
      <vt:variant>
        <vt:lpwstr>_Toc159945997</vt:lpwstr>
      </vt:variant>
      <vt:variant>
        <vt:i4>1507381</vt:i4>
      </vt:variant>
      <vt:variant>
        <vt:i4>233</vt:i4>
      </vt:variant>
      <vt:variant>
        <vt:i4>0</vt:i4>
      </vt:variant>
      <vt:variant>
        <vt:i4>5</vt:i4>
      </vt:variant>
      <vt:variant>
        <vt:lpwstr/>
      </vt:variant>
      <vt:variant>
        <vt:lpwstr>_Toc159945996</vt:lpwstr>
      </vt:variant>
      <vt:variant>
        <vt:i4>1507381</vt:i4>
      </vt:variant>
      <vt:variant>
        <vt:i4>227</vt:i4>
      </vt:variant>
      <vt:variant>
        <vt:i4>0</vt:i4>
      </vt:variant>
      <vt:variant>
        <vt:i4>5</vt:i4>
      </vt:variant>
      <vt:variant>
        <vt:lpwstr/>
      </vt:variant>
      <vt:variant>
        <vt:lpwstr>_Toc159945995</vt:lpwstr>
      </vt:variant>
      <vt:variant>
        <vt:i4>1507381</vt:i4>
      </vt:variant>
      <vt:variant>
        <vt:i4>221</vt:i4>
      </vt:variant>
      <vt:variant>
        <vt:i4>0</vt:i4>
      </vt:variant>
      <vt:variant>
        <vt:i4>5</vt:i4>
      </vt:variant>
      <vt:variant>
        <vt:lpwstr/>
      </vt:variant>
      <vt:variant>
        <vt:lpwstr>_Toc159945994</vt:lpwstr>
      </vt:variant>
      <vt:variant>
        <vt:i4>1507381</vt:i4>
      </vt:variant>
      <vt:variant>
        <vt:i4>215</vt:i4>
      </vt:variant>
      <vt:variant>
        <vt:i4>0</vt:i4>
      </vt:variant>
      <vt:variant>
        <vt:i4>5</vt:i4>
      </vt:variant>
      <vt:variant>
        <vt:lpwstr/>
      </vt:variant>
      <vt:variant>
        <vt:lpwstr>_Toc159945993</vt:lpwstr>
      </vt:variant>
      <vt:variant>
        <vt:i4>1507381</vt:i4>
      </vt:variant>
      <vt:variant>
        <vt:i4>209</vt:i4>
      </vt:variant>
      <vt:variant>
        <vt:i4>0</vt:i4>
      </vt:variant>
      <vt:variant>
        <vt:i4>5</vt:i4>
      </vt:variant>
      <vt:variant>
        <vt:lpwstr/>
      </vt:variant>
      <vt:variant>
        <vt:lpwstr>_Toc159945992</vt:lpwstr>
      </vt:variant>
      <vt:variant>
        <vt:i4>1507381</vt:i4>
      </vt:variant>
      <vt:variant>
        <vt:i4>203</vt:i4>
      </vt:variant>
      <vt:variant>
        <vt:i4>0</vt:i4>
      </vt:variant>
      <vt:variant>
        <vt:i4>5</vt:i4>
      </vt:variant>
      <vt:variant>
        <vt:lpwstr/>
      </vt:variant>
      <vt:variant>
        <vt:lpwstr>_Toc159945991</vt:lpwstr>
      </vt:variant>
      <vt:variant>
        <vt:i4>1507381</vt:i4>
      </vt:variant>
      <vt:variant>
        <vt:i4>197</vt:i4>
      </vt:variant>
      <vt:variant>
        <vt:i4>0</vt:i4>
      </vt:variant>
      <vt:variant>
        <vt:i4>5</vt:i4>
      </vt:variant>
      <vt:variant>
        <vt:lpwstr/>
      </vt:variant>
      <vt:variant>
        <vt:lpwstr>_Toc159945990</vt:lpwstr>
      </vt:variant>
      <vt:variant>
        <vt:i4>1441845</vt:i4>
      </vt:variant>
      <vt:variant>
        <vt:i4>191</vt:i4>
      </vt:variant>
      <vt:variant>
        <vt:i4>0</vt:i4>
      </vt:variant>
      <vt:variant>
        <vt:i4>5</vt:i4>
      </vt:variant>
      <vt:variant>
        <vt:lpwstr/>
      </vt:variant>
      <vt:variant>
        <vt:lpwstr>_Toc159945989</vt:lpwstr>
      </vt:variant>
      <vt:variant>
        <vt:i4>1441845</vt:i4>
      </vt:variant>
      <vt:variant>
        <vt:i4>185</vt:i4>
      </vt:variant>
      <vt:variant>
        <vt:i4>0</vt:i4>
      </vt:variant>
      <vt:variant>
        <vt:i4>5</vt:i4>
      </vt:variant>
      <vt:variant>
        <vt:lpwstr/>
      </vt:variant>
      <vt:variant>
        <vt:lpwstr>_Toc159945988</vt:lpwstr>
      </vt:variant>
      <vt:variant>
        <vt:i4>1441845</vt:i4>
      </vt:variant>
      <vt:variant>
        <vt:i4>179</vt:i4>
      </vt:variant>
      <vt:variant>
        <vt:i4>0</vt:i4>
      </vt:variant>
      <vt:variant>
        <vt:i4>5</vt:i4>
      </vt:variant>
      <vt:variant>
        <vt:lpwstr/>
      </vt:variant>
      <vt:variant>
        <vt:lpwstr>_Toc159945987</vt:lpwstr>
      </vt:variant>
      <vt:variant>
        <vt:i4>1441845</vt:i4>
      </vt:variant>
      <vt:variant>
        <vt:i4>173</vt:i4>
      </vt:variant>
      <vt:variant>
        <vt:i4>0</vt:i4>
      </vt:variant>
      <vt:variant>
        <vt:i4>5</vt:i4>
      </vt:variant>
      <vt:variant>
        <vt:lpwstr/>
      </vt:variant>
      <vt:variant>
        <vt:lpwstr>_Toc159945986</vt:lpwstr>
      </vt:variant>
      <vt:variant>
        <vt:i4>1441845</vt:i4>
      </vt:variant>
      <vt:variant>
        <vt:i4>167</vt:i4>
      </vt:variant>
      <vt:variant>
        <vt:i4>0</vt:i4>
      </vt:variant>
      <vt:variant>
        <vt:i4>5</vt:i4>
      </vt:variant>
      <vt:variant>
        <vt:lpwstr/>
      </vt:variant>
      <vt:variant>
        <vt:lpwstr>_Toc159945985</vt:lpwstr>
      </vt:variant>
      <vt:variant>
        <vt:i4>1441845</vt:i4>
      </vt:variant>
      <vt:variant>
        <vt:i4>161</vt:i4>
      </vt:variant>
      <vt:variant>
        <vt:i4>0</vt:i4>
      </vt:variant>
      <vt:variant>
        <vt:i4>5</vt:i4>
      </vt:variant>
      <vt:variant>
        <vt:lpwstr/>
      </vt:variant>
      <vt:variant>
        <vt:lpwstr>_Toc159945984</vt:lpwstr>
      </vt:variant>
      <vt:variant>
        <vt:i4>1441845</vt:i4>
      </vt:variant>
      <vt:variant>
        <vt:i4>155</vt:i4>
      </vt:variant>
      <vt:variant>
        <vt:i4>0</vt:i4>
      </vt:variant>
      <vt:variant>
        <vt:i4>5</vt:i4>
      </vt:variant>
      <vt:variant>
        <vt:lpwstr/>
      </vt:variant>
      <vt:variant>
        <vt:lpwstr>_Toc159945983</vt:lpwstr>
      </vt:variant>
      <vt:variant>
        <vt:i4>1441845</vt:i4>
      </vt:variant>
      <vt:variant>
        <vt:i4>149</vt:i4>
      </vt:variant>
      <vt:variant>
        <vt:i4>0</vt:i4>
      </vt:variant>
      <vt:variant>
        <vt:i4>5</vt:i4>
      </vt:variant>
      <vt:variant>
        <vt:lpwstr/>
      </vt:variant>
      <vt:variant>
        <vt:lpwstr>_Toc159945982</vt:lpwstr>
      </vt:variant>
      <vt:variant>
        <vt:i4>1441845</vt:i4>
      </vt:variant>
      <vt:variant>
        <vt:i4>143</vt:i4>
      </vt:variant>
      <vt:variant>
        <vt:i4>0</vt:i4>
      </vt:variant>
      <vt:variant>
        <vt:i4>5</vt:i4>
      </vt:variant>
      <vt:variant>
        <vt:lpwstr/>
      </vt:variant>
      <vt:variant>
        <vt:lpwstr>_Toc159945981</vt:lpwstr>
      </vt:variant>
      <vt:variant>
        <vt:i4>1441845</vt:i4>
      </vt:variant>
      <vt:variant>
        <vt:i4>137</vt:i4>
      </vt:variant>
      <vt:variant>
        <vt:i4>0</vt:i4>
      </vt:variant>
      <vt:variant>
        <vt:i4>5</vt:i4>
      </vt:variant>
      <vt:variant>
        <vt:lpwstr/>
      </vt:variant>
      <vt:variant>
        <vt:lpwstr>_Toc159945980</vt:lpwstr>
      </vt:variant>
      <vt:variant>
        <vt:i4>1638453</vt:i4>
      </vt:variant>
      <vt:variant>
        <vt:i4>131</vt:i4>
      </vt:variant>
      <vt:variant>
        <vt:i4>0</vt:i4>
      </vt:variant>
      <vt:variant>
        <vt:i4>5</vt:i4>
      </vt:variant>
      <vt:variant>
        <vt:lpwstr/>
      </vt:variant>
      <vt:variant>
        <vt:lpwstr>_Toc159945979</vt:lpwstr>
      </vt:variant>
      <vt:variant>
        <vt:i4>1638453</vt:i4>
      </vt:variant>
      <vt:variant>
        <vt:i4>125</vt:i4>
      </vt:variant>
      <vt:variant>
        <vt:i4>0</vt:i4>
      </vt:variant>
      <vt:variant>
        <vt:i4>5</vt:i4>
      </vt:variant>
      <vt:variant>
        <vt:lpwstr/>
      </vt:variant>
      <vt:variant>
        <vt:lpwstr>_Toc159945978</vt:lpwstr>
      </vt:variant>
      <vt:variant>
        <vt:i4>1638453</vt:i4>
      </vt:variant>
      <vt:variant>
        <vt:i4>119</vt:i4>
      </vt:variant>
      <vt:variant>
        <vt:i4>0</vt:i4>
      </vt:variant>
      <vt:variant>
        <vt:i4>5</vt:i4>
      </vt:variant>
      <vt:variant>
        <vt:lpwstr/>
      </vt:variant>
      <vt:variant>
        <vt:lpwstr>_Toc159945977</vt:lpwstr>
      </vt:variant>
      <vt:variant>
        <vt:i4>1638453</vt:i4>
      </vt:variant>
      <vt:variant>
        <vt:i4>110</vt:i4>
      </vt:variant>
      <vt:variant>
        <vt:i4>0</vt:i4>
      </vt:variant>
      <vt:variant>
        <vt:i4>5</vt:i4>
      </vt:variant>
      <vt:variant>
        <vt:lpwstr/>
      </vt:variant>
      <vt:variant>
        <vt:lpwstr>_Toc159945976</vt:lpwstr>
      </vt:variant>
      <vt:variant>
        <vt:i4>1638453</vt:i4>
      </vt:variant>
      <vt:variant>
        <vt:i4>104</vt:i4>
      </vt:variant>
      <vt:variant>
        <vt:i4>0</vt:i4>
      </vt:variant>
      <vt:variant>
        <vt:i4>5</vt:i4>
      </vt:variant>
      <vt:variant>
        <vt:lpwstr/>
      </vt:variant>
      <vt:variant>
        <vt:lpwstr>_Toc159945975</vt:lpwstr>
      </vt:variant>
      <vt:variant>
        <vt:i4>1638453</vt:i4>
      </vt:variant>
      <vt:variant>
        <vt:i4>98</vt:i4>
      </vt:variant>
      <vt:variant>
        <vt:i4>0</vt:i4>
      </vt:variant>
      <vt:variant>
        <vt:i4>5</vt:i4>
      </vt:variant>
      <vt:variant>
        <vt:lpwstr/>
      </vt:variant>
      <vt:variant>
        <vt:lpwstr>_Toc159945974</vt:lpwstr>
      </vt:variant>
      <vt:variant>
        <vt:i4>1638453</vt:i4>
      </vt:variant>
      <vt:variant>
        <vt:i4>92</vt:i4>
      </vt:variant>
      <vt:variant>
        <vt:i4>0</vt:i4>
      </vt:variant>
      <vt:variant>
        <vt:i4>5</vt:i4>
      </vt:variant>
      <vt:variant>
        <vt:lpwstr/>
      </vt:variant>
      <vt:variant>
        <vt:lpwstr>_Toc159945973</vt:lpwstr>
      </vt:variant>
      <vt:variant>
        <vt:i4>1638453</vt:i4>
      </vt:variant>
      <vt:variant>
        <vt:i4>86</vt:i4>
      </vt:variant>
      <vt:variant>
        <vt:i4>0</vt:i4>
      </vt:variant>
      <vt:variant>
        <vt:i4>5</vt:i4>
      </vt:variant>
      <vt:variant>
        <vt:lpwstr/>
      </vt:variant>
      <vt:variant>
        <vt:lpwstr>_Toc159945972</vt:lpwstr>
      </vt:variant>
      <vt:variant>
        <vt:i4>1638453</vt:i4>
      </vt:variant>
      <vt:variant>
        <vt:i4>80</vt:i4>
      </vt:variant>
      <vt:variant>
        <vt:i4>0</vt:i4>
      </vt:variant>
      <vt:variant>
        <vt:i4>5</vt:i4>
      </vt:variant>
      <vt:variant>
        <vt:lpwstr/>
      </vt:variant>
      <vt:variant>
        <vt:lpwstr>_Toc159945971</vt:lpwstr>
      </vt:variant>
      <vt:variant>
        <vt:i4>1638453</vt:i4>
      </vt:variant>
      <vt:variant>
        <vt:i4>74</vt:i4>
      </vt:variant>
      <vt:variant>
        <vt:i4>0</vt:i4>
      </vt:variant>
      <vt:variant>
        <vt:i4>5</vt:i4>
      </vt:variant>
      <vt:variant>
        <vt:lpwstr/>
      </vt:variant>
      <vt:variant>
        <vt:lpwstr>_Toc159945970</vt:lpwstr>
      </vt:variant>
      <vt:variant>
        <vt:i4>1572917</vt:i4>
      </vt:variant>
      <vt:variant>
        <vt:i4>68</vt:i4>
      </vt:variant>
      <vt:variant>
        <vt:i4>0</vt:i4>
      </vt:variant>
      <vt:variant>
        <vt:i4>5</vt:i4>
      </vt:variant>
      <vt:variant>
        <vt:lpwstr/>
      </vt:variant>
      <vt:variant>
        <vt:lpwstr>_Toc159945969</vt:lpwstr>
      </vt:variant>
      <vt:variant>
        <vt:i4>1572917</vt:i4>
      </vt:variant>
      <vt:variant>
        <vt:i4>62</vt:i4>
      </vt:variant>
      <vt:variant>
        <vt:i4>0</vt:i4>
      </vt:variant>
      <vt:variant>
        <vt:i4>5</vt:i4>
      </vt:variant>
      <vt:variant>
        <vt:lpwstr/>
      </vt:variant>
      <vt:variant>
        <vt:lpwstr>_Toc159945968</vt:lpwstr>
      </vt:variant>
      <vt:variant>
        <vt:i4>1572917</vt:i4>
      </vt:variant>
      <vt:variant>
        <vt:i4>56</vt:i4>
      </vt:variant>
      <vt:variant>
        <vt:i4>0</vt:i4>
      </vt:variant>
      <vt:variant>
        <vt:i4>5</vt:i4>
      </vt:variant>
      <vt:variant>
        <vt:lpwstr/>
      </vt:variant>
      <vt:variant>
        <vt:lpwstr>_Toc159945967</vt:lpwstr>
      </vt:variant>
      <vt:variant>
        <vt:i4>1572917</vt:i4>
      </vt:variant>
      <vt:variant>
        <vt:i4>50</vt:i4>
      </vt:variant>
      <vt:variant>
        <vt:i4>0</vt:i4>
      </vt:variant>
      <vt:variant>
        <vt:i4>5</vt:i4>
      </vt:variant>
      <vt:variant>
        <vt:lpwstr/>
      </vt:variant>
      <vt:variant>
        <vt:lpwstr>_Toc159945966</vt:lpwstr>
      </vt:variant>
      <vt:variant>
        <vt:i4>1572917</vt:i4>
      </vt:variant>
      <vt:variant>
        <vt:i4>44</vt:i4>
      </vt:variant>
      <vt:variant>
        <vt:i4>0</vt:i4>
      </vt:variant>
      <vt:variant>
        <vt:i4>5</vt:i4>
      </vt:variant>
      <vt:variant>
        <vt:lpwstr/>
      </vt:variant>
      <vt:variant>
        <vt:lpwstr>_Toc159945965</vt:lpwstr>
      </vt:variant>
      <vt:variant>
        <vt:i4>1572917</vt:i4>
      </vt:variant>
      <vt:variant>
        <vt:i4>38</vt:i4>
      </vt:variant>
      <vt:variant>
        <vt:i4>0</vt:i4>
      </vt:variant>
      <vt:variant>
        <vt:i4>5</vt:i4>
      </vt:variant>
      <vt:variant>
        <vt:lpwstr/>
      </vt:variant>
      <vt:variant>
        <vt:lpwstr>_Toc159945964</vt:lpwstr>
      </vt:variant>
      <vt:variant>
        <vt:i4>1572917</vt:i4>
      </vt:variant>
      <vt:variant>
        <vt:i4>32</vt:i4>
      </vt:variant>
      <vt:variant>
        <vt:i4>0</vt:i4>
      </vt:variant>
      <vt:variant>
        <vt:i4>5</vt:i4>
      </vt:variant>
      <vt:variant>
        <vt:lpwstr/>
      </vt:variant>
      <vt:variant>
        <vt:lpwstr>_Toc159945963</vt:lpwstr>
      </vt:variant>
      <vt:variant>
        <vt:i4>1572917</vt:i4>
      </vt:variant>
      <vt:variant>
        <vt:i4>26</vt:i4>
      </vt:variant>
      <vt:variant>
        <vt:i4>0</vt:i4>
      </vt:variant>
      <vt:variant>
        <vt:i4>5</vt:i4>
      </vt:variant>
      <vt:variant>
        <vt:lpwstr/>
      </vt:variant>
      <vt:variant>
        <vt:lpwstr>_Toc159945962</vt:lpwstr>
      </vt:variant>
      <vt:variant>
        <vt:i4>1572917</vt:i4>
      </vt:variant>
      <vt:variant>
        <vt:i4>20</vt:i4>
      </vt:variant>
      <vt:variant>
        <vt:i4>0</vt:i4>
      </vt:variant>
      <vt:variant>
        <vt:i4>5</vt:i4>
      </vt:variant>
      <vt:variant>
        <vt:lpwstr/>
      </vt:variant>
      <vt:variant>
        <vt:lpwstr>_Toc159945961</vt:lpwstr>
      </vt:variant>
      <vt:variant>
        <vt:i4>1572917</vt:i4>
      </vt:variant>
      <vt:variant>
        <vt:i4>14</vt:i4>
      </vt:variant>
      <vt:variant>
        <vt:i4>0</vt:i4>
      </vt:variant>
      <vt:variant>
        <vt:i4>5</vt:i4>
      </vt:variant>
      <vt:variant>
        <vt:lpwstr/>
      </vt:variant>
      <vt:variant>
        <vt:lpwstr>_Toc159945960</vt:lpwstr>
      </vt:variant>
      <vt:variant>
        <vt:i4>1769525</vt:i4>
      </vt:variant>
      <vt:variant>
        <vt:i4>8</vt:i4>
      </vt:variant>
      <vt:variant>
        <vt:i4>0</vt:i4>
      </vt:variant>
      <vt:variant>
        <vt:i4>5</vt:i4>
      </vt:variant>
      <vt:variant>
        <vt:lpwstr/>
      </vt:variant>
      <vt:variant>
        <vt:lpwstr>_Toc159945959</vt:lpwstr>
      </vt:variant>
      <vt:variant>
        <vt:i4>1769525</vt:i4>
      </vt:variant>
      <vt:variant>
        <vt:i4>2</vt:i4>
      </vt:variant>
      <vt:variant>
        <vt:i4>0</vt:i4>
      </vt:variant>
      <vt:variant>
        <vt:i4>5</vt:i4>
      </vt:variant>
      <vt:variant>
        <vt:lpwstr/>
      </vt:variant>
      <vt:variant>
        <vt:lpwstr>_Toc159945958</vt:lpwstr>
      </vt:variant>
      <vt:variant>
        <vt:i4>6684729</vt:i4>
      </vt:variant>
      <vt:variant>
        <vt:i4>39</vt:i4>
      </vt:variant>
      <vt:variant>
        <vt:i4>0</vt:i4>
      </vt:variant>
      <vt:variant>
        <vt:i4>5</vt:i4>
      </vt:variant>
      <vt:variant>
        <vt:lpwstr>https://www.canceraustralia.gov.au/cancer-types/bowel-cancer/statistics</vt:lpwstr>
      </vt:variant>
      <vt:variant>
        <vt:lpwstr/>
      </vt:variant>
      <vt:variant>
        <vt:i4>131101</vt:i4>
      </vt:variant>
      <vt:variant>
        <vt:i4>36</vt:i4>
      </vt:variant>
      <vt:variant>
        <vt:i4>0</vt:i4>
      </vt:variant>
      <vt:variant>
        <vt:i4>5</vt:i4>
      </vt:variant>
      <vt:variant>
        <vt:lpwstr>https://www.aihw.gov.au/reports/mothers-babies/congenital-anomalies-in-australia/data</vt:lpwstr>
      </vt:variant>
      <vt:variant>
        <vt:lpwstr/>
      </vt:variant>
      <vt:variant>
        <vt:i4>8061044</vt:i4>
      </vt:variant>
      <vt:variant>
        <vt:i4>33</vt:i4>
      </vt:variant>
      <vt:variant>
        <vt:i4>0</vt:i4>
      </vt:variant>
      <vt:variant>
        <vt:i4>5</vt:i4>
      </vt:variant>
      <vt:variant>
        <vt:lpwstr>https://www.msaustralia.org.au/wp-content/uploads/2023/02/media-release-ms-rising-and-accelerating-in-australia.pdf</vt:lpwstr>
      </vt:variant>
      <vt:variant>
        <vt:lpwstr/>
      </vt:variant>
      <vt:variant>
        <vt:i4>3801185</vt:i4>
      </vt:variant>
      <vt:variant>
        <vt:i4>30</vt:i4>
      </vt:variant>
      <vt:variant>
        <vt:i4>0</vt:i4>
      </vt:variant>
      <vt:variant>
        <vt:i4>5</vt:i4>
      </vt:variant>
      <vt:variant>
        <vt:lpwstr>https://www.nursingtimes.net/clinical-archive/stoma-care/stoma-savings-helping-to-reduce-waste-and-spend-in-the-nhs-28-09-2022/</vt:lpwstr>
      </vt:variant>
      <vt:variant>
        <vt:lpwstr/>
      </vt:variant>
      <vt:variant>
        <vt:i4>3145768</vt:i4>
      </vt:variant>
      <vt:variant>
        <vt:i4>27</vt:i4>
      </vt:variant>
      <vt:variant>
        <vt:i4>0</vt:i4>
      </vt:variant>
      <vt:variant>
        <vt:i4>5</vt:i4>
      </vt:variant>
      <vt:variant>
        <vt:lpwstr>https://www.health.gov.au/resources/publications/stoma-appliance-scheme-deodorant-and-absorption-gelling-sachets-authorisation-form?language=en</vt:lpwstr>
      </vt:variant>
      <vt:variant>
        <vt:lpwstr/>
      </vt:variant>
      <vt:variant>
        <vt:i4>5111808</vt:i4>
      </vt:variant>
      <vt:variant>
        <vt:i4>24</vt:i4>
      </vt:variant>
      <vt:variant>
        <vt:i4>0</vt:i4>
      </vt:variant>
      <vt:variant>
        <vt:i4>5</vt:i4>
      </vt:variant>
      <vt:variant>
        <vt:lpwstr>https://www.health.gov.au/resources/publications/stoma-appliance-scheme-cleanser-wipe-authorisation-form?language=en</vt:lpwstr>
      </vt:variant>
      <vt:variant>
        <vt:lpwstr/>
      </vt:variant>
      <vt:variant>
        <vt:i4>5111901</vt:i4>
      </vt:variant>
      <vt:variant>
        <vt:i4>21</vt:i4>
      </vt:variant>
      <vt:variant>
        <vt:i4>0</vt:i4>
      </vt:variant>
      <vt:variant>
        <vt:i4>5</vt:i4>
      </vt:variant>
      <vt:variant>
        <vt:lpwstr>https://www.nswstoma.org.au/wp-content/uploads/2023/07/Garments-Discontinued-1st-October-2023.pdf</vt:lpwstr>
      </vt:variant>
      <vt:variant>
        <vt:lpwstr/>
      </vt:variant>
      <vt:variant>
        <vt:i4>71</vt:i4>
      </vt:variant>
      <vt:variant>
        <vt:i4>18</vt:i4>
      </vt:variant>
      <vt:variant>
        <vt:i4>0</vt:i4>
      </vt:variant>
      <vt:variant>
        <vt:i4>5</vt:i4>
      </vt:variant>
      <vt:variant>
        <vt:lpwstr>https://www.nswstoma.org.au/</vt:lpwstr>
      </vt:variant>
      <vt:variant>
        <vt:lpwstr/>
      </vt:variant>
      <vt:variant>
        <vt:i4>1376262</vt:i4>
      </vt:variant>
      <vt:variant>
        <vt:i4>15</vt:i4>
      </vt:variant>
      <vt:variant>
        <vt:i4>0</vt:i4>
      </vt:variant>
      <vt:variant>
        <vt:i4>5</vt:i4>
      </vt:variant>
      <vt:variant>
        <vt:lpwstr>https://www.health.gov.au/resources/publications/stoma-appliance-scheme-schedule</vt:lpwstr>
      </vt:variant>
      <vt:variant>
        <vt:lpwstr/>
      </vt:variant>
      <vt:variant>
        <vt:i4>6029322</vt:i4>
      </vt:variant>
      <vt:variant>
        <vt:i4>12</vt:i4>
      </vt:variant>
      <vt:variant>
        <vt:i4>0</vt:i4>
      </vt:variant>
      <vt:variant>
        <vt:i4>5</vt:i4>
      </vt:variant>
      <vt:variant>
        <vt:lpwstr>https://www.health.gov.au/resources/publications/stoma-appliance-scheme-consultation-outcomes?language=en</vt:lpwstr>
      </vt:variant>
      <vt:variant>
        <vt:lpwstr/>
      </vt:variant>
      <vt:variant>
        <vt:i4>4194385</vt:i4>
      </vt:variant>
      <vt:variant>
        <vt:i4>3</vt:i4>
      </vt:variant>
      <vt:variant>
        <vt:i4>0</vt:i4>
      </vt:variant>
      <vt:variant>
        <vt:i4>5</vt:i4>
      </vt:variant>
      <vt:variant>
        <vt:lpwstr>https://www.health.gov.au/sites/default/files/documents/2022/10/stoma-appliance-scheme-operational-guidelines.pdf</vt:lpwstr>
      </vt:variant>
      <vt:variant>
        <vt:lpwstr/>
      </vt:variant>
      <vt:variant>
        <vt:i4>2555938</vt:i4>
      </vt:variant>
      <vt:variant>
        <vt:i4>0</vt:i4>
      </vt:variant>
      <vt:variant>
        <vt:i4>0</vt:i4>
      </vt:variant>
      <vt:variant>
        <vt:i4>5</vt:i4>
      </vt:variant>
      <vt:variant>
        <vt:lpwstr>https://www.health.gov.au/resources/publications/stoma-appliance-scheme-utilisation-and-expenditure-data-quarterly-report-april-to-june-2023-and-end-of-financial-year-2022-23?language=en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Stoma Appliance Scheme final report</dc:title>
  <dc:subject>Review of the Stoma Appliance Scheme</dc:subject>
  <dc:creator>Australian Government Department of Health and Aged Care</dc:creator>
  <cp:keywords>stoma appliance scheme</cp:keywords>
  <dc:description/>
  <cp:revision>2</cp:revision>
  <cp:lastPrinted>2024-08-29T22:49:00Z</cp:lastPrinted>
  <dcterms:created xsi:type="dcterms:W3CDTF">2024-08-30T00:42:00Z</dcterms:created>
  <dcterms:modified xsi:type="dcterms:W3CDTF">2024-08-30T00:42:00Z</dcterms:modified>
  <cp:category/>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
  </property>
  <property fmtid="{D5CDD505-2E9C-101B-9397-08002B2CF9AE}" pid="4" name="ContentTypeId">
    <vt:lpwstr>0x01010031D215C8367D5C4D875B0EB2331BADF4</vt:lpwstr>
  </property>
</Properties>
</file>