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1DB57" w14:textId="2623987C" w:rsidR="001C0476" w:rsidRDefault="00D17643" w:rsidP="007C0CAD">
      <w:pPr>
        <w:ind w:left="-1418" w:right="-1322"/>
        <w:sectPr w:rsidR="001C0476" w:rsidSect="005C6FCA">
          <w:headerReference w:type="default" r:id="rId11"/>
          <w:footerReference w:type="default" r:id="rId12"/>
          <w:pgSz w:w="11906" w:h="16838"/>
          <w:pgMar w:top="0" w:right="1440" w:bottom="1440" w:left="1440" w:header="708" w:footer="708" w:gutter="0"/>
          <w:cols w:space="708"/>
          <w:docGrid w:linePitch="360"/>
        </w:sectPr>
      </w:pPr>
      <w:r w:rsidRPr="005C6FCA">
        <w:rPr>
          <w:noProof/>
        </w:rPr>
        <w:drawing>
          <wp:anchor distT="0" distB="0" distL="114300" distR="114300" simplePos="0" relativeHeight="251657215" behindDoc="0" locked="0" layoutInCell="1" allowOverlap="1" wp14:anchorId="46C58535" wp14:editId="35E6CBDB">
            <wp:simplePos x="0" y="0"/>
            <wp:positionH relativeFrom="page">
              <wp:posOffset>13335</wp:posOffset>
            </wp:positionH>
            <wp:positionV relativeFrom="paragraph">
              <wp:posOffset>-630877</wp:posOffset>
            </wp:positionV>
            <wp:extent cx="7547398" cy="10673255"/>
            <wp:effectExtent l="0" t="0" r="0" b="0"/>
            <wp:wrapNone/>
            <wp:docPr id="1" name="Picture 1" descr="Accelerating Access to the Best Medicines for Australians Now and into the Future: A Review of Australia's health technology assessment policies and methods for the Australian Government&#10;&#10;Recommendations summary">
              <a:extLst xmlns:a="http://schemas.openxmlformats.org/drawingml/2006/main">
                <a:ext uri="{FF2B5EF4-FFF2-40B4-BE49-F238E27FC236}">
                  <a16:creationId xmlns:a16="http://schemas.microsoft.com/office/drawing/2014/main" id="{7B16904E-7317-2F5C-0B6A-DE7F1F7F6F97}"/>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celerating Access to the Best Medicines for Australians Now and into the Future: A Review of Australia's health technology assessment policies and methods for the Australian Government&#10;&#10;Recommendations summary">
                      <a:extLst>
                        <a:ext uri="{FF2B5EF4-FFF2-40B4-BE49-F238E27FC236}">
                          <a16:creationId xmlns:a16="http://schemas.microsoft.com/office/drawing/2014/main" id="{7B16904E-7317-2F5C-0B6A-DE7F1F7F6F97}"/>
                        </a:ext>
                        <a:ext uri="{C183D7F6-B498-43B3-948B-1728B52AA6E4}">
                          <adec:decorative xmlns:adec="http://schemas.microsoft.com/office/drawing/2017/decorative" val="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47398" cy="10673255"/>
                    </a:xfrm>
                    <a:prstGeom prst="rect">
                      <a:avLst/>
                    </a:prstGeom>
                  </pic:spPr>
                </pic:pic>
              </a:graphicData>
            </a:graphic>
            <wp14:sizeRelH relativeFrom="page">
              <wp14:pctWidth>0</wp14:pctWidth>
            </wp14:sizeRelH>
            <wp14:sizeRelV relativeFrom="page">
              <wp14:pctHeight>0</wp14:pctHeight>
            </wp14:sizeRelV>
          </wp:anchor>
        </w:drawing>
      </w:r>
    </w:p>
    <w:p w14:paraId="72130189" w14:textId="140F32FC" w:rsidR="00D714A7" w:rsidRDefault="00D714A7" w:rsidP="009822AA">
      <w:pPr>
        <w:rPr>
          <w:color w:val="193A6E"/>
          <w:sz w:val="56"/>
          <w:szCs w:val="56"/>
        </w:rPr>
        <w:sectPr w:rsidR="00D714A7" w:rsidSect="00AF3FBE">
          <w:type w:val="continuous"/>
          <w:pgSz w:w="11906" w:h="16838"/>
          <w:pgMar w:top="993" w:right="1440" w:bottom="993" w:left="1440" w:header="708" w:footer="708" w:gutter="0"/>
          <w:cols w:space="708"/>
          <w:docGrid w:linePitch="360"/>
        </w:sectPr>
      </w:pPr>
      <w:bookmarkStart w:id="0" w:name="_Ref164782064"/>
      <w:bookmarkStart w:id="1" w:name="_Hlk169739770"/>
      <w:bookmarkStart w:id="2" w:name="_Hlk106733203"/>
      <w:bookmarkStart w:id="3" w:name="_Toc170210003"/>
      <w:bookmarkEnd w:id="0"/>
      <w:bookmarkEnd w:id="1"/>
    </w:p>
    <w:p w14:paraId="74935E52" w14:textId="77777777" w:rsidR="009822AA" w:rsidRPr="007E3EEF" w:rsidRDefault="009822AA" w:rsidP="009822AA">
      <w:pPr>
        <w:rPr>
          <w:color w:val="193A6E"/>
          <w:sz w:val="56"/>
          <w:szCs w:val="56"/>
        </w:rPr>
      </w:pPr>
      <w:r w:rsidRPr="007E3EEF">
        <w:rPr>
          <w:color w:val="193A6E"/>
          <w:sz w:val="56"/>
          <w:szCs w:val="56"/>
        </w:rPr>
        <w:lastRenderedPageBreak/>
        <w:t>Cover artwork</w:t>
      </w:r>
    </w:p>
    <w:p w14:paraId="0300B30C" w14:textId="515985D5" w:rsidR="009822AA" w:rsidRDefault="009822AA" w:rsidP="009822AA">
      <w:pPr>
        <w:rPr>
          <w:lang w:val="en-US"/>
        </w:rPr>
      </w:pPr>
      <w:r>
        <w:rPr>
          <w:lang w:val="en-US"/>
        </w:rPr>
        <w:t xml:space="preserve">These four designs represent culture, family, body and mind. </w:t>
      </w:r>
    </w:p>
    <w:p w14:paraId="03D347DA" w14:textId="491A1490" w:rsidR="009822AA" w:rsidRDefault="009822AA" w:rsidP="009822AA">
      <w:pPr>
        <w:rPr>
          <w:lang w:val="en-US"/>
        </w:rPr>
      </w:pPr>
      <w:r>
        <w:rPr>
          <w:lang w:val="en-US"/>
        </w:rPr>
        <w:t xml:space="preserve">Family – Family holds a great importance in Aboriginal culture. It extends beyond the immediate family to include extended mob and community members forming a stronger kinship system to establish responsibilities and connection. </w:t>
      </w:r>
    </w:p>
    <w:p w14:paraId="29CFB515" w14:textId="69F17F7A" w:rsidR="009822AA" w:rsidRDefault="009822AA" w:rsidP="009822AA">
      <w:pPr>
        <w:rPr>
          <w:lang w:val="en-US"/>
        </w:rPr>
      </w:pPr>
      <w:r>
        <w:rPr>
          <w:lang w:val="en-US"/>
        </w:rPr>
        <w:t xml:space="preserve">Community – Community provides a support system for our mob to ensure we are connected and have access to services we require. Within our communities they provide a network where traditions, cultural practices and knowledge is shared and passed down to our younger generation. </w:t>
      </w:r>
    </w:p>
    <w:p w14:paraId="06B27674" w14:textId="4522432D" w:rsidR="009822AA" w:rsidRDefault="009822AA" w:rsidP="009822AA">
      <w:pPr>
        <w:rPr>
          <w:lang w:val="en-US"/>
        </w:rPr>
      </w:pPr>
      <w:r>
        <w:rPr>
          <w:lang w:val="en-US"/>
        </w:rPr>
        <w:t xml:space="preserve">Body </w:t>
      </w:r>
      <w:r w:rsidR="00DE0248">
        <w:rPr>
          <w:lang w:val="en-US"/>
        </w:rPr>
        <w:t>–</w:t>
      </w:r>
      <w:r>
        <w:rPr>
          <w:lang w:val="en-US"/>
        </w:rPr>
        <w:t xml:space="preserve"> Ensuring our Aboriginal people have a healthy body</w:t>
      </w:r>
      <w:r w:rsidR="000B697D">
        <w:rPr>
          <w:lang w:val="en-US"/>
        </w:rPr>
        <w:t>,</w:t>
      </w:r>
      <w:r>
        <w:rPr>
          <w:lang w:val="en-US"/>
        </w:rPr>
        <w:t xml:space="preserve"> which supports active participation in community life and the transmission of cultural practices and knowledge. Promoting and maintaining a healthy body for Aboriginal people is not just for individual wellbeing but it is also deeply connected to cultural care, social cohesion and historical resilience. </w:t>
      </w:r>
    </w:p>
    <w:p w14:paraId="00C7FD79" w14:textId="4E029EC5" w:rsidR="009822AA" w:rsidRDefault="009822AA" w:rsidP="009822AA">
      <w:pPr>
        <w:rPr>
          <w:lang w:val="en-US"/>
        </w:rPr>
      </w:pPr>
      <w:r>
        <w:rPr>
          <w:lang w:val="en-US"/>
        </w:rPr>
        <w:t xml:space="preserve">Mind – Engaging in cultural practices, language, art, dancing and hunting fosters a strong sense of identity and belonging, which are crucial for mental wellbeing. </w:t>
      </w:r>
    </w:p>
    <w:p w14:paraId="50389065" w14:textId="1CCA8763" w:rsidR="009822AA" w:rsidRDefault="009822AA" w:rsidP="009822AA">
      <w:r>
        <w:rPr>
          <w:noProof/>
          <w:bdr w:val="none" w:sz="0" w:space="0" w:color="auto" w:frame="1"/>
        </w:rPr>
        <w:drawing>
          <wp:anchor distT="0" distB="0" distL="114300" distR="114300" simplePos="0" relativeHeight="251658241" behindDoc="0" locked="0" layoutInCell="1" allowOverlap="1" wp14:anchorId="15B72D1C" wp14:editId="65261630">
            <wp:simplePos x="0" y="0"/>
            <wp:positionH relativeFrom="column">
              <wp:posOffset>0</wp:posOffset>
            </wp:positionH>
            <wp:positionV relativeFrom="paragraph">
              <wp:posOffset>1987</wp:posOffset>
            </wp:positionV>
            <wp:extent cx="1466850" cy="1955800"/>
            <wp:effectExtent l="0" t="0" r="0" b="6350"/>
            <wp:wrapSquare wrapText="bothSides"/>
            <wp:docPr id="1623536896" name="Picture 1623536896" descr="Photo of Jacinta Anders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536896" name="Picture 1623536896" descr="Photo of Jacinta Anderson">
                      <a:extLst>
                        <a:ext uri="{C183D7F6-B498-43B3-948B-1728B52AA6E4}">
                          <adec:decorative xmlns:adec="http://schemas.microsoft.com/office/drawing/2017/decorative" val="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Kaya (Hello)</w:t>
      </w:r>
      <w:r w:rsidR="000B697D">
        <w:rPr>
          <w:lang w:val="en-US"/>
        </w:rPr>
        <w:t>,</w:t>
      </w:r>
      <w:r>
        <w:rPr>
          <w:lang w:val="en-US"/>
        </w:rPr>
        <w:t xml:space="preserve"> my name is Jacinta </w:t>
      </w:r>
      <w:proofErr w:type="gramStart"/>
      <w:r>
        <w:rPr>
          <w:lang w:val="en-US"/>
        </w:rPr>
        <w:t>Anderson</w:t>
      </w:r>
      <w:proofErr w:type="gramEnd"/>
      <w:r w:rsidR="000B697D">
        <w:rPr>
          <w:lang w:val="en-US"/>
        </w:rPr>
        <w:t xml:space="preserve"> and</w:t>
      </w:r>
      <w:r>
        <w:rPr>
          <w:lang w:val="en-US"/>
        </w:rPr>
        <w:t xml:space="preserve"> I am a proud </w:t>
      </w:r>
      <w:proofErr w:type="spellStart"/>
      <w:r>
        <w:rPr>
          <w:lang w:val="en-US"/>
        </w:rPr>
        <w:t>Noongar</w:t>
      </w:r>
      <w:proofErr w:type="spellEnd"/>
      <w:r>
        <w:rPr>
          <w:lang w:val="en-US"/>
        </w:rPr>
        <w:t xml:space="preserve"> </w:t>
      </w:r>
      <w:proofErr w:type="spellStart"/>
      <w:r w:rsidR="00DE0248">
        <w:rPr>
          <w:lang w:val="en-US"/>
        </w:rPr>
        <w:t>Y</w:t>
      </w:r>
      <w:r>
        <w:rPr>
          <w:lang w:val="en-US"/>
        </w:rPr>
        <w:t>orga</w:t>
      </w:r>
      <w:proofErr w:type="spellEnd"/>
      <w:r>
        <w:rPr>
          <w:lang w:val="en-US"/>
        </w:rPr>
        <w:t xml:space="preserve"> with family connections to the </w:t>
      </w:r>
      <w:proofErr w:type="spellStart"/>
      <w:r>
        <w:rPr>
          <w:lang w:val="en-US"/>
        </w:rPr>
        <w:t>Mineng</w:t>
      </w:r>
      <w:proofErr w:type="spellEnd"/>
      <w:r>
        <w:rPr>
          <w:lang w:val="en-US"/>
        </w:rPr>
        <w:t xml:space="preserve"> area in the Great Southern, the </w:t>
      </w:r>
      <w:proofErr w:type="spellStart"/>
      <w:r>
        <w:rPr>
          <w:lang w:val="en-US"/>
        </w:rPr>
        <w:t>Yuet</w:t>
      </w:r>
      <w:proofErr w:type="spellEnd"/>
      <w:r>
        <w:rPr>
          <w:lang w:val="en-US"/>
        </w:rPr>
        <w:t xml:space="preserve"> area in </w:t>
      </w:r>
      <w:r w:rsidR="00DB1302">
        <w:rPr>
          <w:lang w:val="en-US"/>
        </w:rPr>
        <w:t xml:space="preserve">the </w:t>
      </w:r>
      <w:r>
        <w:rPr>
          <w:lang w:val="en-US"/>
        </w:rPr>
        <w:t xml:space="preserve">Wheatbelt region and </w:t>
      </w:r>
      <w:proofErr w:type="spellStart"/>
      <w:r>
        <w:rPr>
          <w:lang w:val="en-US"/>
        </w:rPr>
        <w:t>Whadjuk</w:t>
      </w:r>
      <w:proofErr w:type="spellEnd"/>
      <w:r>
        <w:rPr>
          <w:lang w:val="en-US"/>
        </w:rPr>
        <w:t xml:space="preserve"> area. </w:t>
      </w:r>
    </w:p>
    <w:p w14:paraId="4C1A8BC8" w14:textId="7DE28555" w:rsidR="009822AA" w:rsidRDefault="009822AA" w:rsidP="009822AA">
      <w:pPr>
        <w:rPr>
          <w:lang w:val="en-US"/>
        </w:rPr>
      </w:pPr>
      <w:r>
        <w:rPr>
          <w:lang w:val="en-US"/>
        </w:rPr>
        <w:t xml:space="preserve">Within my job role as a mentor, we used art as a way for the girls to connect with culture, storytelling and to build positive relationships. Creating art with the girls inspired me to get more creative and to start creating my own art. I first started painting on wooden serving boards, which led to </w:t>
      </w:r>
      <w:r w:rsidR="000B697D">
        <w:rPr>
          <w:lang w:val="en-US"/>
        </w:rPr>
        <w:t xml:space="preserve">a </w:t>
      </w:r>
      <w:r>
        <w:rPr>
          <w:lang w:val="en-US"/>
        </w:rPr>
        <w:t xml:space="preserve">few commission pieces for family and friends to now creating artwork for companies, creating digital art, and running art workshops. </w:t>
      </w:r>
      <w:r>
        <w:t xml:space="preserve">I love expressing my </w:t>
      </w:r>
      <w:r w:rsidR="000D03EA">
        <w:t>c</w:t>
      </w:r>
      <w:r>
        <w:t>ultur</w:t>
      </w:r>
      <w:r w:rsidR="000D03EA">
        <w:t xml:space="preserve">e </w:t>
      </w:r>
      <w:r>
        <w:t>throughout my art</w:t>
      </w:r>
      <w:r w:rsidR="000B697D">
        <w:t>,</w:t>
      </w:r>
      <w:r>
        <w:t xml:space="preserve"> especially using Aboriginal symbols</w:t>
      </w:r>
      <w:r w:rsidR="00DE0248">
        <w:t>.</w:t>
      </w:r>
    </w:p>
    <w:p w14:paraId="3171523F" w14:textId="77777777" w:rsidR="009822AA" w:rsidRDefault="009822AA" w:rsidP="009822AA">
      <w:r>
        <w:t xml:space="preserve">I create commissioned pieces, both acrylic paint on a canvas and digital. </w:t>
      </w:r>
    </w:p>
    <w:p w14:paraId="636D0583" w14:textId="1437AF87" w:rsidR="009822AA" w:rsidRDefault="009822AA" w:rsidP="009822AA">
      <w:r>
        <w:t>Instagram page</w:t>
      </w:r>
      <w:r w:rsidR="00DE0248">
        <w:t xml:space="preserve"> </w:t>
      </w:r>
      <w:r>
        <w:t xml:space="preserve">– </w:t>
      </w:r>
      <w:proofErr w:type="spellStart"/>
      <w:r>
        <w:t>artby_cinta</w:t>
      </w:r>
      <w:proofErr w:type="spellEnd"/>
    </w:p>
    <w:bookmarkEnd w:id="2"/>
    <w:p w14:paraId="68796F7E" w14:textId="46C7F407" w:rsidR="009822AA" w:rsidRDefault="009822AA" w:rsidP="009822AA">
      <w:r>
        <w:rPr>
          <w:noProof/>
          <w:lang w:val="en-US"/>
        </w:rPr>
        <w:drawing>
          <wp:anchor distT="0" distB="0" distL="114300" distR="114300" simplePos="0" relativeHeight="251658240" behindDoc="0" locked="0" layoutInCell="1" allowOverlap="1" wp14:anchorId="526E48A4" wp14:editId="0A1CD76A">
            <wp:simplePos x="0" y="0"/>
            <wp:positionH relativeFrom="column">
              <wp:posOffset>0</wp:posOffset>
            </wp:positionH>
            <wp:positionV relativeFrom="paragraph">
              <wp:posOffset>145942</wp:posOffset>
            </wp:positionV>
            <wp:extent cx="1380269" cy="1338674"/>
            <wp:effectExtent l="0" t="0" r="0" b="0"/>
            <wp:wrapNone/>
            <wp:docPr id="181368922" name="Picture 181368922" descr="Art by Cintr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68922" name="Picture 181368922" descr="Art by Cintra logo">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0269" cy="1338674"/>
                    </a:xfrm>
                    <a:prstGeom prst="rect">
                      <a:avLst/>
                    </a:prstGeom>
                  </pic:spPr>
                </pic:pic>
              </a:graphicData>
            </a:graphic>
            <wp14:sizeRelH relativeFrom="page">
              <wp14:pctWidth>0</wp14:pctWidth>
            </wp14:sizeRelH>
            <wp14:sizeRelV relativeFrom="page">
              <wp14:pctHeight>0</wp14:pctHeight>
            </wp14:sizeRelV>
          </wp:anchor>
        </w:drawing>
      </w:r>
    </w:p>
    <w:p w14:paraId="19B2D0B2" w14:textId="77777777" w:rsidR="009822AA" w:rsidRDefault="009822AA" w:rsidP="009822AA"/>
    <w:p w14:paraId="07315F92" w14:textId="77777777" w:rsidR="009822AA" w:rsidRDefault="009822AA" w:rsidP="009822AA"/>
    <w:p w14:paraId="121BF9CD" w14:textId="77777777" w:rsidR="009822AA" w:rsidRDefault="009822AA" w:rsidP="009822AA"/>
    <w:p w14:paraId="187D55F6" w14:textId="33247BEC" w:rsidR="001C5F42" w:rsidRPr="000B697D" w:rsidRDefault="001C5F42" w:rsidP="007E3EEF">
      <w:pPr>
        <w:rPr>
          <w:color w:val="193A6E"/>
          <w:szCs w:val="56"/>
        </w:rPr>
      </w:pPr>
      <w:r w:rsidRPr="007E3EEF">
        <w:rPr>
          <w:color w:val="193A6E"/>
          <w:sz w:val="56"/>
          <w:szCs w:val="56"/>
        </w:rPr>
        <w:lastRenderedPageBreak/>
        <w:t>Contents</w:t>
      </w:r>
      <w:bookmarkEnd w:id="3"/>
    </w:p>
    <w:p w14:paraId="15B3EDE7" w14:textId="16432F48" w:rsidR="009D2756" w:rsidRDefault="00E85E64">
      <w:pPr>
        <w:pStyle w:val="TOC1"/>
        <w:tabs>
          <w:tab w:val="right" w:leader="dot" w:pos="9016"/>
        </w:tabs>
        <w:rPr>
          <w:rFonts w:asciiTheme="minorHAnsi" w:eastAsiaTheme="minorEastAsia" w:hAnsiTheme="minorHAnsi" w:cstheme="minorBidi"/>
          <w:noProof/>
          <w:kern w:val="2"/>
          <w:sz w:val="22"/>
          <w:szCs w:val="22"/>
          <w:lang w:eastAsia="en-AU"/>
          <w14:ligatures w14:val="standardContextual"/>
        </w:rPr>
      </w:pPr>
      <w:r>
        <w:fldChar w:fldCharType="begin"/>
      </w:r>
      <w:r>
        <w:instrText xml:space="preserve"> TOC \o "1-2" \h \z \u </w:instrText>
      </w:r>
      <w:r>
        <w:fldChar w:fldCharType="separate"/>
      </w:r>
      <w:hyperlink w:anchor="_Toc172030749" w:history="1">
        <w:r w:rsidR="009D2756" w:rsidRPr="0079633D">
          <w:rPr>
            <w:rStyle w:val="Hyperlink"/>
            <w:noProof/>
          </w:rPr>
          <w:t>Preamble</w:t>
        </w:r>
        <w:r w:rsidR="009D2756">
          <w:rPr>
            <w:noProof/>
            <w:webHidden/>
          </w:rPr>
          <w:tab/>
        </w:r>
        <w:r w:rsidR="009D2756">
          <w:rPr>
            <w:noProof/>
            <w:webHidden/>
          </w:rPr>
          <w:fldChar w:fldCharType="begin"/>
        </w:r>
        <w:r w:rsidR="009D2756">
          <w:rPr>
            <w:noProof/>
            <w:webHidden/>
          </w:rPr>
          <w:instrText xml:space="preserve"> PAGEREF _Toc172030749 \h </w:instrText>
        </w:r>
        <w:r w:rsidR="009D2756">
          <w:rPr>
            <w:noProof/>
            <w:webHidden/>
          </w:rPr>
        </w:r>
        <w:r w:rsidR="009D2756">
          <w:rPr>
            <w:noProof/>
            <w:webHidden/>
          </w:rPr>
          <w:fldChar w:fldCharType="separate"/>
        </w:r>
        <w:r w:rsidR="00552B00">
          <w:rPr>
            <w:noProof/>
            <w:webHidden/>
          </w:rPr>
          <w:t>4</w:t>
        </w:r>
        <w:r w:rsidR="009D2756">
          <w:rPr>
            <w:noProof/>
            <w:webHidden/>
          </w:rPr>
          <w:fldChar w:fldCharType="end"/>
        </w:r>
      </w:hyperlink>
    </w:p>
    <w:p w14:paraId="32BA691F" w14:textId="28F7C9F9" w:rsidR="009D2756" w:rsidRDefault="00405461">
      <w:pPr>
        <w:pStyle w:val="TOC2"/>
        <w:rPr>
          <w:rFonts w:asciiTheme="minorHAnsi" w:eastAsiaTheme="minorEastAsia" w:hAnsiTheme="minorHAnsi" w:cstheme="minorBidi"/>
          <w:noProof/>
          <w:kern w:val="2"/>
          <w:sz w:val="22"/>
          <w:szCs w:val="22"/>
          <w:lang w:eastAsia="en-AU"/>
          <w14:ligatures w14:val="standardContextual"/>
        </w:rPr>
      </w:pPr>
      <w:hyperlink w:anchor="_Toc172030750" w:history="1">
        <w:r w:rsidR="009D2756" w:rsidRPr="0079633D">
          <w:rPr>
            <w:rStyle w:val="Hyperlink"/>
            <w:noProof/>
          </w:rPr>
          <w:t>Acknowledgement of Country</w:t>
        </w:r>
        <w:r w:rsidR="009D2756">
          <w:rPr>
            <w:noProof/>
            <w:webHidden/>
          </w:rPr>
          <w:tab/>
        </w:r>
        <w:r w:rsidR="009D2756">
          <w:rPr>
            <w:noProof/>
            <w:webHidden/>
          </w:rPr>
          <w:fldChar w:fldCharType="begin"/>
        </w:r>
        <w:r w:rsidR="009D2756">
          <w:rPr>
            <w:noProof/>
            <w:webHidden/>
          </w:rPr>
          <w:instrText xml:space="preserve"> PAGEREF _Toc172030750 \h </w:instrText>
        </w:r>
        <w:r w:rsidR="009D2756">
          <w:rPr>
            <w:noProof/>
            <w:webHidden/>
          </w:rPr>
        </w:r>
        <w:r w:rsidR="009D2756">
          <w:rPr>
            <w:noProof/>
            <w:webHidden/>
          </w:rPr>
          <w:fldChar w:fldCharType="separate"/>
        </w:r>
        <w:r w:rsidR="00552B00">
          <w:rPr>
            <w:noProof/>
            <w:webHidden/>
          </w:rPr>
          <w:t>4</w:t>
        </w:r>
        <w:r w:rsidR="009D2756">
          <w:rPr>
            <w:noProof/>
            <w:webHidden/>
          </w:rPr>
          <w:fldChar w:fldCharType="end"/>
        </w:r>
      </w:hyperlink>
    </w:p>
    <w:p w14:paraId="345F9890" w14:textId="7C184F77" w:rsidR="009D2756" w:rsidRDefault="00405461">
      <w:pPr>
        <w:pStyle w:val="TOC2"/>
        <w:rPr>
          <w:rFonts w:asciiTheme="minorHAnsi" w:eastAsiaTheme="minorEastAsia" w:hAnsiTheme="minorHAnsi" w:cstheme="minorBidi"/>
          <w:noProof/>
          <w:kern w:val="2"/>
          <w:sz w:val="22"/>
          <w:szCs w:val="22"/>
          <w:lang w:eastAsia="en-AU"/>
          <w14:ligatures w14:val="standardContextual"/>
        </w:rPr>
      </w:pPr>
      <w:hyperlink w:anchor="_Toc172030751" w:history="1">
        <w:r w:rsidR="009D2756" w:rsidRPr="0079633D">
          <w:rPr>
            <w:rStyle w:val="Hyperlink"/>
            <w:noProof/>
          </w:rPr>
          <w:t>Health Technology Assessment Policy and Methods Review Reference Committee</w:t>
        </w:r>
        <w:r w:rsidR="009D2756">
          <w:rPr>
            <w:noProof/>
            <w:webHidden/>
          </w:rPr>
          <w:tab/>
        </w:r>
        <w:r w:rsidR="009D2756">
          <w:rPr>
            <w:noProof/>
            <w:webHidden/>
          </w:rPr>
          <w:fldChar w:fldCharType="begin"/>
        </w:r>
        <w:r w:rsidR="009D2756">
          <w:rPr>
            <w:noProof/>
            <w:webHidden/>
          </w:rPr>
          <w:instrText xml:space="preserve"> PAGEREF _Toc172030751 \h </w:instrText>
        </w:r>
        <w:r w:rsidR="009D2756">
          <w:rPr>
            <w:noProof/>
            <w:webHidden/>
          </w:rPr>
        </w:r>
        <w:r w:rsidR="009D2756">
          <w:rPr>
            <w:noProof/>
            <w:webHidden/>
          </w:rPr>
          <w:fldChar w:fldCharType="separate"/>
        </w:r>
        <w:r w:rsidR="00552B00">
          <w:rPr>
            <w:noProof/>
            <w:webHidden/>
          </w:rPr>
          <w:t>4</w:t>
        </w:r>
        <w:r w:rsidR="009D2756">
          <w:rPr>
            <w:noProof/>
            <w:webHidden/>
          </w:rPr>
          <w:fldChar w:fldCharType="end"/>
        </w:r>
      </w:hyperlink>
    </w:p>
    <w:p w14:paraId="526C9F08" w14:textId="58AE9ACC" w:rsidR="009D2756" w:rsidRDefault="00405461">
      <w:pPr>
        <w:pStyle w:val="TOC2"/>
        <w:rPr>
          <w:rFonts w:asciiTheme="minorHAnsi" w:eastAsiaTheme="minorEastAsia" w:hAnsiTheme="minorHAnsi" w:cstheme="minorBidi"/>
          <w:noProof/>
          <w:kern w:val="2"/>
          <w:sz w:val="22"/>
          <w:szCs w:val="22"/>
          <w:lang w:eastAsia="en-AU"/>
          <w14:ligatures w14:val="standardContextual"/>
        </w:rPr>
      </w:pPr>
      <w:hyperlink w:anchor="_Toc172030752" w:history="1">
        <w:r w:rsidR="009D2756" w:rsidRPr="0079633D">
          <w:rPr>
            <w:rStyle w:val="Hyperlink"/>
            <w:noProof/>
          </w:rPr>
          <w:t>Acknowledgements</w:t>
        </w:r>
        <w:r w:rsidR="009D2756">
          <w:rPr>
            <w:noProof/>
            <w:webHidden/>
          </w:rPr>
          <w:tab/>
        </w:r>
        <w:r w:rsidR="009D2756">
          <w:rPr>
            <w:noProof/>
            <w:webHidden/>
          </w:rPr>
          <w:fldChar w:fldCharType="begin"/>
        </w:r>
        <w:r w:rsidR="009D2756">
          <w:rPr>
            <w:noProof/>
            <w:webHidden/>
          </w:rPr>
          <w:instrText xml:space="preserve"> PAGEREF _Toc172030752 \h </w:instrText>
        </w:r>
        <w:r w:rsidR="009D2756">
          <w:rPr>
            <w:noProof/>
            <w:webHidden/>
          </w:rPr>
        </w:r>
        <w:r w:rsidR="009D2756">
          <w:rPr>
            <w:noProof/>
            <w:webHidden/>
          </w:rPr>
          <w:fldChar w:fldCharType="separate"/>
        </w:r>
        <w:r w:rsidR="00552B00">
          <w:rPr>
            <w:noProof/>
            <w:webHidden/>
          </w:rPr>
          <w:t>4</w:t>
        </w:r>
        <w:r w:rsidR="009D2756">
          <w:rPr>
            <w:noProof/>
            <w:webHidden/>
          </w:rPr>
          <w:fldChar w:fldCharType="end"/>
        </w:r>
      </w:hyperlink>
    </w:p>
    <w:p w14:paraId="2C1DE421" w14:textId="598B317E" w:rsidR="009D2756" w:rsidRDefault="00405461">
      <w:pPr>
        <w:pStyle w:val="TOC1"/>
        <w:tabs>
          <w:tab w:val="right" w:leader="dot" w:pos="9016"/>
        </w:tabs>
        <w:rPr>
          <w:rFonts w:asciiTheme="minorHAnsi" w:eastAsiaTheme="minorEastAsia" w:hAnsiTheme="minorHAnsi" w:cstheme="minorBidi"/>
          <w:noProof/>
          <w:kern w:val="2"/>
          <w:sz w:val="22"/>
          <w:szCs w:val="22"/>
          <w:lang w:eastAsia="en-AU"/>
          <w14:ligatures w14:val="standardContextual"/>
        </w:rPr>
      </w:pPr>
      <w:hyperlink w:anchor="_Toc172030753" w:history="1">
        <w:r w:rsidR="009D2756" w:rsidRPr="0079633D">
          <w:rPr>
            <w:rStyle w:val="Hyperlink"/>
            <w:noProof/>
          </w:rPr>
          <w:t>Context</w:t>
        </w:r>
        <w:r w:rsidR="009D2756">
          <w:rPr>
            <w:noProof/>
            <w:webHidden/>
          </w:rPr>
          <w:tab/>
        </w:r>
        <w:r w:rsidR="009D2756">
          <w:rPr>
            <w:noProof/>
            <w:webHidden/>
          </w:rPr>
          <w:fldChar w:fldCharType="begin"/>
        </w:r>
        <w:r w:rsidR="009D2756">
          <w:rPr>
            <w:noProof/>
            <w:webHidden/>
          </w:rPr>
          <w:instrText xml:space="preserve"> PAGEREF _Toc172030753 \h </w:instrText>
        </w:r>
        <w:r w:rsidR="009D2756">
          <w:rPr>
            <w:noProof/>
            <w:webHidden/>
          </w:rPr>
        </w:r>
        <w:r w:rsidR="009D2756">
          <w:rPr>
            <w:noProof/>
            <w:webHidden/>
          </w:rPr>
          <w:fldChar w:fldCharType="separate"/>
        </w:r>
        <w:r w:rsidR="00552B00">
          <w:rPr>
            <w:noProof/>
            <w:webHidden/>
          </w:rPr>
          <w:t>5</w:t>
        </w:r>
        <w:r w:rsidR="009D2756">
          <w:rPr>
            <w:noProof/>
            <w:webHidden/>
          </w:rPr>
          <w:fldChar w:fldCharType="end"/>
        </w:r>
      </w:hyperlink>
    </w:p>
    <w:p w14:paraId="11C580E3" w14:textId="4E3C85AD" w:rsidR="009D2756" w:rsidRDefault="00405461">
      <w:pPr>
        <w:pStyle w:val="TOC1"/>
        <w:tabs>
          <w:tab w:val="right" w:leader="dot" w:pos="9016"/>
        </w:tabs>
        <w:rPr>
          <w:rFonts w:asciiTheme="minorHAnsi" w:eastAsiaTheme="minorEastAsia" w:hAnsiTheme="minorHAnsi" w:cstheme="minorBidi"/>
          <w:noProof/>
          <w:kern w:val="2"/>
          <w:sz w:val="22"/>
          <w:szCs w:val="22"/>
          <w:lang w:eastAsia="en-AU"/>
          <w14:ligatures w14:val="standardContextual"/>
        </w:rPr>
      </w:pPr>
      <w:hyperlink w:anchor="_Toc172030754" w:history="1">
        <w:r w:rsidR="009D2756" w:rsidRPr="0079633D">
          <w:rPr>
            <w:rStyle w:val="Hyperlink"/>
            <w:noProof/>
          </w:rPr>
          <w:t>What HTA is and why it is important</w:t>
        </w:r>
        <w:r w:rsidR="009D2756">
          <w:rPr>
            <w:noProof/>
            <w:webHidden/>
          </w:rPr>
          <w:tab/>
        </w:r>
        <w:r w:rsidR="009D2756">
          <w:rPr>
            <w:noProof/>
            <w:webHidden/>
          </w:rPr>
          <w:fldChar w:fldCharType="begin"/>
        </w:r>
        <w:r w:rsidR="009D2756">
          <w:rPr>
            <w:noProof/>
            <w:webHidden/>
          </w:rPr>
          <w:instrText xml:space="preserve"> PAGEREF _Toc172030754 \h </w:instrText>
        </w:r>
        <w:r w:rsidR="009D2756">
          <w:rPr>
            <w:noProof/>
            <w:webHidden/>
          </w:rPr>
        </w:r>
        <w:r w:rsidR="009D2756">
          <w:rPr>
            <w:noProof/>
            <w:webHidden/>
          </w:rPr>
          <w:fldChar w:fldCharType="separate"/>
        </w:r>
        <w:r w:rsidR="00552B00">
          <w:rPr>
            <w:noProof/>
            <w:webHidden/>
          </w:rPr>
          <w:t>5</w:t>
        </w:r>
        <w:r w:rsidR="009D2756">
          <w:rPr>
            <w:noProof/>
            <w:webHidden/>
          </w:rPr>
          <w:fldChar w:fldCharType="end"/>
        </w:r>
      </w:hyperlink>
    </w:p>
    <w:p w14:paraId="60EE2F19" w14:textId="136D090C" w:rsidR="009D2756" w:rsidRDefault="00405461">
      <w:pPr>
        <w:pStyle w:val="TOC1"/>
        <w:tabs>
          <w:tab w:val="right" w:leader="dot" w:pos="9016"/>
        </w:tabs>
        <w:rPr>
          <w:rFonts w:asciiTheme="minorHAnsi" w:eastAsiaTheme="minorEastAsia" w:hAnsiTheme="minorHAnsi" w:cstheme="minorBidi"/>
          <w:noProof/>
          <w:kern w:val="2"/>
          <w:sz w:val="22"/>
          <w:szCs w:val="22"/>
          <w:lang w:eastAsia="en-AU"/>
          <w14:ligatures w14:val="standardContextual"/>
        </w:rPr>
      </w:pPr>
      <w:hyperlink w:anchor="_Toc172030755" w:history="1">
        <w:r w:rsidR="009D2756" w:rsidRPr="0079633D">
          <w:rPr>
            <w:rStyle w:val="Hyperlink"/>
            <w:noProof/>
          </w:rPr>
          <w:t>Why Australia’s approach to HTAs is being reviewed</w:t>
        </w:r>
        <w:r w:rsidR="009D2756">
          <w:rPr>
            <w:noProof/>
            <w:webHidden/>
          </w:rPr>
          <w:tab/>
        </w:r>
        <w:r w:rsidR="009D2756">
          <w:rPr>
            <w:noProof/>
            <w:webHidden/>
          </w:rPr>
          <w:fldChar w:fldCharType="begin"/>
        </w:r>
        <w:r w:rsidR="009D2756">
          <w:rPr>
            <w:noProof/>
            <w:webHidden/>
          </w:rPr>
          <w:instrText xml:space="preserve"> PAGEREF _Toc172030755 \h </w:instrText>
        </w:r>
        <w:r w:rsidR="009D2756">
          <w:rPr>
            <w:noProof/>
            <w:webHidden/>
          </w:rPr>
        </w:r>
        <w:r w:rsidR="009D2756">
          <w:rPr>
            <w:noProof/>
            <w:webHidden/>
          </w:rPr>
          <w:fldChar w:fldCharType="separate"/>
        </w:r>
        <w:r w:rsidR="00552B00">
          <w:rPr>
            <w:noProof/>
            <w:webHidden/>
          </w:rPr>
          <w:t>6</w:t>
        </w:r>
        <w:r w:rsidR="009D2756">
          <w:rPr>
            <w:noProof/>
            <w:webHidden/>
          </w:rPr>
          <w:fldChar w:fldCharType="end"/>
        </w:r>
      </w:hyperlink>
    </w:p>
    <w:p w14:paraId="2C91B97C" w14:textId="101E70CE" w:rsidR="009D2756" w:rsidRDefault="00405461">
      <w:pPr>
        <w:pStyle w:val="TOC1"/>
        <w:tabs>
          <w:tab w:val="right" w:leader="dot" w:pos="9016"/>
        </w:tabs>
        <w:rPr>
          <w:rFonts w:asciiTheme="minorHAnsi" w:eastAsiaTheme="minorEastAsia" w:hAnsiTheme="minorHAnsi" w:cstheme="minorBidi"/>
          <w:noProof/>
          <w:kern w:val="2"/>
          <w:sz w:val="22"/>
          <w:szCs w:val="22"/>
          <w:lang w:eastAsia="en-AU"/>
          <w14:ligatures w14:val="standardContextual"/>
        </w:rPr>
      </w:pPr>
      <w:hyperlink w:anchor="_Toc172030756" w:history="1">
        <w:r w:rsidR="009D2756" w:rsidRPr="0079633D">
          <w:rPr>
            <w:rStyle w:val="Hyperlink"/>
            <w:noProof/>
          </w:rPr>
          <w:t>How the Review was conducted</w:t>
        </w:r>
        <w:r w:rsidR="009D2756">
          <w:rPr>
            <w:noProof/>
            <w:webHidden/>
          </w:rPr>
          <w:tab/>
        </w:r>
        <w:r w:rsidR="009D2756">
          <w:rPr>
            <w:noProof/>
            <w:webHidden/>
          </w:rPr>
          <w:fldChar w:fldCharType="begin"/>
        </w:r>
        <w:r w:rsidR="009D2756">
          <w:rPr>
            <w:noProof/>
            <w:webHidden/>
          </w:rPr>
          <w:instrText xml:space="preserve"> PAGEREF _Toc172030756 \h </w:instrText>
        </w:r>
        <w:r w:rsidR="009D2756">
          <w:rPr>
            <w:noProof/>
            <w:webHidden/>
          </w:rPr>
        </w:r>
        <w:r w:rsidR="009D2756">
          <w:rPr>
            <w:noProof/>
            <w:webHidden/>
          </w:rPr>
          <w:fldChar w:fldCharType="separate"/>
        </w:r>
        <w:r w:rsidR="00552B00">
          <w:rPr>
            <w:noProof/>
            <w:webHidden/>
          </w:rPr>
          <w:t>7</w:t>
        </w:r>
        <w:r w:rsidR="009D2756">
          <w:rPr>
            <w:noProof/>
            <w:webHidden/>
          </w:rPr>
          <w:fldChar w:fldCharType="end"/>
        </w:r>
      </w:hyperlink>
    </w:p>
    <w:p w14:paraId="6D8596FF" w14:textId="230EFEA6" w:rsidR="009D2756" w:rsidRDefault="00405461">
      <w:pPr>
        <w:pStyle w:val="TOC1"/>
        <w:tabs>
          <w:tab w:val="right" w:leader="dot" w:pos="9016"/>
        </w:tabs>
        <w:rPr>
          <w:rFonts w:asciiTheme="minorHAnsi" w:eastAsiaTheme="minorEastAsia" w:hAnsiTheme="minorHAnsi" w:cstheme="minorBidi"/>
          <w:noProof/>
          <w:kern w:val="2"/>
          <w:sz w:val="22"/>
          <w:szCs w:val="22"/>
          <w:lang w:eastAsia="en-AU"/>
          <w14:ligatures w14:val="standardContextual"/>
        </w:rPr>
      </w:pPr>
      <w:hyperlink w:anchor="_Toc172030757" w:history="1">
        <w:r w:rsidR="009D2756" w:rsidRPr="0079633D">
          <w:rPr>
            <w:rStyle w:val="Hyperlink"/>
            <w:noProof/>
          </w:rPr>
          <w:t xml:space="preserve">The Review process </w:t>
        </w:r>
        <w:r w:rsidR="009D2756">
          <w:rPr>
            <w:noProof/>
            <w:webHidden/>
          </w:rPr>
          <w:tab/>
        </w:r>
        <w:r w:rsidR="009D2756">
          <w:rPr>
            <w:noProof/>
            <w:webHidden/>
          </w:rPr>
          <w:fldChar w:fldCharType="begin"/>
        </w:r>
        <w:r w:rsidR="009D2756">
          <w:rPr>
            <w:noProof/>
            <w:webHidden/>
          </w:rPr>
          <w:instrText xml:space="preserve"> PAGEREF _Toc172030757 \h </w:instrText>
        </w:r>
        <w:r w:rsidR="009D2756">
          <w:rPr>
            <w:noProof/>
            <w:webHidden/>
          </w:rPr>
        </w:r>
        <w:r w:rsidR="009D2756">
          <w:rPr>
            <w:noProof/>
            <w:webHidden/>
          </w:rPr>
          <w:fldChar w:fldCharType="separate"/>
        </w:r>
        <w:r w:rsidR="00552B00">
          <w:rPr>
            <w:noProof/>
            <w:webHidden/>
          </w:rPr>
          <w:t>8</w:t>
        </w:r>
        <w:r w:rsidR="009D2756">
          <w:rPr>
            <w:noProof/>
            <w:webHidden/>
          </w:rPr>
          <w:fldChar w:fldCharType="end"/>
        </w:r>
      </w:hyperlink>
    </w:p>
    <w:p w14:paraId="38FEA362" w14:textId="296F76FB" w:rsidR="009D2756" w:rsidRDefault="00405461">
      <w:pPr>
        <w:pStyle w:val="TOC1"/>
        <w:tabs>
          <w:tab w:val="right" w:leader="dot" w:pos="9016"/>
        </w:tabs>
        <w:rPr>
          <w:rFonts w:asciiTheme="minorHAnsi" w:eastAsiaTheme="minorEastAsia" w:hAnsiTheme="minorHAnsi" w:cstheme="minorBidi"/>
          <w:noProof/>
          <w:kern w:val="2"/>
          <w:sz w:val="22"/>
          <w:szCs w:val="22"/>
          <w:lang w:eastAsia="en-AU"/>
          <w14:ligatures w14:val="standardContextual"/>
        </w:rPr>
      </w:pPr>
      <w:hyperlink w:anchor="_Toc172030758" w:history="1">
        <w:r w:rsidR="009D2756" w:rsidRPr="0079633D">
          <w:rPr>
            <w:rStyle w:val="Hyperlink"/>
            <w:iCs/>
            <w:noProof/>
          </w:rPr>
          <w:t>Overview</w:t>
        </w:r>
        <w:r w:rsidR="009D2756">
          <w:rPr>
            <w:noProof/>
            <w:webHidden/>
          </w:rPr>
          <w:tab/>
        </w:r>
        <w:r w:rsidR="009D2756">
          <w:rPr>
            <w:noProof/>
            <w:webHidden/>
          </w:rPr>
          <w:fldChar w:fldCharType="begin"/>
        </w:r>
        <w:r w:rsidR="009D2756">
          <w:rPr>
            <w:noProof/>
            <w:webHidden/>
          </w:rPr>
          <w:instrText xml:space="preserve"> PAGEREF _Toc172030758 \h </w:instrText>
        </w:r>
        <w:r w:rsidR="009D2756">
          <w:rPr>
            <w:noProof/>
            <w:webHidden/>
          </w:rPr>
        </w:r>
        <w:r w:rsidR="009D2756">
          <w:rPr>
            <w:noProof/>
            <w:webHidden/>
          </w:rPr>
          <w:fldChar w:fldCharType="separate"/>
        </w:r>
        <w:r w:rsidR="00552B00">
          <w:rPr>
            <w:noProof/>
            <w:webHidden/>
          </w:rPr>
          <w:t>8</w:t>
        </w:r>
        <w:r w:rsidR="009D2756">
          <w:rPr>
            <w:noProof/>
            <w:webHidden/>
          </w:rPr>
          <w:fldChar w:fldCharType="end"/>
        </w:r>
      </w:hyperlink>
    </w:p>
    <w:p w14:paraId="1BCEAC10" w14:textId="53A67BC5" w:rsidR="009D2756" w:rsidRDefault="00405461">
      <w:pPr>
        <w:pStyle w:val="TOC1"/>
        <w:tabs>
          <w:tab w:val="right" w:leader="dot" w:pos="9016"/>
        </w:tabs>
        <w:rPr>
          <w:rFonts w:asciiTheme="minorHAnsi" w:eastAsiaTheme="minorEastAsia" w:hAnsiTheme="minorHAnsi" w:cstheme="minorBidi"/>
          <w:noProof/>
          <w:kern w:val="2"/>
          <w:sz w:val="22"/>
          <w:szCs w:val="22"/>
          <w:lang w:eastAsia="en-AU"/>
          <w14:ligatures w14:val="standardContextual"/>
        </w:rPr>
      </w:pPr>
      <w:hyperlink w:anchor="_Toc172030759" w:history="1">
        <w:r w:rsidR="009D2756" w:rsidRPr="0079633D">
          <w:rPr>
            <w:rStyle w:val="Hyperlink"/>
            <w:iCs/>
            <w:noProof/>
          </w:rPr>
          <w:t>Summary recommendations and objectives</w:t>
        </w:r>
        <w:r w:rsidR="009D2756">
          <w:rPr>
            <w:noProof/>
            <w:webHidden/>
          </w:rPr>
          <w:tab/>
        </w:r>
        <w:r w:rsidR="009D2756">
          <w:rPr>
            <w:noProof/>
            <w:webHidden/>
          </w:rPr>
          <w:fldChar w:fldCharType="begin"/>
        </w:r>
        <w:r w:rsidR="009D2756">
          <w:rPr>
            <w:noProof/>
            <w:webHidden/>
          </w:rPr>
          <w:instrText xml:space="preserve"> PAGEREF _Toc172030759 \h </w:instrText>
        </w:r>
        <w:r w:rsidR="009D2756">
          <w:rPr>
            <w:noProof/>
            <w:webHidden/>
          </w:rPr>
        </w:r>
        <w:r w:rsidR="009D2756">
          <w:rPr>
            <w:noProof/>
            <w:webHidden/>
          </w:rPr>
          <w:fldChar w:fldCharType="separate"/>
        </w:r>
        <w:r w:rsidR="00552B00">
          <w:rPr>
            <w:noProof/>
            <w:webHidden/>
          </w:rPr>
          <w:t>9</w:t>
        </w:r>
        <w:r w:rsidR="009D2756">
          <w:rPr>
            <w:noProof/>
            <w:webHidden/>
          </w:rPr>
          <w:fldChar w:fldCharType="end"/>
        </w:r>
      </w:hyperlink>
    </w:p>
    <w:p w14:paraId="62ABA3E6" w14:textId="1F14FDF9" w:rsidR="009D2756" w:rsidRDefault="00405461">
      <w:pPr>
        <w:pStyle w:val="TOC2"/>
        <w:rPr>
          <w:rFonts w:asciiTheme="minorHAnsi" w:eastAsiaTheme="minorEastAsia" w:hAnsiTheme="minorHAnsi" w:cstheme="minorBidi"/>
          <w:noProof/>
          <w:kern w:val="2"/>
          <w:sz w:val="22"/>
          <w:szCs w:val="22"/>
          <w:lang w:eastAsia="en-AU"/>
          <w14:ligatures w14:val="standardContextual"/>
        </w:rPr>
      </w:pPr>
      <w:hyperlink w:anchor="_Toc172030760" w:history="1">
        <w:r w:rsidR="009D2756" w:rsidRPr="0079633D">
          <w:rPr>
            <w:rStyle w:val="Hyperlink"/>
            <w:noProof/>
          </w:rPr>
          <w:t>Chapter 3: Providing more equitable access to under-represented patient groups</w:t>
        </w:r>
        <w:r w:rsidR="009D2756">
          <w:rPr>
            <w:noProof/>
            <w:webHidden/>
          </w:rPr>
          <w:tab/>
        </w:r>
        <w:r w:rsidR="009D2756">
          <w:rPr>
            <w:noProof/>
            <w:webHidden/>
          </w:rPr>
          <w:fldChar w:fldCharType="begin"/>
        </w:r>
        <w:r w:rsidR="009D2756">
          <w:rPr>
            <w:noProof/>
            <w:webHidden/>
          </w:rPr>
          <w:instrText xml:space="preserve"> PAGEREF _Toc172030760 \h </w:instrText>
        </w:r>
        <w:r w:rsidR="009D2756">
          <w:rPr>
            <w:noProof/>
            <w:webHidden/>
          </w:rPr>
        </w:r>
        <w:r w:rsidR="009D2756">
          <w:rPr>
            <w:noProof/>
            <w:webHidden/>
          </w:rPr>
          <w:fldChar w:fldCharType="separate"/>
        </w:r>
        <w:r w:rsidR="00552B00">
          <w:rPr>
            <w:noProof/>
            <w:webHidden/>
          </w:rPr>
          <w:t>10</w:t>
        </w:r>
        <w:r w:rsidR="009D2756">
          <w:rPr>
            <w:noProof/>
            <w:webHidden/>
          </w:rPr>
          <w:fldChar w:fldCharType="end"/>
        </w:r>
      </w:hyperlink>
    </w:p>
    <w:p w14:paraId="6DBB9055" w14:textId="147882D3" w:rsidR="009D2756" w:rsidRDefault="00405461">
      <w:pPr>
        <w:pStyle w:val="TOC2"/>
        <w:rPr>
          <w:rFonts w:asciiTheme="minorHAnsi" w:eastAsiaTheme="minorEastAsia" w:hAnsiTheme="minorHAnsi" w:cstheme="minorBidi"/>
          <w:noProof/>
          <w:kern w:val="2"/>
          <w:sz w:val="22"/>
          <w:szCs w:val="22"/>
          <w:lang w:eastAsia="en-AU"/>
          <w14:ligatures w14:val="standardContextual"/>
        </w:rPr>
      </w:pPr>
      <w:hyperlink w:anchor="_Toc172030761" w:history="1">
        <w:r w:rsidR="009D2756" w:rsidRPr="0079633D">
          <w:rPr>
            <w:rStyle w:val="Hyperlink"/>
            <w:noProof/>
          </w:rPr>
          <w:t>Chapter 4: Streamlined pathways for more timely access</w:t>
        </w:r>
        <w:r w:rsidR="009D2756">
          <w:rPr>
            <w:noProof/>
            <w:webHidden/>
          </w:rPr>
          <w:tab/>
        </w:r>
        <w:r w:rsidR="009D2756">
          <w:rPr>
            <w:noProof/>
            <w:webHidden/>
          </w:rPr>
          <w:fldChar w:fldCharType="begin"/>
        </w:r>
        <w:r w:rsidR="009D2756">
          <w:rPr>
            <w:noProof/>
            <w:webHidden/>
          </w:rPr>
          <w:instrText xml:space="preserve"> PAGEREF _Toc172030761 \h </w:instrText>
        </w:r>
        <w:r w:rsidR="009D2756">
          <w:rPr>
            <w:noProof/>
            <w:webHidden/>
          </w:rPr>
        </w:r>
        <w:r w:rsidR="009D2756">
          <w:rPr>
            <w:noProof/>
            <w:webHidden/>
          </w:rPr>
          <w:fldChar w:fldCharType="separate"/>
        </w:r>
        <w:r w:rsidR="00552B00">
          <w:rPr>
            <w:noProof/>
            <w:webHidden/>
          </w:rPr>
          <w:t>11</w:t>
        </w:r>
        <w:r w:rsidR="009D2756">
          <w:rPr>
            <w:noProof/>
            <w:webHidden/>
          </w:rPr>
          <w:fldChar w:fldCharType="end"/>
        </w:r>
      </w:hyperlink>
    </w:p>
    <w:p w14:paraId="4F9D0EA7" w14:textId="16EF9FAA" w:rsidR="009D2756" w:rsidRDefault="00405461">
      <w:pPr>
        <w:pStyle w:val="TOC2"/>
        <w:rPr>
          <w:rFonts w:asciiTheme="minorHAnsi" w:eastAsiaTheme="minorEastAsia" w:hAnsiTheme="minorHAnsi" w:cstheme="minorBidi"/>
          <w:noProof/>
          <w:kern w:val="2"/>
          <w:sz w:val="22"/>
          <w:szCs w:val="22"/>
          <w:lang w:eastAsia="en-AU"/>
          <w14:ligatures w14:val="standardContextual"/>
        </w:rPr>
      </w:pPr>
      <w:hyperlink w:anchor="_Toc172030762" w:history="1">
        <w:r w:rsidR="009D2756" w:rsidRPr="0079633D">
          <w:rPr>
            <w:rStyle w:val="Hyperlink"/>
            <w:noProof/>
          </w:rPr>
          <w:t>Chapter 5: Policies, methods and processes supporting the translation of HTA recommendations into patient access</w:t>
        </w:r>
        <w:r w:rsidR="009D2756">
          <w:rPr>
            <w:noProof/>
            <w:webHidden/>
          </w:rPr>
          <w:tab/>
        </w:r>
        <w:r w:rsidR="009D2756">
          <w:rPr>
            <w:noProof/>
            <w:webHidden/>
          </w:rPr>
          <w:fldChar w:fldCharType="begin"/>
        </w:r>
        <w:r w:rsidR="009D2756">
          <w:rPr>
            <w:noProof/>
            <w:webHidden/>
          </w:rPr>
          <w:instrText xml:space="preserve"> PAGEREF _Toc172030762 \h </w:instrText>
        </w:r>
        <w:r w:rsidR="009D2756">
          <w:rPr>
            <w:noProof/>
            <w:webHidden/>
          </w:rPr>
        </w:r>
        <w:r w:rsidR="009D2756">
          <w:rPr>
            <w:noProof/>
            <w:webHidden/>
          </w:rPr>
          <w:fldChar w:fldCharType="separate"/>
        </w:r>
        <w:r w:rsidR="00552B00">
          <w:rPr>
            <w:noProof/>
            <w:webHidden/>
          </w:rPr>
          <w:t>15</w:t>
        </w:r>
        <w:r w:rsidR="009D2756">
          <w:rPr>
            <w:noProof/>
            <w:webHidden/>
          </w:rPr>
          <w:fldChar w:fldCharType="end"/>
        </w:r>
      </w:hyperlink>
    </w:p>
    <w:p w14:paraId="57480D95" w14:textId="2E1D7FFD" w:rsidR="009D2756" w:rsidRDefault="00405461">
      <w:pPr>
        <w:pStyle w:val="TOC2"/>
        <w:rPr>
          <w:rFonts w:asciiTheme="minorHAnsi" w:eastAsiaTheme="minorEastAsia" w:hAnsiTheme="minorHAnsi" w:cstheme="minorBidi"/>
          <w:noProof/>
          <w:kern w:val="2"/>
          <w:sz w:val="22"/>
          <w:szCs w:val="22"/>
          <w:lang w:eastAsia="en-AU"/>
          <w14:ligatures w14:val="standardContextual"/>
        </w:rPr>
      </w:pPr>
      <w:hyperlink w:anchor="_Toc172030763" w:history="1">
        <w:r w:rsidR="009D2756" w:rsidRPr="0079633D">
          <w:rPr>
            <w:rStyle w:val="Hyperlink"/>
            <w:noProof/>
          </w:rPr>
          <w:t>Chapter 6: Transparency and stakeholder involvement</w:t>
        </w:r>
        <w:r w:rsidR="009D2756">
          <w:rPr>
            <w:noProof/>
            <w:webHidden/>
          </w:rPr>
          <w:tab/>
        </w:r>
        <w:r w:rsidR="009D2756">
          <w:rPr>
            <w:noProof/>
            <w:webHidden/>
          </w:rPr>
          <w:fldChar w:fldCharType="begin"/>
        </w:r>
        <w:r w:rsidR="009D2756">
          <w:rPr>
            <w:noProof/>
            <w:webHidden/>
          </w:rPr>
          <w:instrText xml:space="preserve"> PAGEREF _Toc172030763 \h </w:instrText>
        </w:r>
        <w:r w:rsidR="009D2756">
          <w:rPr>
            <w:noProof/>
            <w:webHidden/>
          </w:rPr>
        </w:r>
        <w:r w:rsidR="009D2756">
          <w:rPr>
            <w:noProof/>
            <w:webHidden/>
          </w:rPr>
          <w:fldChar w:fldCharType="separate"/>
        </w:r>
        <w:r w:rsidR="00552B00">
          <w:rPr>
            <w:noProof/>
            <w:webHidden/>
          </w:rPr>
          <w:t>18</w:t>
        </w:r>
        <w:r w:rsidR="009D2756">
          <w:rPr>
            <w:noProof/>
            <w:webHidden/>
          </w:rPr>
          <w:fldChar w:fldCharType="end"/>
        </w:r>
      </w:hyperlink>
    </w:p>
    <w:p w14:paraId="023E0312" w14:textId="3F1FA2F7" w:rsidR="009D2756" w:rsidRDefault="00405461">
      <w:pPr>
        <w:pStyle w:val="TOC2"/>
        <w:rPr>
          <w:rFonts w:asciiTheme="minorHAnsi" w:eastAsiaTheme="minorEastAsia" w:hAnsiTheme="minorHAnsi" w:cstheme="minorBidi"/>
          <w:noProof/>
          <w:kern w:val="2"/>
          <w:sz w:val="22"/>
          <w:szCs w:val="22"/>
          <w:lang w:eastAsia="en-AU"/>
          <w14:ligatures w14:val="standardContextual"/>
        </w:rPr>
      </w:pPr>
      <w:hyperlink w:anchor="_Toc172030764" w:history="1">
        <w:r w:rsidR="009D2756" w:rsidRPr="0079633D">
          <w:rPr>
            <w:rStyle w:val="Hyperlink"/>
            <w:noProof/>
          </w:rPr>
          <w:t>Chapter 7: Enhancing real-world data and real-world evidence for HTAs</w:t>
        </w:r>
        <w:r w:rsidR="009D2756">
          <w:rPr>
            <w:noProof/>
            <w:webHidden/>
          </w:rPr>
          <w:tab/>
        </w:r>
        <w:r w:rsidR="009D2756">
          <w:rPr>
            <w:noProof/>
            <w:webHidden/>
          </w:rPr>
          <w:fldChar w:fldCharType="begin"/>
        </w:r>
        <w:r w:rsidR="009D2756">
          <w:rPr>
            <w:noProof/>
            <w:webHidden/>
          </w:rPr>
          <w:instrText xml:space="preserve"> PAGEREF _Toc172030764 \h </w:instrText>
        </w:r>
        <w:r w:rsidR="009D2756">
          <w:rPr>
            <w:noProof/>
            <w:webHidden/>
          </w:rPr>
        </w:r>
        <w:r w:rsidR="009D2756">
          <w:rPr>
            <w:noProof/>
            <w:webHidden/>
          </w:rPr>
          <w:fldChar w:fldCharType="separate"/>
        </w:r>
        <w:r w:rsidR="00552B00">
          <w:rPr>
            <w:noProof/>
            <w:webHidden/>
          </w:rPr>
          <w:t>19</w:t>
        </w:r>
        <w:r w:rsidR="009D2756">
          <w:rPr>
            <w:noProof/>
            <w:webHidden/>
          </w:rPr>
          <w:fldChar w:fldCharType="end"/>
        </w:r>
      </w:hyperlink>
    </w:p>
    <w:p w14:paraId="20087945" w14:textId="2A225D5C" w:rsidR="009D2756" w:rsidRDefault="00405461">
      <w:pPr>
        <w:pStyle w:val="TOC2"/>
        <w:rPr>
          <w:rFonts w:asciiTheme="minorHAnsi" w:eastAsiaTheme="minorEastAsia" w:hAnsiTheme="minorHAnsi" w:cstheme="minorBidi"/>
          <w:noProof/>
          <w:kern w:val="2"/>
          <w:sz w:val="22"/>
          <w:szCs w:val="22"/>
          <w:lang w:eastAsia="en-AU"/>
          <w14:ligatures w14:val="standardContextual"/>
        </w:rPr>
      </w:pPr>
      <w:hyperlink w:anchor="_Toc172030765" w:history="1">
        <w:r w:rsidR="009D2756" w:rsidRPr="0079633D">
          <w:rPr>
            <w:rStyle w:val="Hyperlink"/>
            <w:noProof/>
          </w:rPr>
          <w:t>Chapter 8: Methods for confident decisions</w:t>
        </w:r>
        <w:r w:rsidR="009D2756">
          <w:rPr>
            <w:noProof/>
            <w:webHidden/>
          </w:rPr>
          <w:tab/>
        </w:r>
        <w:r w:rsidR="009D2756">
          <w:rPr>
            <w:noProof/>
            <w:webHidden/>
          </w:rPr>
          <w:fldChar w:fldCharType="begin"/>
        </w:r>
        <w:r w:rsidR="009D2756">
          <w:rPr>
            <w:noProof/>
            <w:webHidden/>
          </w:rPr>
          <w:instrText xml:space="preserve"> PAGEREF _Toc172030765 \h </w:instrText>
        </w:r>
        <w:r w:rsidR="009D2756">
          <w:rPr>
            <w:noProof/>
            <w:webHidden/>
          </w:rPr>
        </w:r>
        <w:r w:rsidR="009D2756">
          <w:rPr>
            <w:noProof/>
            <w:webHidden/>
          </w:rPr>
          <w:fldChar w:fldCharType="separate"/>
        </w:r>
        <w:r w:rsidR="00552B00">
          <w:rPr>
            <w:noProof/>
            <w:webHidden/>
          </w:rPr>
          <w:t>21</w:t>
        </w:r>
        <w:r w:rsidR="009D2756">
          <w:rPr>
            <w:noProof/>
            <w:webHidden/>
          </w:rPr>
          <w:fldChar w:fldCharType="end"/>
        </w:r>
      </w:hyperlink>
    </w:p>
    <w:p w14:paraId="00211A99" w14:textId="3E85F8EB" w:rsidR="009D2756" w:rsidRDefault="00405461">
      <w:pPr>
        <w:pStyle w:val="TOC2"/>
        <w:rPr>
          <w:rFonts w:asciiTheme="minorHAnsi" w:eastAsiaTheme="minorEastAsia" w:hAnsiTheme="minorHAnsi" w:cstheme="minorBidi"/>
          <w:noProof/>
          <w:kern w:val="2"/>
          <w:sz w:val="22"/>
          <w:szCs w:val="22"/>
          <w:lang w:eastAsia="en-AU"/>
          <w14:ligatures w14:val="standardContextual"/>
        </w:rPr>
      </w:pPr>
      <w:hyperlink w:anchor="_Toc172030766" w:history="1">
        <w:r w:rsidR="009D2756" w:rsidRPr="0079633D">
          <w:rPr>
            <w:rStyle w:val="Hyperlink"/>
            <w:noProof/>
          </w:rPr>
          <w:t>Chapter 9: Supporting architecture for health technology assessments</w:t>
        </w:r>
        <w:r w:rsidR="009D2756">
          <w:rPr>
            <w:noProof/>
            <w:webHidden/>
          </w:rPr>
          <w:tab/>
        </w:r>
        <w:r w:rsidR="009D2756">
          <w:rPr>
            <w:noProof/>
            <w:webHidden/>
          </w:rPr>
          <w:fldChar w:fldCharType="begin"/>
        </w:r>
        <w:r w:rsidR="009D2756">
          <w:rPr>
            <w:noProof/>
            <w:webHidden/>
          </w:rPr>
          <w:instrText xml:space="preserve"> PAGEREF _Toc172030766 \h </w:instrText>
        </w:r>
        <w:r w:rsidR="009D2756">
          <w:rPr>
            <w:noProof/>
            <w:webHidden/>
          </w:rPr>
        </w:r>
        <w:r w:rsidR="009D2756">
          <w:rPr>
            <w:noProof/>
            <w:webHidden/>
          </w:rPr>
          <w:fldChar w:fldCharType="separate"/>
        </w:r>
        <w:r w:rsidR="00552B00">
          <w:rPr>
            <w:noProof/>
            <w:webHidden/>
          </w:rPr>
          <w:t>24</w:t>
        </w:r>
        <w:r w:rsidR="009D2756">
          <w:rPr>
            <w:noProof/>
            <w:webHidden/>
          </w:rPr>
          <w:fldChar w:fldCharType="end"/>
        </w:r>
      </w:hyperlink>
    </w:p>
    <w:p w14:paraId="2DEBCB6F" w14:textId="02FA7930" w:rsidR="00E85E64" w:rsidRDefault="00E85E64" w:rsidP="001C5F42">
      <w:r>
        <w:fldChar w:fldCharType="end"/>
      </w:r>
    </w:p>
    <w:p w14:paraId="5E07DDA8" w14:textId="77777777" w:rsidR="00E85E64" w:rsidRDefault="00E85E64">
      <w:pPr>
        <w:jc w:val="left"/>
      </w:pPr>
      <w:r>
        <w:br w:type="page"/>
      </w:r>
    </w:p>
    <w:p w14:paraId="7A150357" w14:textId="77777777" w:rsidR="00E85E64" w:rsidRDefault="00E85E64" w:rsidP="00E85E64">
      <w:pPr>
        <w:pStyle w:val="Heading1"/>
      </w:pPr>
      <w:bookmarkStart w:id="4" w:name="_Toc167787359"/>
      <w:bookmarkStart w:id="5" w:name="_Toc172030749"/>
      <w:r w:rsidRPr="007E3EEF">
        <w:rPr>
          <w:color w:val="193A6E"/>
        </w:rPr>
        <w:lastRenderedPageBreak/>
        <w:t>Preamble</w:t>
      </w:r>
      <w:bookmarkEnd w:id="4"/>
      <w:bookmarkEnd w:id="5"/>
      <w:r>
        <w:t xml:space="preserve"> </w:t>
      </w:r>
    </w:p>
    <w:p w14:paraId="132E1785" w14:textId="2970366D" w:rsidR="00E85E64" w:rsidRDefault="00E85E64" w:rsidP="00053079">
      <w:pPr>
        <w:pStyle w:val="Heading2"/>
      </w:pPr>
      <w:bookmarkStart w:id="6" w:name="_Toc167787360"/>
      <w:bookmarkStart w:id="7" w:name="_Toc172030750"/>
      <w:r>
        <w:t xml:space="preserve">Acknowledgement of </w:t>
      </w:r>
      <w:r w:rsidRPr="00E85E64">
        <w:t>Country</w:t>
      </w:r>
      <w:bookmarkEnd w:id="6"/>
      <w:bookmarkEnd w:id="7"/>
    </w:p>
    <w:p w14:paraId="0E9DB7D5" w14:textId="3FA7543E" w:rsidR="00E85E64" w:rsidRDefault="00E85E64" w:rsidP="00E85E64">
      <w:r>
        <w:t>We acknowledge the Traditional Owners and Custodians of Country across this nation on whose lands we all work, play and live. We acknowledge their ongoing connection to land, waters and community. We pay our respect to Elders past, present and emerging.</w:t>
      </w:r>
    </w:p>
    <w:p w14:paraId="1A9493BC" w14:textId="6B66FD49" w:rsidR="00EF46DD" w:rsidRDefault="00E85E64" w:rsidP="00111447">
      <w:pPr>
        <w:pStyle w:val="Heading2"/>
      </w:pPr>
      <w:bookmarkStart w:id="8" w:name="_Toc167787361"/>
      <w:bookmarkStart w:id="9" w:name="_Hlk167170459"/>
      <w:bookmarkStart w:id="10" w:name="_Toc172030751"/>
      <w:r>
        <w:t>Health Technology Assessment Policy and Methods Review Reference Committee</w:t>
      </w:r>
      <w:bookmarkStart w:id="11" w:name="_Toc167787362"/>
      <w:bookmarkEnd w:id="8"/>
      <w:bookmarkEnd w:id="9"/>
      <w:bookmarkEnd w:id="10"/>
    </w:p>
    <w:tbl>
      <w:tblPr>
        <w:tblStyle w:val="ListTable3-Accent1"/>
        <w:tblW w:w="9188" w:type="dxa"/>
        <w:tblLook w:val="04A0" w:firstRow="1" w:lastRow="0" w:firstColumn="1" w:lastColumn="0" w:noHBand="0" w:noVBand="1"/>
      </w:tblPr>
      <w:tblGrid>
        <w:gridCol w:w="4390"/>
        <w:gridCol w:w="4798"/>
      </w:tblGrid>
      <w:tr w:rsidR="007C3FEE" w:rsidRPr="00D0197A" w14:paraId="1012B6E1" w14:textId="77777777" w:rsidTr="003C7AA6">
        <w:trPr>
          <w:cnfStyle w:val="100000000000" w:firstRow="1" w:lastRow="0" w:firstColumn="0" w:lastColumn="0" w:oddVBand="0" w:evenVBand="0" w:oddHBand="0" w:evenHBand="0" w:firstRowFirstColumn="0" w:firstRowLastColumn="0" w:lastRowFirstColumn="0" w:lastRowLastColumn="0"/>
          <w:trHeight w:val="335"/>
        </w:trPr>
        <w:tc>
          <w:tcPr>
            <w:cnfStyle w:val="001000000100" w:firstRow="0" w:lastRow="0" w:firstColumn="1" w:lastColumn="0" w:oddVBand="0" w:evenVBand="0" w:oddHBand="0" w:evenHBand="0" w:firstRowFirstColumn="1" w:firstRowLastColumn="0" w:lastRowFirstColumn="0" w:lastRowLastColumn="0"/>
            <w:tcW w:w="4390" w:type="dxa"/>
            <w:shd w:val="clear" w:color="auto" w:fill="1D437F"/>
            <w:hideMark/>
          </w:tcPr>
          <w:p w14:paraId="7E543BAA" w14:textId="77777777" w:rsidR="007C3FEE" w:rsidRPr="00D0197A" w:rsidRDefault="007C3FEE" w:rsidP="00E85871">
            <w:pPr>
              <w:spacing w:before="100" w:beforeAutospacing="1" w:after="100" w:afterAutospacing="1"/>
              <w:jc w:val="center"/>
              <w:textAlignment w:val="baseline"/>
              <w:rPr>
                <w:rFonts w:ascii="Times New Roman" w:eastAsia="Times New Roman" w:hAnsi="Times New Roman"/>
                <w:color w:val="000000"/>
                <w:lang w:val="en-US" w:eastAsia="en-AU"/>
              </w:rPr>
            </w:pPr>
            <w:r w:rsidRPr="00D0197A">
              <w:rPr>
                <w:rFonts w:ascii="Times New Roman" w:eastAsia="Times New Roman" w:hAnsi="Times New Roman"/>
                <w:lang w:eastAsia="en-AU"/>
              </w:rPr>
              <w:t> </w:t>
            </w:r>
            <w:r w:rsidRPr="00D0197A">
              <w:rPr>
                <w:rFonts w:ascii="Arial Nova" w:eastAsia="Times New Roman" w:hAnsi="Arial Nova"/>
                <w:color w:val="FFFFFF"/>
                <w:position w:val="-1"/>
                <w:lang w:eastAsia="en-AU"/>
              </w:rPr>
              <w:t>Member</w:t>
            </w:r>
            <w:r w:rsidRPr="00D0197A">
              <w:rPr>
                <w:rFonts w:ascii="Arial" w:eastAsia="Times New Roman" w:hAnsi="Arial" w:cs="Arial"/>
                <w:color w:val="000000"/>
                <w:lang w:val="en-US" w:eastAsia="en-AU"/>
              </w:rPr>
              <w:t>​</w:t>
            </w:r>
          </w:p>
        </w:tc>
        <w:tc>
          <w:tcPr>
            <w:tcW w:w="4798" w:type="dxa"/>
            <w:shd w:val="clear" w:color="auto" w:fill="1D437F"/>
            <w:hideMark/>
          </w:tcPr>
          <w:p w14:paraId="0081D69B" w14:textId="77777777" w:rsidR="007C3FEE" w:rsidRPr="00D0197A" w:rsidRDefault="007C3FEE" w:rsidP="00E85871">
            <w:pPr>
              <w:spacing w:before="100" w:beforeAutospacing="1" w:after="100" w:afterAutospacing="1"/>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US" w:eastAsia="en-AU"/>
              </w:rPr>
            </w:pPr>
            <w:r w:rsidRPr="00D0197A">
              <w:rPr>
                <w:rFonts w:ascii="Arial Nova" w:eastAsia="Times New Roman" w:hAnsi="Arial Nova"/>
                <w:color w:val="FFFFFF"/>
                <w:position w:val="-1"/>
                <w:lang w:eastAsia="en-AU"/>
              </w:rPr>
              <w:t xml:space="preserve">Role on the </w:t>
            </w:r>
            <w:r>
              <w:rPr>
                <w:rFonts w:ascii="Arial Nova" w:eastAsia="Times New Roman" w:hAnsi="Arial Nova"/>
                <w:color w:val="FFFFFF"/>
                <w:position w:val="-1"/>
                <w:lang w:eastAsia="en-AU"/>
              </w:rPr>
              <w:t xml:space="preserve">Reference </w:t>
            </w:r>
            <w:r w:rsidRPr="00D0197A">
              <w:rPr>
                <w:rFonts w:ascii="Arial Nova" w:eastAsia="Times New Roman" w:hAnsi="Arial Nova"/>
                <w:color w:val="FFFFFF"/>
                <w:position w:val="-1"/>
                <w:lang w:eastAsia="en-AU"/>
              </w:rPr>
              <w:t>Committee</w:t>
            </w:r>
            <w:r w:rsidRPr="00D0197A">
              <w:rPr>
                <w:rFonts w:ascii="Arial" w:eastAsia="Times New Roman" w:hAnsi="Arial" w:cs="Arial"/>
                <w:color w:val="000000"/>
                <w:lang w:val="en-US" w:eastAsia="en-AU"/>
              </w:rPr>
              <w:t>​</w:t>
            </w:r>
          </w:p>
        </w:tc>
      </w:tr>
      <w:tr w:rsidR="007C3FEE" w:rsidRPr="00D0197A" w14:paraId="294238B9" w14:textId="77777777" w:rsidTr="003C7AA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390" w:type="dxa"/>
            <w:hideMark/>
          </w:tcPr>
          <w:p w14:paraId="38FE7C8E" w14:textId="77777777" w:rsidR="007C3FEE" w:rsidRPr="00A92F6D" w:rsidRDefault="007C3FEE" w:rsidP="00E85871">
            <w:pPr>
              <w:spacing w:before="100" w:beforeAutospacing="1" w:after="100" w:afterAutospacing="1"/>
              <w:jc w:val="left"/>
              <w:textAlignment w:val="baseline"/>
              <w:rPr>
                <w:rFonts w:ascii="Times New Roman" w:eastAsia="Times New Roman" w:hAnsi="Times New Roman"/>
                <w:b w:val="0"/>
                <w:color w:val="000000"/>
                <w:lang w:val="en-US" w:eastAsia="en-AU"/>
              </w:rPr>
            </w:pPr>
            <w:r w:rsidRPr="00A92F6D">
              <w:rPr>
                <w:rFonts w:ascii="Arial Nova Light" w:eastAsia="Times New Roman" w:hAnsi="Arial Nova Light"/>
                <w:b w:val="0"/>
                <w:color w:val="000000"/>
                <w:position w:val="-1"/>
                <w:lang w:val="pt-BR" w:eastAsia="en-AU"/>
              </w:rPr>
              <w:t>Adjunct Professor Debora Picone AO</w:t>
            </w:r>
            <w:r w:rsidRPr="00A92F6D">
              <w:rPr>
                <w:rFonts w:ascii="Arial" w:eastAsia="Times New Roman" w:hAnsi="Arial" w:cs="Arial"/>
                <w:b w:val="0"/>
                <w:color w:val="000000"/>
                <w:lang w:val="en-US" w:eastAsia="en-AU"/>
              </w:rPr>
              <w:t>​</w:t>
            </w:r>
          </w:p>
        </w:tc>
        <w:tc>
          <w:tcPr>
            <w:tcW w:w="4798" w:type="dxa"/>
            <w:hideMark/>
          </w:tcPr>
          <w:p w14:paraId="15FD1603" w14:textId="77777777" w:rsidR="007C3FEE" w:rsidRPr="00D0197A" w:rsidRDefault="007C3FEE" w:rsidP="00E85871">
            <w:pPr>
              <w:spacing w:before="100" w:beforeAutospacing="1" w:after="100" w:afterAutospacing="1"/>
              <w:jc w:val="lef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US" w:eastAsia="en-AU"/>
              </w:rPr>
            </w:pPr>
            <w:r w:rsidRPr="00D0197A">
              <w:rPr>
                <w:rFonts w:ascii="Arial Nova Light" w:eastAsia="Times New Roman" w:hAnsi="Arial Nova Light"/>
                <w:color w:val="000000"/>
                <w:position w:val="-1"/>
                <w:lang w:eastAsia="en-AU"/>
              </w:rPr>
              <w:t>Independent Chair</w:t>
            </w:r>
            <w:r w:rsidRPr="00D0197A">
              <w:rPr>
                <w:rFonts w:ascii="Arial" w:eastAsia="Times New Roman" w:hAnsi="Arial" w:cs="Arial"/>
                <w:color w:val="000000"/>
                <w:lang w:val="en-US" w:eastAsia="en-AU"/>
              </w:rPr>
              <w:t>​</w:t>
            </w:r>
          </w:p>
        </w:tc>
      </w:tr>
      <w:tr w:rsidR="007C3FEE" w:rsidRPr="00D0197A" w14:paraId="37BC8121" w14:textId="77777777" w:rsidTr="003C7AA6">
        <w:trPr>
          <w:trHeight w:val="335"/>
        </w:trPr>
        <w:tc>
          <w:tcPr>
            <w:cnfStyle w:val="001000000000" w:firstRow="0" w:lastRow="0" w:firstColumn="1" w:lastColumn="0" w:oddVBand="0" w:evenVBand="0" w:oddHBand="0" w:evenHBand="0" w:firstRowFirstColumn="0" w:firstRowLastColumn="0" w:lastRowFirstColumn="0" w:lastRowLastColumn="0"/>
            <w:tcW w:w="4390" w:type="dxa"/>
            <w:hideMark/>
          </w:tcPr>
          <w:p w14:paraId="6C86DD8E" w14:textId="77777777" w:rsidR="007C3FEE" w:rsidRPr="00A92F6D" w:rsidRDefault="007C3FEE" w:rsidP="00E85871">
            <w:pPr>
              <w:spacing w:before="100" w:beforeAutospacing="1" w:after="100" w:afterAutospacing="1"/>
              <w:jc w:val="left"/>
              <w:textAlignment w:val="baseline"/>
              <w:rPr>
                <w:rFonts w:ascii="Times New Roman" w:eastAsia="Times New Roman" w:hAnsi="Times New Roman"/>
                <w:b w:val="0"/>
                <w:color w:val="000000"/>
                <w:lang w:val="en-US" w:eastAsia="en-AU"/>
              </w:rPr>
            </w:pPr>
            <w:r w:rsidRPr="00A92F6D">
              <w:rPr>
                <w:rFonts w:ascii="Arial Nova Light" w:eastAsia="Times New Roman" w:hAnsi="Arial Nova Light"/>
                <w:b w:val="0"/>
                <w:color w:val="000000"/>
                <w:position w:val="-1"/>
                <w:lang w:eastAsia="en-AU"/>
              </w:rPr>
              <w:t>Dr Dawn Casey PSM</w:t>
            </w:r>
            <w:r w:rsidRPr="00A92F6D">
              <w:rPr>
                <w:rFonts w:ascii="Arial" w:eastAsia="Times New Roman" w:hAnsi="Arial" w:cs="Arial"/>
                <w:b w:val="0"/>
                <w:color w:val="000000"/>
                <w:lang w:val="en-US" w:eastAsia="en-AU"/>
              </w:rPr>
              <w:t>​</w:t>
            </w:r>
          </w:p>
        </w:tc>
        <w:tc>
          <w:tcPr>
            <w:tcW w:w="4798" w:type="dxa"/>
            <w:hideMark/>
          </w:tcPr>
          <w:p w14:paraId="0CEE9450" w14:textId="77777777" w:rsidR="007C3FEE" w:rsidRPr="00D0197A" w:rsidRDefault="007C3FEE" w:rsidP="00E85871">
            <w:pPr>
              <w:spacing w:before="100" w:beforeAutospacing="1" w:after="100" w:afterAutospacing="1"/>
              <w:jc w:val="lef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US" w:eastAsia="en-AU"/>
              </w:rPr>
            </w:pPr>
            <w:r w:rsidRPr="00D0197A">
              <w:rPr>
                <w:rFonts w:ascii="Arial Nova Light" w:eastAsia="Times New Roman" w:hAnsi="Arial Nova Light"/>
                <w:color w:val="000000"/>
                <w:position w:val="-1"/>
                <w:lang w:eastAsia="en-AU"/>
              </w:rPr>
              <w:t xml:space="preserve">Patient </w:t>
            </w:r>
            <w:r>
              <w:rPr>
                <w:rFonts w:ascii="Arial Nova Light" w:eastAsia="Times New Roman" w:hAnsi="Arial Nova Light"/>
                <w:color w:val="000000"/>
                <w:position w:val="-1"/>
                <w:lang w:eastAsia="en-AU"/>
              </w:rPr>
              <w:t>r</w:t>
            </w:r>
            <w:r w:rsidRPr="00D0197A">
              <w:rPr>
                <w:rFonts w:ascii="Arial Nova Light" w:eastAsia="Times New Roman" w:hAnsi="Arial Nova Light"/>
                <w:color w:val="000000"/>
                <w:position w:val="-1"/>
                <w:lang w:eastAsia="en-AU"/>
              </w:rPr>
              <w:t>epresentative</w:t>
            </w:r>
            <w:r w:rsidRPr="00D0197A">
              <w:rPr>
                <w:rFonts w:ascii="Arial" w:eastAsia="Times New Roman" w:hAnsi="Arial" w:cs="Arial"/>
                <w:color w:val="000000"/>
                <w:lang w:val="en-US" w:eastAsia="en-AU"/>
              </w:rPr>
              <w:t>​</w:t>
            </w:r>
          </w:p>
        </w:tc>
      </w:tr>
      <w:tr w:rsidR="007C3FEE" w:rsidRPr="00D0197A" w14:paraId="57B9F45C" w14:textId="77777777" w:rsidTr="003C7AA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390" w:type="dxa"/>
            <w:hideMark/>
          </w:tcPr>
          <w:p w14:paraId="55B28E14" w14:textId="77777777" w:rsidR="007C3FEE" w:rsidRPr="00A92F6D" w:rsidRDefault="007C3FEE" w:rsidP="00E85871">
            <w:pPr>
              <w:spacing w:before="100" w:beforeAutospacing="1" w:after="100" w:afterAutospacing="1"/>
              <w:jc w:val="left"/>
              <w:textAlignment w:val="baseline"/>
              <w:rPr>
                <w:rFonts w:ascii="Times New Roman" w:eastAsia="Times New Roman" w:hAnsi="Times New Roman"/>
                <w:b w:val="0"/>
                <w:color w:val="000000"/>
                <w:lang w:val="en-US" w:eastAsia="en-AU"/>
              </w:rPr>
            </w:pPr>
            <w:r w:rsidRPr="00A92F6D">
              <w:rPr>
                <w:rFonts w:ascii="Arial Nova Light" w:eastAsia="Times New Roman" w:hAnsi="Arial Nova Light"/>
                <w:b w:val="0"/>
                <w:color w:val="000000"/>
                <w:position w:val="-1"/>
                <w:lang w:eastAsia="en-AU"/>
              </w:rPr>
              <w:t>Ann Single</w:t>
            </w:r>
            <w:r w:rsidRPr="00A92F6D">
              <w:rPr>
                <w:rFonts w:ascii="Arial" w:eastAsia="Times New Roman" w:hAnsi="Arial" w:cs="Arial"/>
                <w:b w:val="0"/>
                <w:color w:val="000000"/>
                <w:lang w:val="en-US" w:eastAsia="en-AU"/>
              </w:rPr>
              <w:t>​</w:t>
            </w:r>
          </w:p>
        </w:tc>
        <w:tc>
          <w:tcPr>
            <w:tcW w:w="4798" w:type="dxa"/>
            <w:hideMark/>
          </w:tcPr>
          <w:p w14:paraId="3E016CDB" w14:textId="77777777" w:rsidR="007C3FEE" w:rsidRPr="00D0197A" w:rsidRDefault="007C3FEE" w:rsidP="00E85871">
            <w:pPr>
              <w:spacing w:before="100" w:beforeAutospacing="1" w:after="100" w:afterAutospacing="1"/>
              <w:jc w:val="lef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US" w:eastAsia="en-AU"/>
              </w:rPr>
            </w:pPr>
            <w:r w:rsidRPr="00D0197A">
              <w:rPr>
                <w:rFonts w:ascii="Arial Nova Light" w:eastAsia="Times New Roman" w:hAnsi="Arial Nova Light"/>
                <w:color w:val="000000"/>
                <w:position w:val="-1"/>
                <w:lang w:eastAsia="en-AU"/>
              </w:rPr>
              <w:t xml:space="preserve">Patient </w:t>
            </w:r>
            <w:r>
              <w:rPr>
                <w:rFonts w:ascii="Arial Nova Light" w:eastAsia="Times New Roman" w:hAnsi="Arial Nova Light"/>
                <w:color w:val="000000"/>
                <w:position w:val="-1"/>
                <w:lang w:eastAsia="en-AU"/>
              </w:rPr>
              <w:t>r</w:t>
            </w:r>
            <w:r w:rsidRPr="00D0197A">
              <w:rPr>
                <w:rFonts w:ascii="Arial Nova Light" w:eastAsia="Times New Roman" w:hAnsi="Arial Nova Light"/>
                <w:color w:val="000000"/>
                <w:position w:val="-1"/>
                <w:lang w:eastAsia="en-AU"/>
              </w:rPr>
              <w:t>epresentative</w:t>
            </w:r>
            <w:r w:rsidRPr="00D0197A">
              <w:rPr>
                <w:rFonts w:ascii="Arial" w:eastAsia="Times New Roman" w:hAnsi="Arial" w:cs="Arial"/>
                <w:color w:val="000000"/>
                <w:lang w:val="en-US" w:eastAsia="en-AU"/>
              </w:rPr>
              <w:t>​</w:t>
            </w:r>
          </w:p>
        </w:tc>
      </w:tr>
      <w:tr w:rsidR="007C3FEE" w:rsidRPr="00D0197A" w14:paraId="053AA3AD" w14:textId="77777777" w:rsidTr="003C7AA6">
        <w:trPr>
          <w:trHeight w:val="335"/>
        </w:trPr>
        <w:tc>
          <w:tcPr>
            <w:cnfStyle w:val="001000000000" w:firstRow="0" w:lastRow="0" w:firstColumn="1" w:lastColumn="0" w:oddVBand="0" w:evenVBand="0" w:oddHBand="0" w:evenHBand="0" w:firstRowFirstColumn="0" w:firstRowLastColumn="0" w:lastRowFirstColumn="0" w:lastRowLastColumn="0"/>
            <w:tcW w:w="4390" w:type="dxa"/>
            <w:hideMark/>
          </w:tcPr>
          <w:p w14:paraId="13E04F5B" w14:textId="25E0E5E7" w:rsidR="007C3FEE" w:rsidRPr="00A92F6D" w:rsidRDefault="007C3FEE" w:rsidP="00E85871">
            <w:pPr>
              <w:spacing w:before="100" w:beforeAutospacing="1" w:after="100" w:afterAutospacing="1"/>
              <w:jc w:val="left"/>
              <w:textAlignment w:val="baseline"/>
              <w:rPr>
                <w:rFonts w:ascii="Times New Roman" w:eastAsia="Times New Roman" w:hAnsi="Times New Roman"/>
                <w:b w:val="0"/>
                <w:color w:val="000000"/>
                <w:lang w:val="en-US" w:eastAsia="en-AU"/>
              </w:rPr>
            </w:pPr>
            <w:r w:rsidRPr="00A92F6D">
              <w:rPr>
                <w:rFonts w:ascii="Arial Nova Light" w:eastAsia="Times New Roman" w:hAnsi="Arial Nova Light"/>
                <w:b w:val="0"/>
                <w:color w:val="000000"/>
                <w:position w:val="-1"/>
                <w:lang w:eastAsia="en-AU"/>
              </w:rPr>
              <w:t>Professor Andrew Wilson</w:t>
            </w:r>
            <w:r w:rsidRPr="00A92F6D">
              <w:rPr>
                <w:rFonts w:ascii="Arial" w:eastAsia="Times New Roman" w:hAnsi="Arial" w:cs="Arial"/>
                <w:b w:val="0"/>
                <w:color w:val="000000"/>
                <w:lang w:val="en-US" w:eastAsia="en-AU"/>
              </w:rPr>
              <w:t>​</w:t>
            </w:r>
            <w:r w:rsidR="003561E7">
              <w:rPr>
                <w:rFonts w:ascii="Arial" w:eastAsia="Times New Roman" w:hAnsi="Arial" w:cs="Arial"/>
                <w:b w:val="0"/>
                <w:color w:val="000000"/>
                <w:lang w:val="en-US" w:eastAsia="en-AU"/>
              </w:rPr>
              <w:t xml:space="preserve"> AO</w:t>
            </w:r>
          </w:p>
        </w:tc>
        <w:tc>
          <w:tcPr>
            <w:tcW w:w="4798" w:type="dxa"/>
            <w:hideMark/>
          </w:tcPr>
          <w:p w14:paraId="1F51190C" w14:textId="77777777" w:rsidR="007C3FEE" w:rsidRPr="00D0197A" w:rsidRDefault="007C3FEE" w:rsidP="00E85871">
            <w:pPr>
              <w:spacing w:before="100" w:beforeAutospacing="1" w:after="100" w:afterAutospacing="1"/>
              <w:jc w:val="lef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US" w:eastAsia="en-AU"/>
              </w:rPr>
            </w:pPr>
            <w:r w:rsidRPr="00D0197A">
              <w:rPr>
                <w:rFonts w:ascii="Arial Nova Light" w:eastAsia="Times New Roman" w:hAnsi="Arial Nova Light"/>
                <w:color w:val="000000"/>
                <w:position w:val="-1"/>
                <w:lang w:eastAsia="en-AU"/>
              </w:rPr>
              <w:t>Chair of the P</w:t>
            </w:r>
            <w:r>
              <w:rPr>
                <w:rFonts w:ascii="Arial Nova Light" w:eastAsia="Times New Roman" w:hAnsi="Arial Nova Light"/>
                <w:color w:val="000000"/>
                <w:position w:val="-1"/>
                <w:lang w:eastAsia="en-AU"/>
              </w:rPr>
              <w:t xml:space="preserve">harmaceutical </w:t>
            </w:r>
            <w:r w:rsidRPr="00D0197A">
              <w:rPr>
                <w:rFonts w:ascii="Arial Nova Light" w:eastAsia="Times New Roman" w:hAnsi="Arial Nova Light"/>
                <w:color w:val="000000"/>
                <w:position w:val="-1"/>
                <w:lang w:eastAsia="en-AU"/>
              </w:rPr>
              <w:t>B</w:t>
            </w:r>
            <w:r>
              <w:rPr>
                <w:rFonts w:ascii="Arial Nova Light" w:eastAsia="Times New Roman" w:hAnsi="Arial Nova Light"/>
                <w:color w:val="000000"/>
                <w:position w:val="-1"/>
                <w:lang w:eastAsia="en-AU"/>
              </w:rPr>
              <w:t xml:space="preserve">enefits </w:t>
            </w:r>
            <w:r w:rsidRPr="00D0197A">
              <w:rPr>
                <w:rFonts w:ascii="Arial Nova Light" w:eastAsia="Times New Roman" w:hAnsi="Arial Nova Light"/>
                <w:color w:val="000000"/>
                <w:position w:val="-1"/>
                <w:lang w:eastAsia="en-AU"/>
              </w:rPr>
              <w:t>A</w:t>
            </w:r>
            <w:r>
              <w:rPr>
                <w:rFonts w:ascii="Arial Nova Light" w:eastAsia="Times New Roman" w:hAnsi="Arial Nova Light"/>
                <w:color w:val="000000"/>
                <w:position w:val="-1"/>
                <w:lang w:eastAsia="en-AU"/>
              </w:rPr>
              <w:t xml:space="preserve">dvisory </w:t>
            </w:r>
            <w:r w:rsidRPr="00D0197A">
              <w:rPr>
                <w:rFonts w:ascii="Arial Nova Light" w:eastAsia="Times New Roman" w:hAnsi="Arial Nova Light"/>
                <w:color w:val="000000"/>
                <w:position w:val="-1"/>
                <w:lang w:eastAsia="en-AU"/>
              </w:rPr>
              <w:t>C</w:t>
            </w:r>
            <w:r>
              <w:rPr>
                <w:rFonts w:ascii="Arial Nova Light" w:eastAsia="Times New Roman" w:hAnsi="Arial Nova Light"/>
                <w:color w:val="000000"/>
                <w:position w:val="-1"/>
                <w:lang w:eastAsia="en-AU"/>
              </w:rPr>
              <w:t>ommittee</w:t>
            </w:r>
            <w:r w:rsidRPr="00D0197A">
              <w:rPr>
                <w:rFonts w:ascii="Arial" w:eastAsia="Times New Roman" w:hAnsi="Arial" w:cs="Arial"/>
                <w:color w:val="000000"/>
                <w:lang w:val="en-US" w:eastAsia="en-AU"/>
              </w:rPr>
              <w:t>​</w:t>
            </w:r>
          </w:p>
        </w:tc>
      </w:tr>
      <w:tr w:rsidR="007C3FEE" w:rsidRPr="00D0197A" w14:paraId="76015BED" w14:textId="77777777" w:rsidTr="003C7AA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390" w:type="dxa"/>
            <w:hideMark/>
          </w:tcPr>
          <w:p w14:paraId="35A5CDCF" w14:textId="77777777" w:rsidR="007C3FEE" w:rsidRPr="00A92F6D" w:rsidRDefault="007C3FEE" w:rsidP="00E85871">
            <w:pPr>
              <w:spacing w:before="100" w:beforeAutospacing="1" w:after="100" w:afterAutospacing="1"/>
              <w:jc w:val="left"/>
              <w:textAlignment w:val="baseline"/>
              <w:rPr>
                <w:rFonts w:ascii="Times New Roman" w:eastAsia="Times New Roman" w:hAnsi="Times New Roman"/>
                <w:b w:val="0"/>
                <w:color w:val="000000"/>
                <w:lang w:val="en-US" w:eastAsia="en-AU"/>
              </w:rPr>
            </w:pPr>
            <w:r w:rsidRPr="00A92F6D">
              <w:rPr>
                <w:rFonts w:ascii="Arial Nova Light" w:eastAsia="Times New Roman" w:hAnsi="Arial Nova Light"/>
                <w:b w:val="0"/>
                <w:color w:val="000000"/>
                <w:position w:val="-1"/>
                <w:lang w:eastAsia="en-AU"/>
              </w:rPr>
              <w:t>Professor Andrew Roberts AM</w:t>
            </w:r>
            <w:r w:rsidRPr="00A92F6D">
              <w:rPr>
                <w:rFonts w:ascii="Arial" w:eastAsia="Times New Roman" w:hAnsi="Arial" w:cs="Arial"/>
                <w:b w:val="0"/>
                <w:color w:val="000000"/>
                <w:lang w:val="en-US" w:eastAsia="en-AU"/>
              </w:rPr>
              <w:t>​</w:t>
            </w:r>
          </w:p>
        </w:tc>
        <w:tc>
          <w:tcPr>
            <w:tcW w:w="4798" w:type="dxa"/>
            <w:hideMark/>
          </w:tcPr>
          <w:p w14:paraId="34D54D40" w14:textId="77777777" w:rsidR="007C3FEE" w:rsidRPr="00D0197A" w:rsidRDefault="007C3FEE" w:rsidP="00E85871">
            <w:pPr>
              <w:spacing w:before="100" w:beforeAutospacing="1" w:after="100" w:afterAutospacing="1"/>
              <w:jc w:val="lef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US" w:eastAsia="en-AU"/>
              </w:rPr>
            </w:pPr>
            <w:r w:rsidRPr="00D0197A">
              <w:rPr>
                <w:rFonts w:ascii="Arial Nova Light" w:eastAsia="Times New Roman" w:hAnsi="Arial Nova Light"/>
                <w:color w:val="000000"/>
                <w:position w:val="-1"/>
                <w:lang w:eastAsia="en-AU"/>
              </w:rPr>
              <w:t>Clinical/</w:t>
            </w:r>
            <w:r>
              <w:rPr>
                <w:rFonts w:ascii="Arial Nova Light" w:eastAsia="Times New Roman" w:hAnsi="Arial Nova Light"/>
                <w:color w:val="000000"/>
                <w:position w:val="-1"/>
                <w:lang w:eastAsia="en-AU"/>
              </w:rPr>
              <w:t>s</w:t>
            </w:r>
            <w:r w:rsidRPr="00D0197A">
              <w:rPr>
                <w:rFonts w:ascii="Arial Nova Light" w:eastAsia="Times New Roman" w:hAnsi="Arial Nova Light"/>
                <w:color w:val="000000"/>
                <w:position w:val="-1"/>
                <w:lang w:eastAsia="en-AU"/>
              </w:rPr>
              <w:t>cientific </w:t>
            </w:r>
            <w:r>
              <w:rPr>
                <w:rFonts w:ascii="Arial Nova Light" w:eastAsia="Times New Roman" w:hAnsi="Arial Nova Light"/>
                <w:color w:val="000000"/>
                <w:position w:val="-1"/>
                <w:lang w:eastAsia="en-AU"/>
              </w:rPr>
              <w:t>r</w:t>
            </w:r>
            <w:r w:rsidRPr="00D0197A">
              <w:rPr>
                <w:rFonts w:ascii="Arial Nova Light" w:eastAsia="Times New Roman" w:hAnsi="Arial Nova Light"/>
                <w:color w:val="000000"/>
                <w:position w:val="-1"/>
                <w:lang w:eastAsia="en-AU"/>
              </w:rPr>
              <w:t>epresentative</w:t>
            </w:r>
            <w:r w:rsidRPr="00D0197A">
              <w:rPr>
                <w:rFonts w:ascii="Arial" w:eastAsia="Times New Roman" w:hAnsi="Arial" w:cs="Arial"/>
                <w:color w:val="000000"/>
                <w:lang w:val="en-US" w:eastAsia="en-AU"/>
              </w:rPr>
              <w:t>​</w:t>
            </w:r>
          </w:p>
        </w:tc>
      </w:tr>
      <w:tr w:rsidR="007C3FEE" w:rsidRPr="00D0197A" w14:paraId="54B6EF99" w14:textId="77777777" w:rsidTr="003C7AA6">
        <w:trPr>
          <w:trHeight w:val="335"/>
        </w:trPr>
        <w:tc>
          <w:tcPr>
            <w:cnfStyle w:val="001000000000" w:firstRow="0" w:lastRow="0" w:firstColumn="1" w:lastColumn="0" w:oddVBand="0" w:evenVBand="0" w:oddHBand="0" w:evenHBand="0" w:firstRowFirstColumn="0" w:firstRowLastColumn="0" w:lastRowFirstColumn="0" w:lastRowLastColumn="0"/>
            <w:tcW w:w="4390" w:type="dxa"/>
            <w:hideMark/>
          </w:tcPr>
          <w:p w14:paraId="2D307E79" w14:textId="77777777" w:rsidR="007C3FEE" w:rsidRPr="00A92F6D" w:rsidRDefault="007C3FEE" w:rsidP="00E85871">
            <w:pPr>
              <w:spacing w:before="100" w:beforeAutospacing="1" w:after="100" w:afterAutospacing="1"/>
              <w:jc w:val="left"/>
              <w:textAlignment w:val="baseline"/>
              <w:rPr>
                <w:rFonts w:ascii="Times New Roman" w:eastAsia="Times New Roman" w:hAnsi="Times New Roman"/>
                <w:b w:val="0"/>
                <w:color w:val="000000"/>
                <w:lang w:val="en-US" w:eastAsia="en-AU"/>
              </w:rPr>
            </w:pPr>
            <w:r w:rsidRPr="00A92F6D">
              <w:rPr>
                <w:rFonts w:ascii="Arial Nova Light" w:eastAsia="Times New Roman" w:hAnsi="Arial Nova Light"/>
                <w:b w:val="0"/>
                <w:color w:val="000000"/>
                <w:position w:val="-1"/>
                <w:lang w:eastAsia="en-AU"/>
              </w:rPr>
              <w:t>Elizabeth de Somer</w:t>
            </w:r>
            <w:r w:rsidRPr="00A92F6D">
              <w:rPr>
                <w:rFonts w:ascii="Arial" w:eastAsia="Times New Roman" w:hAnsi="Arial" w:cs="Arial"/>
                <w:b w:val="0"/>
                <w:color w:val="000000"/>
                <w:lang w:val="en-US" w:eastAsia="en-AU"/>
              </w:rPr>
              <w:t>​</w:t>
            </w:r>
          </w:p>
        </w:tc>
        <w:tc>
          <w:tcPr>
            <w:tcW w:w="4798" w:type="dxa"/>
            <w:hideMark/>
          </w:tcPr>
          <w:p w14:paraId="3870A6AC" w14:textId="77777777" w:rsidR="007C3FEE" w:rsidRPr="00D0197A" w:rsidRDefault="007C3FEE" w:rsidP="00E85871">
            <w:pPr>
              <w:spacing w:before="100" w:beforeAutospacing="1" w:after="100" w:afterAutospacing="1"/>
              <w:jc w:val="left"/>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lang w:val="en-US" w:eastAsia="en-AU"/>
              </w:rPr>
            </w:pPr>
            <w:r w:rsidRPr="00D0197A">
              <w:rPr>
                <w:rFonts w:ascii="Arial Nova Light" w:eastAsia="Times New Roman" w:hAnsi="Arial Nova Light"/>
                <w:color w:val="000000"/>
                <w:position w:val="-1"/>
                <w:lang w:eastAsia="en-AU"/>
              </w:rPr>
              <w:t>Member nominated by Medicines Australia</w:t>
            </w:r>
            <w:r w:rsidRPr="00D0197A">
              <w:rPr>
                <w:rFonts w:ascii="Arial" w:eastAsia="Times New Roman" w:hAnsi="Arial" w:cs="Arial"/>
                <w:color w:val="000000"/>
                <w:lang w:val="en-US" w:eastAsia="en-AU"/>
              </w:rPr>
              <w:t>​</w:t>
            </w:r>
          </w:p>
        </w:tc>
      </w:tr>
      <w:tr w:rsidR="007C3FEE" w:rsidRPr="00D0197A" w14:paraId="726B0EAA" w14:textId="77777777" w:rsidTr="003C7AA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390" w:type="dxa"/>
            <w:hideMark/>
          </w:tcPr>
          <w:p w14:paraId="091295A1" w14:textId="77777777" w:rsidR="007C3FEE" w:rsidRPr="00A92F6D" w:rsidRDefault="007C3FEE" w:rsidP="00E85871">
            <w:pPr>
              <w:spacing w:before="100" w:beforeAutospacing="1" w:after="100" w:afterAutospacing="1"/>
              <w:jc w:val="left"/>
              <w:textAlignment w:val="baseline"/>
              <w:rPr>
                <w:rFonts w:ascii="Times New Roman" w:eastAsia="Times New Roman" w:hAnsi="Times New Roman"/>
                <w:b w:val="0"/>
                <w:color w:val="000000"/>
                <w:lang w:val="en-US" w:eastAsia="en-AU"/>
              </w:rPr>
            </w:pPr>
            <w:r w:rsidRPr="00A92F6D">
              <w:rPr>
                <w:rFonts w:ascii="Arial Nova Light" w:eastAsia="Times New Roman" w:hAnsi="Arial Nova Light"/>
                <w:b w:val="0"/>
                <w:color w:val="000000"/>
                <w:position w:val="-1"/>
                <w:lang w:eastAsia="en-AU"/>
              </w:rPr>
              <w:t>Adjunct Professor Adriana Platona PSM</w:t>
            </w:r>
            <w:r w:rsidRPr="00A92F6D">
              <w:rPr>
                <w:rFonts w:ascii="Arial" w:eastAsia="Times New Roman" w:hAnsi="Arial" w:cs="Arial"/>
                <w:b w:val="0"/>
                <w:color w:val="000000"/>
                <w:lang w:val="en-US" w:eastAsia="en-AU"/>
              </w:rPr>
              <w:t>​</w:t>
            </w:r>
          </w:p>
        </w:tc>
        <w:tc>
          <w:tcPr>
            <w:tcW w:w="4798" w:type="dxa"/>
            <w:hideMark/>
          </w:tcPr>
          <w:p w14:paraId="2902FB2F" w14:textId="77777777" w:rsidR="007C3FEE" w:rsidRPr="00D0197A" w:rsidRDefault="007C3FEE" w:rsidP="00E85871">
            <w:pPr>
              <w:spacing w:before="100" w:beforeAutospacing="1" w:after="100" w:afterAutospacing="1"/>
              <w:jc w:val="left"/>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lang w:val="en-US" w:eastAsia="en-AU"/>
              </w:rPr>
            </w:pPr>
            <w:r w:rsidRPr="00D0197A">
              <w:rPr>
                <w:rFonts w:ascii="Arial Nova Light" w:eastAsia="Times New Roman" w:hAnsi="Arial Nova Light"/>
                <w:color w:val="000000"/>
                <w:position w:val="-1"/>
                <w:lang w:eastAsia="en-AU"/>
              </w:rPr>
              <w:t>Member nominated by </w:t>
            </w:r>
            <w:r>
              <w:rPr>
                <w:rFonts w:ascii="Arial Nova Light" w:eastAsia="Times New Roman" w:hAnsi="Arial Nova Light"/>
                <w:color w:val="000000"/>
                <w:position w:val="-1"/>
                <w:lang w:eastAsia="en-AU"/>
              </w:rPr>
              <w:t>the</w:t>
            </w:r>
            <w:r w:rsidRPr="00D0197A">
              <w:rPr>
                <w:rFonts w:ascii="Arial Nova Light" w:eastAsia="Times New Roman" w:hAnsi="Arial Nova Light"/>
                <w:color w:val="000000"/>
                <w:position w:val="-1"/>
                <w:lang w:eastAsia="en-AU"/>
              </w:rPr>
              <w:t xml:space="preserve"> Australia</w:t>
            </w:r>
            <w:r>
              <w:rPr>
                <w:rFonts w:ascii="Arial Nova Light" w:eastAsia="Times New Roman" w:hAnsi="Arial Nova Light"/>
                <w:color w:val="000000"/>
                <w:position w:val="-1"/>
                <w:lang w:eastAsia="en-AU"/>
              </w:rPr>
              <w:t>n Government</w:t>
            </w:r>
          </w:p>
        </w:tc>
      </w:tr>
    </w:tbl>
    <w:p w14:paraId="101E92BC" w14:textId="77777777" w:rsidR="007C3FEE" w:rsidRPr="00D714A7" w:rsidRDefault="007C3FEE" w:rsidP="007C3FEE">
      <w:pPr>
        <w:rPr>
          <w:rFonts w:eastAsia="Segoe UI" w:cs="Segoe UI"/>
          <w:i/>
          <w:iCs/>
          <w:color w:val="313131"/>
          <w:sz w:val="20"/>
          <w:szCs w:val="20"/>
        </w:rPr>
      </w:pPr>
      <w:r w:rsidRPr="00D714A7">
        <w:rPr>
          <w:rFonts w:eastAsia="Segoe UI" w:cs="Segoe UI"/>
          <w:i/>
          <w:iCs/>
          <w:color w:val="313131"/>
          <w:sz w:val="20"/>
          <w:szCs w:val="20"/>
        </w:rPr>
        <w:t xml:space="preserve"> * Before Elizabeth de </w:t>
      </w:r>
      <w:proofErr w:type="spellStart"/>
      <w:r w:rsidRPr="00D714A7">
        <w:rPr>
          <w:rFonts w:eastAsia="Segoe UI" w:cs="Segoe UI"/>
          <w:i/>
          <w:iCs/>
          <w:color w:val="313131"/>
          <w:sz w:val="20"/>
          <w:szCs w:val="20"/>
        </w:rPr>
        <w:t>Somer’s</w:t>
      </w:r>
      <w:proofErr w:type="spellEnd"/>
      <w:r w:rsidRPr="00D714A7">
        <w:rPr>
          <w:rFonts w:eastAsia="Segoe UI" w:cs="Segoe UI"/>
          <w:i/>
          <w:iCs/>
          <w:color w:val="313131"/>
          <w:sz w:val="20"/>
          <w:szCs w:val="20"/>
        </w:rPr>
        <w:t xml:space="preserve"> appointment to the Reference Committee, John Young was Medicines Australia’s nominated member. He stepped down from 7 March 2023 due to taking up another position.</w:t>
      </w:r>
    </w:p>
    <w:p w14:paraId="28A4E9E8" w14:textId="75D8D5F2" w:rsidR="00E85E64" w:rsidRDefault="00E85E64" w:rsidP="00053079">
      <w:pPr>
        <w:pStyle w:val="Heading2"/>
      </w:pPr>
      <w:bookmarkStart w:id="12" w:name="_Toc172030752"/>
      <w:r>
        <w:t>Acknowledgements</w:t>
      </w:r>
      <w:bookmarkEnd w:id="11"/>
      <w:bookmarkEnd w:id="12"/>
    </w:p>
    <w:p w14:paraId="59AE3DA6" w14:textId="64F568B8" w:rsidR="00E85E64" w:rsidRDefault="00E85E64" w:rsidP="007E3EEF">
      <w:r>
        <w:t xml:space="preserve">The </w:t>
      </w:r>
      <w:r w:rsidRPr="000C5623">
        <w:t>Health Technology Assessment Policy and Methods</w:t>
      </w:r>
      <w:r w:rsidRPr="00622514">
        <w:t xml:space="preserve"> Review</w:t>
      </w:r>
      <w:r>
        <w:t xml:space="preserve"> </w:t>
      </w:r>
      <w:r w:rsidRPr="00622514">
        <w:t xml:space="preserve">Reference Committee </w:t>
      </w:r>
      <w:r>
        <w:t>would like to acknowledge the significant contributions to the Review by the members of the Review Secretariat:</w:t>
      </w:r>
    </w:p>
    <w:p w14:paraId="0C7FF761" w14:textId="35BF5786" w:rsidR="00E85E64" w:rsidRPr="000F4094" w:rsidRDefault="00E85E64" w:rsidP="007E3EEF">
      <w:r>
        <w:t xml:space="preserve">Malanie Banney, Daniel Chaston, Jeff Chau, Abby Ching, Eliana Della Flora, Lauren Kucka, Christopher Lee and Yun Zhong. </w:t>
      </w:r>
    </w:p>
    <w:p w14:paraId="2441F133" w14:textId="3A51746F" w:rsidR="00E85E64" w:rsidRDefault="00E85E64" w:rsidP="00B128D7">
      <w:pPr>
        <w:rPr>
          <w:rFonts w:eastAsia="Times New Roman" w:cs="Segoe UI"/>
          <w:color w:val="0A1D37" w:themeColor="text2" w:themeShade="80"/>
          <w:kern w:val="28"/>
          <w:sz w:val="56"/>
          <w:szCs w:val="56"/>
        </w:rPr>
      </w:pPr>
      <w:r>
        <w:t xml:space="preserve">The Reference Committee would also like to thank the dedicated stakeholders: a </w:t>
      </w:r>
      <w:r w:rsidRPr="00E47344">
        <w:t xml:space="preserve">diverse range of </w:t>
      </w:r>
      <w:r>
        <w:t xml:space="preserve">groups and </w:t>
      </w:r>
      <w:r w:rsidRPr="00E47344">
        <w:t xml:space="preserve">individuals </w:t>
      </w:r>
      <w:r>
        <w:t xml:space="preserve">who </w:t>
      </w:r>
      <w:r w:rsidRPr="00A02033">
        <w:t>meaningfully</w:t>
      </w:r>
      <w:r w:rsidRPr="00E47344">
        <w:t xml:space="preserve"> and </w:t>
      </w:r>
      <w:r w:rsidRPr="00A02033">
        <w:t xml:space="preserve">constructively </w:t>
      </w:r>
      <w:r>
        <w:t xml:space="preserve">contributed to the Review. </w:t>
      </w:r>
    </w:p>
    <w:p w14:paraId="045D1BA7" w14:textId="77777777" w:rsidR="00040320" w:rsidRDefault="00040320" w:rsidP="001C5F42"/>
    <w:p w14:paraId="2FD2FD1A" w14:textId="77777777" w:rsidR="00040320" w:rsidRDefault="00040320">
      <w:pPr>
        <w:jc w:val="left"/>
      </w:pPr>
      <w:r>
        <w:br w:type="page"/>
      </w:r>
    </w:p>
    <w:p w14:paraId="6CD22FC0" w14:textId="496DE880" w:rsidR="0013533E" w:rsidRDefault="00410D23" w:rsidP="00E57251">
      <w:pPr>
        <w:pStyle w:val="Heading1"/>
        <w:rPr>
          <w:color w:val="193A6E"/>
        </w:rPr>
      </w:pPr>
      <w:bookmarkStart w:id="13" w:name="_Toc170210004"/>
      <w:bookmarkStart w:id="14" w:name="_Toc170238454"/>
      <w:bookmarkStart w:id="15" w:name="_Toc172030753"/>
      <w:r>
        <w:rPr>
          <w:color w:val="193A6E"/>
        </w:rPr>
        <w:lastRenderedPageBreak/>
        <w:t>Context</w:t>
      </w:r>
      <w:bookmarkEnd w:id="13"/>
      <w:bookmarkEnd w:id="14"/>
      <w:bookmarkEnd w:id="15"/>
    </w:p>
    <w:p w14:paraId="599B2E4D" w14:textId="1A7AF218" w:rsidR="0013533E" w:rsidRDefault="00EF0F03" w:rsidP="00821B32">
      <w:r>
        <w:t>Th</w:t>
      </w:r>
      <w:r w:rsidR="00E600DF">
        <w:t xml:space="preserve">e </w:t>
      </w:r>
      <w:r w:rsidR="006970BF">
        <w:t xml:space="preserve">Health Technology Assessment Policy and Methods Review </w:t>
      </w:r>
      <w:r w:rsidR="00673BD2">
        <w:t xml:space="preserve">(Review) </w:t>
      </w:r>
      <w:r w:rsidR="00C6702C" w:rsidRPr="00043A33">
        <w:t xml:space="preserve">was </w:t>
      </w:r>
      <w:r w:rsidR="00040320" w:rsidRPr="00043A33">
        <w:t xml:space="preserve">established </w:t>
      </w:r>
      <w:r w:rsidR="00C6702C" w:rsidRPr="00043A33">
        <w:t xml:space="preserve">to </w:t>
      </w:r>
      <w:r w:rsidR="00012287" w:rsidRPr="00043A33">
        <w:t xml:space="preserve">examine </w:t>
      </w:r>
      <w:r w:rsidR="008570E9" w:rsidRPr="00043A33">
        <w:t>Australia’s</w:t>
      </w:r>
      <w:r w:rsidR="00A01D03" w:rsidRPr="00043A33">
        <w:t xml:space="preserve"> </w:t>
      </w:r>
      <w:r w:rsidR="007C14C7" w:rsidRPr="00043A33">
        <w:t xml:space="preserve">approach to </w:t>
      </w:r>
      <w:r w:rsidR="00016610" w:rsidRPr="00043A33">
        <w:t>assessing health technologies for government funding</w:t>
      </w:r>
      <w:r w:rsidR="006970BF">
        <w:t xml:space="preserve">, </w:t>
      </w:r>
      <w:r w:rsidR="00016610" w:rsidRPr="00043A33">
        <w:t xml:space="preserve">and </w:t>
      </w:r>
      <w:r w:rsidR="006970BF">
        <w:t xml:space="preserve">to </w:t>
      </w:r>
      <w:r w:rsidR="00016610" w:rsidRPr="00043A33">
        <w:t xml:space="preserve">deliver </w:t>
      </w:r>
      <w:r w:rsidR="008570E9" w:rsidRPr="00043A33">
        <w:t>a report and recommendations to the Australian Government.</w:t>
      </w:r>
      <w:r w:rsidR="008570E9">
        <w:t xml:space="preserve"> </w:t>
      </w:r>
    </w:p>
    <w:p w14:paraId="609B684A" w14:textId="1C8B9FC4" w:rsidR="00F31021" w:rsidRPr="004D4564" w:rsidRDefault="00F604CB" w:rsidP="00F31021">
      <w:pPr>
        <w:rPr>
          <w:rFonts w:cs="Segoe UI"/>
        </w:rPr>
      </w:pPr>
      <w:r>
        <w:rPr>
          <w:rFonts w:cs="Segoe UI"/>
        </w:rPr>
        <w:t xml:space="preserve">The Review </w:t>
      </w:r>
      <w:r w:rsidR="00A01D03">
        <w:rPr>
          <w:rFonts w:cs="Segoe UI"/>
        </w:rPr>
        <w:t xml:space="preserve">has </w:t>
      </w:r>
      <w:r w:rsidR="00043A33">
        <w:rPr>
          <w:rFonts w:cs="Segoe UI"/>
        </w:rPr>
        <w:t>recommend</w:t>
      </w:r>
      <w:r w:rsidR="00A01D03">
        <w:rPr>
          <w:rFonts w:cs="Segoe UI"/>
        </w:rPr>
        <w:t>ed</w:t>
      </w:r>
      <w:r w:rsidR="00043A33">
        <w:rPr>
          <w:rFonts w:cs="Segoe UI"/>
        </w:rPr>
        <w:t xml:space="preserve"> </w:t>
      </w:r>
      <w:r w:rsidR="00E85E64">
        <w:rPr>
          <w:rFonts w:cs="Segoe UI"/>
        </w:rPr>
        <w:t>comprehensive reforms</w:t>
      </w:r>
      <w:r w:rsidR="006970BF">
        <w:rPr>
          <w:rFonts w:cs="Segoe UI"/>
        </w:rPr>
        <w:t xml:space="preserve"> that take </w:t>
      </w:r>
      <w:r w:rsidR="00040320">
        <w:rPr>
          <w:rFonts w:cs="Segoe UI"/>
        </w:rPr>
        <w:t>a</w:t>
      </w:r>
      <w:r w:rsidR="00F31021" w:rsidRPr="004D4564">
        <w:rPr>
          <w:rFonts w:cs="Segoe UI"/>
        </w:rPr>
        <w:t xml:space="preserve"> multifaceted approach to improv</w:t>
      </w:r>
      <w:r w:rsidR="00B128D7">
        <w:rPr>
          <w:rFonts w:cs="Segoe UI"/>
        </w:rPr>
        <w:t>ing</w:t>
      </w:r>
      <w:r w:rsidR="00F31021" w:rsidRPr="004D4564">
        <w:rPr>
          <w:rFonts w:cs="Segoe UI"/>
        </w:rPr>
        <w:t xml:space="preserve"> </w:t>
      </w:r>
      <w:r w:rsidR="006970BF">
        <w:rPr>
          <w:rFonts w:cs="Segoe UI"/>
        </w:rPr>
        <w:t>Australia’s</w:t>
      </w:r>
      <w:r w:rsidR="006970BF" w:rsidRPr="004D4564">
        <w:rPr>
          <w:rFonts w:cs="Segoe UI"/>
        </w:rPr>
        <w:t xml:space="preserve"> </w:t>
      </w:r>
      <w:r>
        <w:rPr>
          <w:rFonts w:cs="Segoe UI"/>
        </w:rPr>
        <w:t>h</w:t>
      </w:r>
      <w:r w:rsidR="00B43781">
        <w:rPr>
          <w:rFonts w:cs="Segoe UI"/>
        </w:rPr>
        <w:t xml:space="preserve">ealth </w:t>
      </w:r>
      <w:r>
        <w:rPr>
          <w:rFonts w:cs="Segoe UI"/>
        </w:rPr>
        <w:t>t</w:t>
      </w:r>
      <w:r w:rsidR="00B43781">
        <w:rPr>
          <w:rFonts w:cs="Segoe UI"/>
        </w:rPr>
        <w:t xml:space="preserve">echnology </w:t>
      </w:r>
      <w:r>
        <w:rPr>
          <w:rFonts w:cs="Segoe UI"/>
        </w:rPr>
        <w:t>a</w:t>
      </w:r>
      <w:r w:rsidR="00B43781">
        <w:rPr>
          <w:rFonts w:cs="Segoe UI"/>
        </w:rPr>
        <w:t>ssessment (HTA)</w:t>
      </w:r>
      <w:r w:rsidR="00F31021" w:rsidRPr="004D4564">
        <w:rPr>
          <w:rFonts w:cs="Segoe UI"/>
        </w:rPr>
        <w:t xml:space="preserve"> arrangements</w:t>
      </w:r>
      <w:r w:rsidR="0078266A">
        <w:rPr>
          <w:rFonts w:cs="Segoe UI"/>
        </w:rPr>
        <w:t>.</w:t>
      </w:r>
      <w:r w:rsidR="00F31021" w:rsidRPr="004D4564">
        <w:rPr>
          <w:rFonts w:cs="Segoe UI"/>
        </w:rPr>
        <w:t xml:space="preserve"> </w:t>
      </w:r>
      <w:r w:rsidR="00043A33">
        <w:rPr>
          <w:rFonts w:cs="Segoe UI"/>
        </w:rPr>
        <w:t>This includes r</w:t>
      </w:r>
      <w:r w:rsidR="00F31021" w:rsidRPr="004D4564">
        <w:rPr>
          <w:rFonts w:cs="Segoe UI"/>
        </w:rPr>
        <w:t>eform</w:t>
      </w:r>
      <w:r w:rsidR="00043A33">
        <w:rPr>
          <w:rFonts w:cs="Segoe UI"/>
        </w:rPr>
        <w:t>ing</w:t>
      </w:r>
      <w:r w:rsidR="00F31021" w:rsidRPr="004D4564">
        <w:rPr>
          <w:rFonts w:cs="Segoe UI"/>
        </w:rPr>
        <w:t xml:space="preserve"> HTA policy and methods </w:t>
      </w:r>
      <w:r w:rsidR="00043A33">
        <w:rPr>
          <w:rFonts w:cs="Segoe UI"/>
        </w:rPr>
        <w:t>to</w:t>
      </w:r>
      <w:r w:rsidR="00F31021" w:rsidRPr="004D4564">
        <w:rPr>
          <w:rFonts w:cs="Segoe UI"/>
        </w:rPr>
        <w:t xml:space="preserve"> provide stakeholders and decision-makers with tools and processes to:</w:t>
      </w:r>
    </w:p>
    <w:p w14:paraId="44FCD665" w14:textId="0391711F" w:rsidR="00F31021" w:rsidRPr="004D4564" w:rsidRDefault="00F31021" w:rsidP="00486F12">
      <w:pPr>
        <w:pStyle w:val="ListBullet"/>
        <w:numPr>
          <w:ilvl w:val="0"/>
          <w:numId w:val="5"/>
        </w:numPr>
        <w:ind w:left="720" w:hanging="357"/>
      </w:pPr>
      <w:r w:rsidRPr="004D4564">
        <w:t>address inequities in access</w:t>
      </w:r>
      <w:r w:rsidR="004417C2">
        <w:t xml:space="preserve"> to </w:t>
      </w:r>
      <w:r w:rsidR="004417C2" w:rsidRPr="003905E9">
        <w:t>affordable medic</w:t>
      </w:r>
      <w:r w:rsidR="00A21B44">
        <w:t>ines</w:t>
      </w:r>
    </w:p>
    <w:p w14:paraId="32B9AFAB" w14:textId="7EB4E5E2" w:rsidR="00F31021" w:rsidRDefault="00040320" w:rsidP="00486F12">
      <w:pPr>
        <w:pStyle w:val="ListBullet"/>
        <w:numPr>
          <w:ilvl w:val="0"/>
          <w:numId w:val="5"/>
        </w:numPr>
        <w:ind w:left="720" w:hanging="357"/>
      </w:pPr>
      <w:r>
        <w:t>r</w:t>
      </w:r>
      <w:r w:rsidR="00F31021" w:rsidRPr="003905E9">
        <w:t>educ</w:t>
      </w:r>
      <w:r>
        <w:t>e</w:t>
      </w:r>
      <w:r w:rsidR="00F31021" w:rsidRPr="003905E9">
        <w:t xml:space="preserve"> wait times for access to affordable medications</w:t>
      </w:r>
    </w:p>
    <w:p w14:paraId="1894F7D5" w14:textId="52B08627" w:rsidR="00F31021" w:rsidRDefault="00040320" w:rsidP="00486F12">
      <w:pPr>
        <w:pStyle w:val="ListBullet"/>
        <w:numPr>
          <w:ilvl w:val="0"/>
          <w:numId w:val="5"/>
        </w:numPr>
        <w:ind w:left="720" w:hanging="357"/>
      </w:pPr>
      <w:r>
        <w:t>i</w:t>
      </w:r>
      <w:r w:rsidR="00F31021" w:rsidRPr="006F41D2">
        <w:t>mprov</w:t>
      </w:r>
      <w:r>
        <w:t>e</w:t>
      </w:r>
      <w:r w:rsidR="00F31021" w:rsidRPr="006F41D2">
        <w:t xml:space="preserve"> transparency and engagement</w:t>
      </w:r>
    </w:p>
    <w:p w14:paraId="25F46F83" w14:textId="77777777" w:rsidR="00F31021" w:rsidRPr="004D4564" w:rsidRDefault="00F31021" w:rsidP="00486F12">
      <w:pPr>
        <w:pStyle w:val="ListBullet"/>
        <w:numPr>
          <w:ilvl w:val="0"/>
          <w:numId w:val="5"/>
        </w:numPr>
        <w:ind w:left="720" w:hanging="357"/>
      </w:pPr>
      <w:r w:rsidRPr="004D4564">
        <w:t>invest in HTA capability to make it adaptable and futureproof.</w:t>
      </w:r>
    </w:p>
    <w:p w14:paraId="7C36E27A" w14:textId="4470C5BB" w:rsidR="00F31021" w:rsidRDefault="00F31021" w:rsidP="00821B32">
      <w:r w:rsidRPr="00253BA2">
        <w:t>The</w:t>
      </w:r>
      <w:r>
        <w:t xml:space="preserve"> </w:t>
      </w:r>
      <w:r w:rsidRPr="00253BA2">
        <w:t xml:space="preserve">reforms </w:t>
      </w:r>
      <w:r w:rsidR="00303B00">
        <w:t>are</w:t>
      </w:r>
      <w:r w:rsidRPr="00253BA2">
        <w:t xml:space="preserve"> comprehensive</w:t>
      </w:r>
      <w:r w:rsidR="00B128D7">
        <w:t>. They</w:t>
      </w:r>
      <w:r w:rsidRPr="00253BA2">
        <w:t xml:space="preserve"> </w:t>
      </w:r>
      <w:r w:rsidRPr="006970BF">
        <w:t xml:space="preserve">range from horizon scanning, planning and system readiness to </w:t>
      </w:r>
      <w:r w:rsidR="00933FBD" w:rsidRPr="006970BF">
        <w:t>proactive</w:t>
      </w:r>
      <w:r w:rsidR="00303B00" w:rsidRPr="006970BF">
        <w:t>ly</w:t>
      </w:r>
      <w:r w:rsidR="00933FBD" w:rsidRPr="006970BF">
        <w:t xml:space="preserve"> </w:t>
      </w:r>
      <w:r w:rsidRPr="006970BF">
        <w:t>bringing important medicines and vaccines to Australia</w:t>
      </w:r>
      <w:r w:rsidR="00303B00" w:rsidRPr="006970BF">
        <w:t xml:space="preserve">. </w:t>
      </w:r>
      <w:r w:rsidRPr="006970BF">
        <w:t>The central tenet of the Review, reflected through extensive engagement with the Australian community,</w:t>
      </w:r>
      <w:r>
        <w:t xml:space="preserve"> is </w:t>
      </w:r>
      <w:r w:rsidR="00303B00">
        <w:t>that it is vital</w:t>
      </w:r>
      <w:r>
        <w:t xml:space="preserve"> to improve access to affordable medicines and vaccines to meet the needs of all Australians, particular</w:t>
      </w:r>
      <w:r w:rsidR="00303B00">
        <w:t>ly</w:t>
      </w:r>
      <w:r>
        <w:t xml:space="preserve"> First Nations people. </w:t>
      </w:r>
    </w:p>
    <w:p w14:paraId="41D41D3A" w14:textId="35763F71" w:rsidR="00673BD2" w:rsidRPr="008C13C0" w:rsidRDefault="00673BD2" w:rsidP="00821B32">
      <w:r w:rsidRPr="008C13C0">
        <w:t>The full report of the Review</w:t>
      </w:r>
      <w:r w:rsidR="00F24585">
        <w:t xml:space="preserve">: </w:t>
      </w:r>
      <w:hyperlink r:id="rId16" w:history="1">
        <w:r w:rsidR="00F24585">
          <w:rPr>
            <w:rStyle w:val="Hyperlink"/>
            <w:i/>
            <w:iCs/>
          </w:rPr>
          <w:t>Accelerating Access to the Best Medicines for Australians Now and into the Future</w:t>
        </w:r>
      </w:hyperlink>
      <w:r w:rsidRPr="008C13C0">
        <w:t xml:space="preserve"> is available</w:t>
      </w:r>
      <w:r w:rsidR="006B72EC">
        <w:t>.</w:t>
      </w:r>
    </w:p>
    <w:p w14:paraId="740F3990" w14:textId="678D66C1" w:rsidR="00673BD2" w:rsidRDefault="00673BD2" w:rsidP="00821B32">
      <w:r w:rsidRPr="0024394E">
        <w:t xml:space="preserve">Included in this summary paper is a brief overview of the </w:t>
      </w:r>
      <w:r w:rsidR="00387E7B">
        <w:t>full report</w:t>
      </w:r>
      <w:r w:rsidR="00387E7B" w:rsidRPr="0024394E">
        <w:t xml:space="preserve"> </w:t>
      </w:r>
      <w:r w:rsidRPr="0024394E">
        <w:t>including a summary of the key recommendations and their objectives.</w:t>
      </w:r>
      <w:r>
        <w:t xml:space="preserve"> </w:t>
      </w:r>
    </w:p>
    <w:p w14:paraId="68AB793C" w14:textId="1BDF15F3" w:rsidR="00AB2F6A" w:rsidRDefault="005E0514" w:rsidP="00E57251">
      <w:pPr>
        <w:pStyle w:val="Heading1"/>
        <w:rPr>
          <w:color w:val="193A6E"/>
        </w:rPr>
      </w:pPr>
      <w:bookmarkStart w:id="16" w:name="_Toc172030754"/>
      <w:bookmarkStart w:id="17" w:name="_Toc170210005"/>
      <w:bookmarkStart w:id="18" w:name="_Toc170238455"/>
      <w:r>
        <w:rPr>
          <w:color w:val="193A6E"/>
        </w:rPr>
        <w:t>What HTA is and why it is important</w:t>
      </w:r>
      <w:bookmarkEnd w:id="16"/>
      <w:r>
        <w:rPr>
          <w:color w:val="193A6E"/>
        </w:rPr>
        <w:t xml:space="preserve"> </w:t>
      </w:r>
      <w:bookmarkEnd w:id="17"/>
      <w:bookmarkEnd w:id="18"/>
    </w:p>
    <w:p w14:paraId="4A81AC5D" w14:textId="3C0A192C" w:rsidR="0017204A" w:rsidRDefault="00576437" w:rsidP="004A0D53">
      <w:r w:rsidRPr="00206B50">
        <w:t xml:space="preserve">Australia’s </w:t>
      </w:r>
      <w:r w:rsidR="003C1A84">
        <w:t xml:space="preserve">health outcomes are among the best in the </w:t>
      </w:r>
      <w:r w:rsidR="0017204A">
        <w:t xml:space="preserve">world </w:t>
      </w:r>
      <w:r w:rsidR="0017204A" w:rsidRPr="00206B50">
        <w:t>and continu</w:t>
      </w:r>
      <w:r w:rsidR="0017204A">
        <w:t>e</w:t>
      </w:r>
      <w:r w:rsidR="0017204A" w:rsidRPr="00206B50">
        <w:t xml:space="preserve"> to improve</w:t>
      </w:r>
      <w:r w:rsidR="00ED5552">
        <w:t>.</w:t>
      </w:r>
      <w:r w:rsidR="0017204A" w:rsidRPr="00206B50">
        <w:rPr>
          <w:rFonts w:eastAsia="Calibri"/>
          <w:vertAlign w:val="superscript"/>
        </w:rPr>
        <w:footnoteReference w:id="2"/>
      </w:r>
      <w:r w:rsidR="0017204A">
        <w:rPr>
          <w:rFonts w:eastAsia="Calibri"/>
          <w:bCs/>
        </w:rPr>
        <w:t xml:space="preserve"> </w:t>
      </w:r>
      <w:r w:rsidR="00C50880">
        <w:rPr>
          <w:rFonts w:eastAsia="Calibri"/>
          <w:bCs/>
        </w:rPr>
        <w:t>Our</w:t>
      </w:r>
      <w:r w:rsidR="0017204A">
        <w:rPr>
          <w:rFonts w:eastAsia="Calibri"/>
          <w:bCs/>
        </w:rPr>
        <w:t xml:space="preserve"> </w:t>
      </w:r>
      <w:r w:rsidR="0044018F">
        <w:rPr>
          <w:rFonts w:eastAsia="Calibri"/>
          <w:bCs/>
        </w:rPr>
        <w:t xml:space="preserve">universal </w:t>
      </w:r>
      <w:r w:rsidR="0017204A">
        <w:rPr>
          <w:rFonts w:eastAsia="Calibri"/>
          <w:bCs/>
        </w:rPr>
        <w:t xml:space="preserve">health system </w:t>
      </w:r>
      <w:r w:rsidR="005E1477">
        <w:rPr>
          <w:rFonts w:eastAsia="Calibri"/>
          <w:bCs/>
        </w:rPr>
        <w:t xml:space="preserve">contributes </w:t>
      </w:r>
      <w:r w:rsidR="00E85C68">
        <w:rPr>
          <w:rFonts w:eastAsia="Calibri"/>
          <w:bCs/>
        </w:rPr>
        <w:t xml:space="preserve">to these health outcomes </w:t>
      </w:r>
      <w:r w:rsidR="00DD1C34">
        <w:rPr>
          <w:rFonts w:eastAsia="Calibri"/>
          <w:bCs/>
        </w:rPr>
        <w:t xml:space="preserve">through </w:t>
      </w:r>
      <w:r w:rsidR="00DD1C34" w:rsidRPr="00445DA6">
        <w:t>provid</w:t>
      </w:r>
      <w:r w:rsidR="004918B8">
        <w:t>ing</w:t>
      </w:r>
      <w:r w:rsidR="00DD1C34" w:rsidRPr="00445DA6">
        <w:t xml:space="preserve"> access </w:t>
      </w:r>
      <w:r w:rsidR="00DD1C34">
        <w:t xml:space="preserve">to </w:t>
      </w:r>
      <w:r w:rsidR="00DD1C34" w:rsidRPr="00445DA6">
        <w:t xml:space="preserve">high-quality, safe, effective and appropriate </w:t>
      </w:r>
      <w:r w:rsidR="00DD1C34" w:rsidRPr="008A6E9A">
        <w:rPr>
          <w:rFonts w:eastAsia="Calibri"/>
          <w:color w:val="313131"/>
          <w:shd w:val="clear" w:color="auto" w:fill="FFFFFF"/>
        </w:rPr>
        <w:t xml:space="preserve">health </w:t>
      </w:r>
      <w:r w:rsidR="00DD1C34">
        <w:rPr>
          <w:rFonts w:eastAsia="Calibri"/>
          <w:color w:val="313131"/>
          <w:shd w:val="clear" w:color="auto" w:fill="FFFFFF"/>
        </w:rPr>
        <w:t xml:space="preserve">care </w:t>
      </w:r>
      <w:r w:rsidR="00DD1C34">
        <w:t>at low or no cost to citizens. This includes subsidis</w:t>
      </w:r>
      <w:r w:rsidR="00C50880">
        <w:t>ed</w:t>
      </w:r>
      <w:r w:rsidR="00DD1C34">
        <w:t xml:space="preserve"> access </w:t>
      </w:r>
      <w:r w:rsidR="00C50880">
        <w:t xml:space="preserve">to </w:t>
      </w:r>
      <w:r w:rsidR="00DD1C34">
        <w:t xml:space="preserve">health </w:t>
      </w:r>
      <w:r w:rsidR="00DD1C34" w:rsidRPr="008A6E9A">
        <w:rPr>
          <w:rFonts w:eastAsia="Calibri"/>
          <w:color w:val="313131"/>
          <w:shd w:val="clear" w:color="auto" w:fill="FFFFFF"/>
        </w:rPr>
        <w:t>technologies</w:t>
      </w:r>
      <w:r w:rsidR="00DD1C34">
        <w:rPr>
          <w:rFonts w:eastAsia="Calibri"/>
          <w:bCs/>
          <w:color w:val="313131"/>
          <w:shd w:val="clear" w:color="auto" w:fill="FFFFFF"/>
        </w:rPr>
        <w:t xml:space="preserve"> </w:t>
      </w:r>
      <w:r w:rsidR="003234DF">
        <w:rPr>
          <w:rFonts w:eastAsia="Calibri"/>
          <w:bCs/>
          <w:color w:val="313131"/>
          <w:shd w:val="clear" w:color="auto" w:fill="FFFFFF"/>
        </w:rPr>
        <w:t>such as</w:t>
      </w:r>
      <w:r w:rsidR="00DD1C34" w:rsidRPr="00206B50">
        <w:rPr>
          <w:rFonts w:eastAsia="Calibri"/>
        </w:rPr>
        <w:t xml:space="preserve"> medicines, vaccines</w:t>
      </w:r>
      <w:r w:rsidR="00DD1C34">
        <w:rPr>
          <w:rFonts w:eastAsia="Calibri"/>
        </w:rPr>
        <w:t xml:space="preserve">, </w:t>
      </w:r>
      <w:r w:rsidR="00DD1C34" w:rsidRPr="00206B50">
        <w:rPr>
          <w:rFonts w:eastAsia="Calibri"/>
        </w:rPr>
        <w:t>medical devices</w:t>
      </w:r>
      <w:r w:rsidR="00DD1C34">
        <w:rPr>
          <w:rFonts w:eastAsia="Calibri"/>
        </w:rPr>
        <w:t xml:space="preserve"> and </w:t>
      </w:r>
      <w:r w:rsidR="00DD1C34" w:rsidRPr="00206B50">
        <w:rPr>
          <w:rFonts w:eastAsia="Calibri"/>
          <w:bCs/>
        </w:rPr>
        <w:t>health services</w:t>
      </w:r>
      <w:r w:rsidR="00DD1C34" w:rsidRPr="00206B50">
        <w:rPr>
          <w:rFonts w:eastAsia="Calibri"/>
        </w:rPr>
        <w:t>.</w:t>
      </w:r>
    </w:p>
    <w:p w14:paraId="68B0DD5F" w14:textId="69C0F92F" w:rsidR="0044018F" w:rsidRDefault="003877C3" w:rsidP="004A0D53">
      <w:r>
        <w:rPr>
          <w:rFonts w:eastAsia="Calibri"/>
          <w:bCs/>
        </w:rPr>
        <w:t>T</w:t>
      </w:r>
      <w:r w:rsidR="00440B70" w:rsidRPr="00206B50">
        <w:t>o achieve the</w:t>
      </w:r>
      <w:r w:rsidR="003234DF">
        <w:t>se</w:t>
      </w:r>
      <w:r w:rsidR="0044018F">
        <w:t xml:space="preserve"> </w:t>
      </w:r>
      <w:r w:rsidR="00440B70" w:rsidRPr="00206B50">
        <w:t xml:space="preserve">health outcomes, Australia’s public health system must deliver the most effective treatments when they are needed and at a cost that individuals and the community can afford. </w:t>
      </w:r>
    </w:p>
    <w:p w14:paraId="5B4BBD48" w14:textId="7A88DEED" w:rsidR="00C50880" w:rsidRPr="00206B50" w:rsidRDefault="0044018F" w:rsidP="00C50880">
      <w:r>
        <w:lastRenderedPageBreak/>
        <w:t xml:space="preserve">HTA processes </w:t>
      </w:r>
      <w:r w:rsidR="009410C9">
        <w:t xml:space="preserve">are vital for </w:t>
      </w:r>
      <w:r w:rsidR="00605B9B">
        <w:t>deciding</w:t>
      </w:r>
      <w:r w:rsidR="00C50880" w:rsidRPr="00206B50">
        <w:t xml:space="preserve"> which health technologies </w:t>
      </w:r>
      <w:r>
        <w:t>should be made</w:t>
      </w:r>
      <w:r w:rsidR="00C50880" w:rsidRPr="00206B50">
        <w:t xml:space="preserve"> available under </w:t>
      </w:r>
      <w:r>
        <w:t xml:space="preserve">our </w:t>
      </w:r>
      <w:r w:rsidR="00C50880" w:rsidRPr="00206B50">
        <w:t>healthcare schemes.</w:t>
      </w:r>
      <w:r w:rsidR="00C50880">
        <w:t xml:space="preserve"> They</w:t>
      </w:r>
      <w:r w:rsidR="00C50880" w:rsidRPr="00206B50">
        <w:t xml:space="preserve"> involve evaluating scientific evidence to determine </w:t>
      </w:r>
      <w:r w:rsidR="00C50880" w:rsidRPr="008F5A7D">
        <w:t>the quality, safety, efficacy, cost-effectiveness</w:t>
      </w:r>
      <w:r w:rsidR="00C50880" w:rsidRPr="00206B50">
        <w:t xml:space="preserve"> and total costs of health technologies compared to the existing standard of care for patients.</w:t>
      </w:r>
    </w:p>
    <w:p w14:paraId="28F3D896" w14:textId="2387CB1F" w:rsidR="00FF215A" w:rsidRDefault="00F12EC9" w:rsidP="000B2109">
      <w:pPr>
        <w:rPr>
          <w:rFonts w:eastAsia="Calibri"/>
        </w:rPr>
      </w:pPr>
      <w:r>
        <w:t>For Australian citizens to benefit from the latest health technologies, decision-makers need to be able to conclude, in a timely way, that</w:t>
      </w:r>
      <w:r w:rsidR="00EF46DD">
        <w:t xml:space="preserve"> </w:t>
      </w:r>
      <w:r w:rsidR="00605B9B">
        <w:t>each technology</w:t>
      </w:r>
      <w:r w:rsidR="00004313" w:rsidRPr="00206B50">
        <w:rPr>
          <w:rFonts w:eastAsia="Calibri"/>
        </w:rPr>
        <w:t xml:space="preserve"> will work as well as, or better than, what </w:t>
      </w:r>
      <w:r w:rsidR="008F5A7D">
        <w:rPr>
          <w:rFonts w:eastAsia="Calibri"/>
        </w:rPr>
        <w:t>is already available</w:t>
      </w:r>
      <w:r w:rsidR="00004313" w:rsidRPr="00206B50">
        <w:rPr>
          <w:rFonts w:eastAsia="Calibri"/>
        </w:rPr>
        <w:t xml:space="preserve">, and </w:t>
      </w:r>
      <w:r w:rsidR="00A56D30">
        <w:rPr>
          <w:rFonts w:eastAsia="Calibri"/>
        </w:rPr>
        <w:t xml:space="preserve">that </w:t>
      </w:r>
      <w:r w:rsidR="00AD79E8">
        <w:rPr>
          <w:rFonts w:eastAsia="Calibri"/>
        </w:rPr>
        <w:t>we</w:t>
      </w:r>
      <w:r w:rsidR="00AD79E8" w:rsidRPr="00206B50">
        <w:rPr>
          <w:rFonts w:eastAsia="Calibri"/>
        </w:rPr>
        <w:t xml:space="preserve"> </w:t>
      </w:r>
      <w:r w:rsidR="00004313" w:rsidRPr="00206B50">
        <w:rPr>
          <w:rFonts w:eastAsia="Calibri"/>
        </w:rPr>
        <w:t>will be better off if they are funded.</w:t>
      </w:r>
      <w:r w:rsidR="009452C1" w:rsidRPr="00206B50">
        <w:rPr>
          <w:rFonts w:eastAsia="Calibri"/>
        </w:rPr>
        <w:t xml:space="preserve"> </w:t>
      </w:r>
    </w:p>
    <w:p w14:paraId="22404528" w14:textId="4B7C9469" w:rsidR="00BE3FE2" w:rsidRPr="00616F96" w:rsidDel="00EF46DD" w:rsidRDefault="00026A0C" w:rsidP="000B2109">
      <w:pPr>
        <w:rPr>
          <w:rFonts w:cs="Arial"/>
        </w:rPr>
      </w:pPr>
      <w:r>
        <w:t xml:space="preserve">HTA </w:t>
      </w:r>
      <w:r w:rsidR="002D2E69">
        <w:t>policies</w:t>
      </w:r>
      <w:r w:rsidR="002D2E69" w:rsidDel="00EF46DD">
        <w:t xml:space="preserve"> and</w:t>
      </w:r>
      <w:r w:rsidR="00EA59BF" w:rsidRPr="00206B50" w:rsidDel="00EF46DD">
        <w:t xml:space="preserve"> processes </w:t>
      </w:r>
      <w:r w:rsidR="00EA59BF" w:rsidRPr="00206B50">
        <w:t>are</w:t>
      </w:r>
      <w:r w:rsidR="00C10537" w:rsidRPr="00206B50">
        <w:t xml:space="preserve"> </w:t>
      </w:r>
      <w:r w:rsidR="00C10537">
        <w:t>fundamental</w:t>
      </w:r>
      <w:r w:rsidR="00C10537" w:rsidRPr="00206B50">
        <w:t xml:space="preserve"> to</w:t>
      </w:r>
      <w:r w:rsidR="00C10537" w:rsidRPr="00206B50" w:rsidDel="00EF46DD">
        <w:t xml:space="preserve"> </w:t>
      </w:r>
      <w:r>
        <w:rPr>
          <w:rFonts w:cs="Arial"/>
        </w:rPr>
        <w:t>the sustainability</w:t>
      </w:r>
      <w:r w:rsidRPr="4CF3A1A7">
        <w:rPr>
          <w:rFonts w:cs="Arial"/>
        </w:rPr>
        <w:t xml:space="preserve"> </w:t>
      </w:r>
      <w:r w:rsidR="00612E1A">
        <w:rPr>
          <w:rFonts w:cs="Arial"/>
        </w:rPr>
        <w:t xml:space="preserve">of Australia’s </w:t>
      </w:r>
      <w:r w:rsidR="002A12DB" w:rsidRPr="3F50BB67" w:rsidDel="00EF46DD">
        <w:rPr>
          <w:rFonts w:cs="Arial"/>
        </w:rPr>
        <w:t xml:space="preserve">universal </w:t>
      </w:r>
      <w:r w:rsidR="6164BA28" w:rsidRPr="62BFFEF6">
        <w:rPr>
          <w:rFonts w:cs="Arial"/>
        </w:rPr>
        <w:t>healthcare system</w:t>
      </w:r>
      <w:r w:rsidR="00560C5C">
        <w:rPr>
          <w:rFonts w:cs="Arial"/>
        </w:rPr>
        <w:t xml:space="preserve"> and ensuring</w:t>
      </w:r>
      <w:r w:rsidR="6164BA28" w:rsidRPr="62BFFEF6">
        <w:rPr>
          <w:rFonts w:cs="Arial"/>
        </w:rPr>
        <w:t xml:space="preserve"> </w:t>
      </w:r>
      <w:r w:rsidR="329B96BB" w:rsidRPr="2425ED66">
        <w:rPr>
          <w:rFonts w:cs="Arial"/>
        </w:rPr>
        <w:t>that</w:t>
      </w:r>
      <w:r w:rsidR="6164BA28" w:rsidRPr="2425ED66">
        <w:rPr>
          <w:rFonts w:cs="Arial"/>
        </w:rPr>
        <w:t xml:space="preserve"> </w:t>
      </w:r>
      <w:r w:rsidR="6164BA28" w:rsidRPr="0F9A02D1">
        <w:rPr>
          <w:rFonts w:cs="Arial"/>
        </w:rPr>
        <w:t xml:space="preserve">citizens </w:t>
      </w:r>
      <w:r w:rsidR="00B26EC9">
        <w:rPr>
          <w:rFonts w:cs="Arial"/>
        </w:rPr>
        <w:t>have</w:t>
      </w:r>
      <w:r w:rsidR="6164BA28" w:rsidRPr="0F9A02D1">
        <w:rPr>
          <w:rFonts w:cs="Arial"/>
        </w:rPr>
        <w:t xml:space="preserve"> </w:t>
      </w:r>
      <w:r w:rsidR="00204708" w:rsidRPr="0F9A02D1">
        <w:rPr>
          <w:rFonts w:cs="Arial"/>
        </w:rPr>
        <w:t>access</w:t>
      </w:r>
      <w:r w:rsidR="002A12DB" w:rsidRPr="3F50BB67">
        <w:rPr>
          <w:rFonts w:cs="Arial"/>
        </w:rPr>
        <w:t xml:space="preserve"> to </w:t>
      </w:r>
      <w:r w:rsidR="002A12DB" w:rsidRPr="3F50BB67" w:rsidDel="00EF46DD">
        <w:rPr>
          <w:rFonts w:cs="Arial"/>
        </w:rPr>
        <w:t xml:space="preserve">the most effective health technologies </w:t>
      </w:r>
      <w:r w:rsidR="520CD7D3" w:rsidRPr="7B32A578">
        <w:rPr>
          <w:rFonts w:cs="Arial"/>
        </w:rPr>
        <w:t>to</w:t>
      </w:r>
      <w:r w:rsidR="002A12DB" w:rsidRPr="3F50BB67" w:rsidDel="00EF46DD">
        <w:rPr>
          <w:rFonts w:cs="Arial"/>
        </w:rPr>
        <w:t xml:space="preserve"> prevent, manage and treat medical conditions. </w:t>
      </w:r>
    </w:p>
    <w:p w14:paraId="73230CCB" w14:textId="5324FFB2" w:rsidR="003946FF" w:rsidRPr="007A5F3A" w:rsidRDefault="003946FF" w:rsidP="007A5F3A">
      <w:pPr>
        <w:pStyle w:val="Heading1"/>
        <w:rPr>
          <w:color w:val="193A6E"/>
        </w:rPr>
      </w:pPr>
      <w:bookmarkStart w:id="19" w:name="_Toc164685813"/>
      <w:bookmarkStart w:id="20" w:name="_Toc164691385"/>
      <w:bookmarkStart w:id="21" w:name="_Toc164696183"/>
      <w:bookmarkStart w:id="22" w:name="_Toc164696329"/>
      <w:bookmarkStart w:id="23" w:name="_Toc164767718"/>
      <w:bookmarkStart w:id="24" w:name="_Toc164781630"/>
      <w:bookmarkStart w:id="25" w:name="_Toc167970502"/>
      <w:bookmarkStart w:id="26" w:name="_Toc170210006"/>
      <w:bookmarkStart w:id="27" w:name="_Toc170238456"/>
      <w:bookmarkStart w:id="28" w:name="_Toc172030755"/>
      <w:r w:rsidRPr="007A5F3A">
        <w:rPr>
          <w:color w:val="193A6E"/>
        </w:rPr>
        <w:t xml:space="preserve">Why Australia’s approach to HTAs </w:t>
      </w:r>
      <w:r w:rsidR="00EF46DD">
        <w:rPr>
          <w:color w:val="193A6E"/>
        </w:rPr>
        <w:t xml:space="preserve">is </w:t>
      </w:r>
      <w:r w:rsidRPr="007A5F3A">
        <w:rPr>
          <w:color w:val="193A6E"/>
        </w:rPr>
        <w:t>being reviewed</w:t>
      </w:r>
      <w:bookmarkEnd w:id="19"/>
      <w:bookmarkEnd w:id="20"/>
      <w:bookmarkEnd w:id="21"/>
      <w:bookmarkEnd w:id="22"/>
      <w:bookmarkEnd w:id="23"/>
      <w:bookmarkEnd w:id="24"/>
      <w:bookmarkEnd w:id="25"/>
      <w:bookmarkEnd w:id="26"/>
      <w:bookmarkEnd w:id="27"/>
      <w:bookmarkEnd w:id="28"/>
    </w:p>
    <w:p w14:paraId="09210945" w14:textId="2BBE1E3C" w:rsidR="00C91389" w:rsidRDefault="00CC024A" w:rsidP="0016408C">
      <w:r w:rsidRPr="00221113">
        <w:t>Health technologies have been a major contributor to improv</w:t>
      </w:r>
      <w:r w:rsidR="00EF46DD">
        <w:t>ing</w:t>
      </w:r>
      <w:r w:rsidRPr="00221113">
        <w:t xml:space="preserve"> healthy life expectancy over the past century. </w:t>
      </w:r>
      <w:r w:rsidR="00056B66" w:rsidRPr="00221113">
        <w:t xml:space="preserve">Some of the latest technologies </w:t>
      </w:r>
      <w:r w:rsidR="00F03D1C">
        <w:t>could</w:t>
      </w:r>
      <w:r w:rsidR="00056B66" w:rsidRPr="00221113">
        <w:t xml:space="preserve"> greatly improve and extend the lives of </w:t>
      </w:r>
      <w:r w:rsidR="00F03D1C">
        <w:t>people</w:t>
      </w:r>
      <w:r w:rsidR="00056B66" w:rsidRPr="00221113">
        <w:t xml:space="preserve"> living with debilitating and</w:t>
      </w:r>
      <w:r w:rsidR="00F03D1C">
        <w:t>/or</w:t>
      </w:r>
      <w:r w:rsidR="00056B66" w:rsidRPr="00221113">
        <w:t xml:space="preserve"> life-shortening conditions</w:t>
      </w:r>
      <w:r w:rsidR="00F03D1C">
        <w:t>,</w:t>
      </w:r>
      <w:r w:rsidR="004E45A2">
        <w:t xml:space="preserve"> or</w:t>
      </w:r>
      <w:r w:rsidR="00B76B58" w:rsidRPr="00221113">
        <w:t xml:space="preserve"> treat lethal </w:t>
      </w:r>
      <w:r w:rsidR="008B2600">
        <w:t>or</w:t>
      </w:r>
      <w:r w:rsidR="00B76B58" w:rsidRPr="00221113">
        <w:t xml:space="preserve"> severely disabling conditions </w:t>
      </w:r>
      <w:r w:rsidR="00F03D1C">
        <w:t xml:space="preserve">that couldn’t be </w:t>
      </w:r>
      <w:r w:rsidR="00B76B58" w:rsidRPr="00221113">
        <w:t>effective</w:t>
      </w:r>
      <w:r w:rsidR="00F03D1C">
        <w:t>ly</w:t>
      </w:r>
      <w:r w:rsidR="00B76B58" w:rsidRPr="00221113">
        <w:t xml:space="preserve"> treat</w:t>
      </w:r>
      <w:r w:rsidR="00F03D1C">
        <w:t>ed in the past</w:t>
      </w:r>
      <w:r w:rsidR="00B76B58" w:rsidRPr="00221113">
        <w:t>.</w:t>
      </w:r>
    </w:p>
    <w:p w14:paraId="4E9D2A38" w14:textId="6FDD2281" w:rsidR="0016408C" w:rsidRDefault="00A822BB" w:rsidP="0016408C">
      <w:r w:rsidRPr="001E1CF0">
        <w:t xml:space="preserve">Making decisions </w:t>
      </w:r>
      <w:r w:rsidR="00126A25" w:rsidRPr="001E1CF0">
        <w:t xml:space="preserve">about </w:t>
      </w:r>
      <w:r w:rsidR="000649D5" w:rsidRPr="001E1CF0">
        <w:t xml:space="preserve">funding and providing access to new and emerging health technologies is </w:t>
      </w:r>
      <w:r w:rsidRPr="001E1CF0">
        <w:t xml:space="preserve">increasingly challenging. </w:t>
      </w:r>
      <w:r w:rsidR="00F03D1C">
        <w:t>H</w:t>
      </w:r>
      <w:r w:rsidR="006B3D69" w:rsidRPr="001E1CF0">
        <w:t xml:space="preserve">ealth technologies are </w:t>
      </w:r>
      <w:r w:rsidR="00F03D1C">
        <w:t>becoming</w:t>
      </w:r>
      <w:r w:rsidR="000F7A2C">
        <w:t xml:space="preserve"> </w:t>
      </w:r>
      <w:r w:rsidR="00060798" w:rsidRPr="001E1CF0">
        <w:t>more</w:t>
      </w:r>
      <w:r w:rsidR="006B3D69" w:rsidRPr="001E1CF0">
        <w:t xml:space="preserve"> </w:t>
      </w:r>
      <w:r w:rsidR="002F5240" w:rsidRPr="001E1CF0">
        <w:t xml:space="preserve">complex and </w:t>
      </w:r>
      <w:r w:rsidR="006B3D69" w:rsidRPr="001E1CF0">
        <w:t>diverse</w:t>
      </w:r>
      <w:r w:rsidR="00455707">
        <w:t>. And m</w:t>
      </w:r>
      <w:r w:rsidR="00E43E1A" w:rsidRPr="001E1CF0">
        <w:t>any do not</w:t>
      </w:r>
      <w:r w:rsidR="00307D64">
        <w:t xml:space="preserve"> neatly</w:t>
      </w:r>
      <w:r w:rsidR="00E43E1A" w:rsidRPr="001E1CF0">
        <w:t xml:space="preserve"> fit the treatment categories </w:t>
      </w:r>
      <w:r w:rsidR="00455707">
        <w:t>under</w:t>
      </w:r>
      <w:r w:rsidR="00E43E1A" w:rsidRPr="001E1CF0">
        <w:t xml:space="preserve"> Australia’s funding and assessment processes.</w:t>
      </w:r>
      <w:r w:rsidR="00E43E1A" w:rsidRPr="001E1CF0">
        <w:rPr>
          <w:rStyle w:val="FootnoteReference"/>
        </w:rPr>
        <w:footnoteReference w:id="3"/>
      </w:r>
      <w:r w:rsidR="00F1156F" w:rsidRPr="001E1CF0">
        <w:t xml:space="preserve"> Additionally, the evidence needed to conclude how well </w:t>
      </w:r>
      <w:r w:rsidR="004417C2">
        <w:t xml:space="preserve">emerging </w:t>
      </w:r>
      <w:r w:rsidR="00605B9B">
        <w:t>health technologies</w:t>
      </w:r>
      <w:r w:rsidR="000F7A2C">
        <w:t>, such as cell and gene therapies,</w:t>
      </w:r>
      <w:r w:rsidR="00605B9B">
        <w:t xml:space="preserve"> are</w:t>
      </w:r>
      <w:r w:rsidR="00F1156F" w:rsidRPr="001E1CF0">
        <w:t xml:space="preserve"> likely to perform </w:t>
      </w:r>
      <w:r w:rsidR="00455707">
        <w:t>means</w:t>
      </w:r>
      <w:r w:rsidR="00F1156F" w:rsidRPr="001E1CF0">
        <w:t xml:space="preserve"> decision-makers </w:t>
      </w:r>
      <w:r w:rsidR="00455707">
        <w:t>aren’t</w:t>
      </w:r>
      <w:r w:rsidR="00F1156F" w:rsidRPr="001E1CF0">
        <w:t xml:space="preserve"> as confident as they were about medicines that emerged in the 1990s and 2000s.</w:t>
      </w:r>
      <w:r w:rsidR="00621EB2" w:rsidRPr="001E1CF0">
        <w:t xml:space="preserve"> </w:t>
      </w:r>
      <w:r w:rsidR="00AC2C50">
        <w:t>Health technologies</w:t>
      </w:r>
      <w:r w:rsidR="00AC2C50" w:rsidRPr="001E1CF0">
        <w:t xml:space="preserve"> </w:t>
      </w:r>
      <w:r w:rsidR="0016408C" w:rsidRPr="001E1CF0">
        <w:t>are also becoming increasingly expensive</w:t>
      </w:r>
      <w:r w:rsidR="00455707">
        <w:t>. T</w:t>
      </w:r>
      <w:r w:rsidR="00596529" w:rsidRPr="001E1CF0">
        <w:t>he most expensive medicine on the P</w:t>
      </w:r>
      <w:r w:rsidR="00F85E78">
        <w:t xml:space="preserve">harmaceutical </w:t>
      </w:r>
      <w:r w:rsidR="00596529" w:rsidRPr="001E1CF0">
        <w:t>B</w:t>
      </w:r>
      <w:r w:rsidR="00F85E78">
        <w:t xml:space="preserve">enefits </w:t>
      </w:r>
      <w:r w:rsidR="00596529" w:rsidRPr="001E1CF0">
        <w:t>S</w:t>
      </w:r>
      <w:r w:rsidR="00F85E78">
        <w:t>cheme (PBS)</w:t>
      </w:r>
      <w:r w:rsidR="00596529" w:rsidRPr="001E1CF0">
        <w:t xml:space="preserve"> </w:t>
      </w:r>
      <w:r w:rsidR="00455707">
        <w:t>costs</w:t>
      </w:r>
      <w:r w:rsidR="0016408C" w:rsidRPr="001E1CF0">
        <w:t xml:space="preserve"> a little over $2.5</w:t>
      </w:r>
      <w:r w:rsidR="00455707">
        <w:t> </w:t>
      </w:r>
      <w:r w:rsidR="0016408C" w:rsidRPr="001E1CF0">
        <w:t xml:space="preserve">million, 100 times </w:t>
      </w:r>
      <w:r w:rsidR="00F85E78">
        <w:t>the price of</w:t>
      </w:r>
      <w:r w:rsidR="0016408C" w:rsidRPr="001E1CF0">
        <w:t xml:space="preserve"> </w:t>
      </w:r>
      <w:r w:rsidR="001E1CF0" w:rsidRPr="001E1CF0">
        <w:t xml:space="preserve">the most expensive treatment listed </w:t>
      </w:r>
      <w:r w:rsidR="0016408C" w:rsidRPr="001E1CF0">
        <w:t>in 2010</w:t>
      </w:r>
      <w:r w:rsidR="001E1CF0" w:rsidRPr="001E1CF0">
        <w:t>.</w:t>
      </w:r>
      <w:r w:rsidR="001E1CF0">
        <w:t xml:space="preserve"> </w:t>
      </w:r>
    </w:p>
    <w:p w14:paraId="26D44349" w14:textId="5518D5BB" w:rsidR="003839AF" w:rsidRDefault="004567C4" w:rsidP="003839AF">
      <w:r w:rsidRPr="00B72DBD">
        <w:t xml:space="preserve">The system that </w:t>
      </w:r>
      <w:r w:rsidR="00F85E78">
        <w:t>advises</w:t>
      </w:r>
      <w:r w:rsidRPr="00B72DBD">
        <w:t xml:space="preserve"> the Australian Government about which health technologies should be funded, for whom, and under what circumstances</w:t>
      </w:r>
      <w:r>
        <w:t>,</w:t>
      </w:r>
      <w:r w:rsidRPr="00B72DBD">
        <w:t xml:space="preserve"> need</w:t>
      </w:r>
      <w:r>
        <w:t>s</w:t>
      </w:r>
      <w:r w:rsidRPr="00B72DBD">
        <w:t xml:space="preserve"> to be able to respond to rapid advances in medical technologies.</w:t>
      </w:r>
      <w:r>
        <w:t xml:space="preserve"> </w:t>
      </w:r>
      <w:r w:rsidR="003839AF" w:rsidRPr="003839AF">
        <w:t>Patients, clinicians, industry and the Government have expressed concern that funding new health technologies takes too long and that HTA processes need to be futureproofed for emerging technologies.</w:t>
      </w:r>
      <w:r w:rsidR="003839AF">
        <w:t xml:space="preserve"> </w:t>
      </w:r>
    </w:p>
    <w:p w14:paraId="6D810F3C" w14:textId="77777777" w:rsidR="00AB0885" w:rsidRPr="00010037" w:rsidRDefault="00AB0885" w:rsidP="00AB0885">
      <w:r w:rsidRPr="00010037">
        <w:lastRenderedPageBreak/>
        <w:t xml:space="preserve">These issues have been raised in other inquiries and reform processes, including the </w:t>
      </w:r>
      <w:r w:rsidRPr="00010037">
        <w:rPr>
          <w:i/>
          <w:iCs/>
        </w:rPr>
        <w:t>2022–2027 Strategic Agreement between the Commonwealth and Medicines Australia</w:t>
      </w:r>
      <w:r w:rsidRPr="00010037">
        <w:t>,</w:t>
      </w:r>
      <w:r w:rsidRPr="00010037">
        <w:rPr>
          <w:rStyle w:val="FootnoteReference"/>
        </w:rPr>
        <w:footnoteReference w:id="4"/>
      </w:r>
      <w:r w:rsidRPr="00010037">
        <w:t xml:space="preserve"> the NMP Review</w:t>
      </w:r>
      <w:r w:rsidRPr="00010037">
        <w:rPr>
          <w:rStyle w:val="FootnoteReference"/>
        </w:rPr>
        <w:footnoteReference w:id="5"/>
      </w:r>
      <w:r w:rsidRPr="00010037">
        <w:t xml:space="preserve"> and the House of Representatives </w:t>
      </w:r>
      <w:r w:rsidRPr="00010037">
        <w:rPr>
          <w:iCs/>
        </w:rPr>
        <w:t xml:space="preserve">Standing Committee for Health, Aged Care and Sport’s ‘Inquiry into approval processes for new drugs and novel medical technologies in Australia’ </w:t>
      </w:r>
      <w:r w:rsidRPr="00010037">
        <w:t>(</w:t>
      </w:r>
      <w:bookmarkStart w:id="30" w:name="_Hlk167279117"/>
      <w:r w:rsidRPr="00010037">
        <w:t>The New Frontier inquiry</w:t>
      </w:r>
      <w:bookmarkEnd w:id="30"/>
      <w:r w:rsidRPr="00010037">
        <w:t>)</w:t>
      </w:r>
      <w:bookmarkStart w:id="31" w:name="_Ref165577768"/>
      <w:r w:rsidRPr="00010037">
        <w:t>.</w:t>
      </w:r>
      <w:r w:rsidRPr="00010037">
        <w:rPr>
          <w:rStyle w:val="FootnoteReference"/>
        </w:rPr>
        <w:footnoteReference w:id="6"/>
      </w:r>
      <w:bookmarkEnd w:id="31"/>
      <w:r w:rsidRPr="00010037">
        <w:t xml:space="preserve"> </w:t>
      </w:r>
    </w:p>
    <w:p w14:paraId="0B3254D4" w14:textId="7CE0A283" w:rsidR="00AB0885" w:rsidRDefault="00C84D17" w:rsidP="00AB0885">
      <w:r w:rsidRPr="00436247">
        <w:rPr>
          <w:rFonts w:eastAsia="Segoe UI" w:cs="Segoe UI"/>
          <w:color w:val="000000" w:themeColor="text1"/>
        </w:rPr>
        <w:t>T</w:t>
      </w:r>
      <w:r>
        <w:rPr>
          <w:rFonts w:eastAsia="Segoe UI" w:cs="Segoe UI"/>
          <w:color w:val="000000" w:themeColor="text1"/>
        </w:rPr>
        <w:t>he</w:t>
      </w:r>
      <w:r w:rsidRPr="225E66FA">
        <w:rPr>
          <w:rFonts w:eastAsia="Segoe UI" w:cs="Segoe UI"/>
          <w:color w:val="000000" w:themeColor="text1"/>
        </w:rPr>
        <w:t xml:space="preserve"> Review presented a significant opportunity to examine Australia’s approach to HTA</w:t>
      </w:r>
      <w:r w:rsidR="00F85E78">
        <w:rPr>
          <w:rFonts w:eastAsia="Segoe UI" w:cs="Segoe UI"/>
          <w:color w:val="000000" w:themeColor="text1"/>
        </w:rPr>
        <w:t>s and</w:t>
      </w:r>
      <w:r w:rsidR="00AB0885" w:rsidRPr="00010037">
        <w:t xml:space="preserve"> recommend</w:t>
      </w:r>
      <w:r w:rsidR="00E55415">
        <w:t xml:space="preserve"> implementable</w:t>
      </w:r>
      <w:r w:rsidR="00AB0885" w:rsidRPr="00010037">
        <w:t xml:space="preserve"> reform</w:t>
      </w:r>
      <w:r w:rsidR="00F85E78">
        <w:t>s</w:t>
      </w:r>
      <w:r w:rsidR="00AB0885" w:rsidRPr="00010037">
        <w:t xml:space="preserve"> to the Australian Government.</w:t>
      </w:r>
      <w:r w:rsidR="00AB0885">
        <w:t xml:space="preserve"> </w:t>
      </w:r>
    </w:p>
    <w:p w14:paraId="79095C73" w14:textId="1C77D56F" w:rsidR="009957E7" w:rsidRPr="007A5F3A" w:rsidRDefault="007A5F3A" w:rsidP="007A5F3A">
      <w:pPr>
        <w:pStyle w:val="Heading1"/>
        <w:rPr>
          <w:color w:val="193A6E"/>
        </w:rPr>
      </w:pPr>
      <w:bookmarkStart w:id="32" w:name="_Toc170210007"/>
      <w:bookmarkStart w:id="33" w:name="_Toc170238457"/>
      <w:bookmarkStart w:id="34" w:name="_Toc172030756"/>
      <w:r w:rsidRPr="007A5F3A">
        <w:rPr>
          <w:color w:val="193A6E"/>
        </w:rPr>
        <w:t xml:space="preserve">How the Review </w:t>
      </w:r>
      <w:r w:rsidR="00D21D4A">
        <w:rPr>
          <w:color w:val="193A6E"/>
        </w:rPr>
        <w:t xml:space="preserve">was </w:t>
      </w:r>
      <w:r w:rsidRPr="007A5F3A">
        <w:rPr>
          <w:color w:val="193A6E"/>
        </w:rPr>
        <w:t>conducted</w:t>
      </w:r>
      <w:bookmarkEnd w:id="32"/>
      <w:bookmarkEnd w:id="33"/>
      <w:bookmarkEnd w:id="34"/>
      <w:r w:rsidRPr="007A5F3A">
        <w:rPr>
          <w:color w:val="193A6E"/>
        </w:rPr>
        <w:t xml:space="preserve"> </w:t>
      </w:r>
    </w:p>
    <w:p w14:paraId="36AEA690" w14:textId="1C2E7EA2" w:rsidR="005035A4" w:rsidRDefault="00D60323" w:rsidP="00CA73E8">
      <w:pPr>
        <w:rPr>
          <w:rFonts w:eastAsia="Segoe UI" w:cs="Segoe UI"/>
          <w:color w:val="000000" w:themeColor="text1"/>
        </w:rPr>
      </w:pPr>
      <w:r w:rsidRPr="225E66FA">
        <w:rPr>
          <w:rFonts w:eastAsia="Segoe UI" w:cs="Segoe UI"/>
          <w:color w:val="000000" w:themeColor="text1"/>
        </w:rPr>
        <w:t xml:space="preserve">The Minister for Health </w:t>
      </w:r>
      <w:r>
        <w:rPr>
          <w:rFonts w:eastAsia="Segoe UI" w:cs="Segoe UI"/>
          <w:color w:val="000000" w:themeColor="text1"/>
        </w:rPr>
        <w:t xml:space="preserve">and Aged Care </w:t>
      </w:r>
      <w:r w:rsidRPr="225E66FA">
        <w:rPr>
          <w:rFonts w:eastAsia="Segoe UI" w:cs="Segoe UI"/>
          <w:color w:val="000000" w:themeColor="text1"/>
        </w:rPr>
        <w:t xml:space="preserve">appointed the </w:t>
      </w:r>
      <w:r>
        <w:rPr>
          <w:rFonts w:eastAsia="Segoe UI" w:cs="Segoe UI"/>
          <w:color w:val="000000" w:themeColor="text1"/>
        </w:rPr>
        <w:t>R</w:t>
      </w:r>
      <w:r w:rsidRPr="225E66FA">
        <w:rPr>
          <w:rFonts w:eastAsia="Segoe UI" w:cs="Segoe UI"/>
          <w:color w:val="000000" w:themeColor="text1"/>
        </w:rPr>
        <w:t xml:space="preserve">eference </w:t>
      </w:r>
      <w:r>
        <w:rPr>
          <w:rFonts w:eastAsia="Segoe UI" w:cs="Segoe UI"/>
          <w:color w:val="000000" w:themeColor="text1"/>
        </w:rPr>
        <w:t>C</w:t>
      </w:r>
      <w:r w:rsidRPr="225E66FA">
        <w:rPr>
          <w:rFonts w:eastAsia="Segoe UI" w:cs="Segoe UI"/>
          <w:color w:val="000000" w:themeColor="text1"/>
        </w:rPr>
        <w:t>ommittee</w:t>
      </w:r>
      <w:r w:rsidR="00A3145D">
        <w:rPr>
          <w:rFonts w:eastAsia="Segoe UI" w:cs="Segoe UI"/>
          <w:color w:val="000000" w:themeColor="text1"/>
        </w:rPr>
        <w:t xml:space="preserve"> </w:t>
      </w:r>
      <w:r w:rsidRPr="225E66FA">
        <w:rPr>
          <w:rFonts w:eastAsia="Segoe UI" w:cs="Segoe UI"/>
          <w:color w:val="000000" w:themeColor="text1"/>
        </w:rPr>
        <w:t xml:space="preserve">to conduct </w:t>
      </w:r>
      <w:r w:rsidR="00F71349">
        <w:rPr>
          <w:rFonts w:eastAsia="Segoe UI" w:cs="Segoe UI"/>
          <w:color w:val="000000" w:themeColor="text1"/>
        </w:rPr>
        <w:t xml:space="preserve">the HTA Review to </w:t>
      </w:r>
      <w:r w:rsidR="00BE6360">
        <w:rPr>
          <w:rFonts w:eastAsia="Segoe UI" w:cs="Segoe UI"/>
          <w:color w:val="000000" w:themeColor="text1"/>
        </w:rPr>
        <w:t>‘</w:t>
      </w:r>
      <w:r w:rsidR="009B523C" w:rsidRPr="009B523C">
        <w:rPr>
          <w:rFonts w:eastAsia="Segoe UI" w:cs="Segoe UI"/>
          <w:color w:val="000000" w:themeColor="text1"/>
        </w:rPr>
        <w:t>keep HTA in Australia at the forefront of public health and ensure Australians continue to enjoy the best possible access to health technologies, at a cost consumer</w:t>
      </w:r>
      <w:r w:rsidR="00BE6360">
        <w:rPr>
          <w:rFonts w:eastAsia="Segoe UI" w:cs="Segoe UI"/>
          <w:color w:val="000000" w:themeColor="text1"/>
        </w:rPr>
        <w:t>s</w:t>
      </w:r>
      <w:r w:rsidR="009B523C" w:rsidRPr="009B523C">
        <w:rPr>
          <w:rFonts w:eastAsia="Segoe UI" w:cs="Segoe UI"/>
          <w:color w:val="000000" w:themeColor="text1"/>
        </w:rPr>
        <w:t xml:space="preserve"> and the public can afford</w:t>
      </w:r>
      <w:r w:rsidR="00BE6360">
        <w:rPr>
          <w:rFonts w:eastAsia="Segoe UI" w:cs="Segoe UI"/>
          <w:color w:val="000000" w:themeColor="text1"/>
        </w:rPr>
        <w:t>’.</w:t>
      </w:r>
      <w:r w:rsidR="00AA055E">
        <w:rPr>
          <w:rStyle w:val="FootnoteReference"/>
          <w:rFonts w:eastAsia="Segoe UI" w:cs="Segoe UI"/>
          <w:color w:val="000000" w:themeColor="text1"/>
        </w:rPr>
        <w:footnoteReference w:id="7"/>
      </w:r>
    </w:p>
    <w:p w14:paraId="43AF8DDD" w14:textId="483D5AAA" w:rsidR="00941C56" w:rsidRPr="006E65E2" w:rsidRDefault="005568B1" w:rsidP="006E65E2">
      <w:r w:rsidRPr="00A93659">
        <w:t xml:space="preserve">The Reference Committee developed the </w:t>
      </w:r>
      <w:r w:rsidR="00941C56">
        <w:t>Review’s</w:t>
      </w:r>
      <w:r w:rsidR="00D57247">
        <w:t xml:space="preserve"> </w:t>
      </w:r>
      <w:r w:rsidR="00FF61AC">
        <w:t>Terms of Reference</w:t>
      </w:r>
      <w:r w:rsidRPr="00A93659">
        <w:t xml:space="preserve">, met regularly and </w:t>
      </w:r>
      <w:r w:rsidR="00941C56">
        <w:t>were</w:t>
      </w:r>
      <w:r w:rsidRPr="00A93659">
        <w:t xml:space="preserve"> open and inclusive with stakeholders throughout the </w:t>
      </w:r>
      <w:r w:rsidR="00941C56">
        <w:t>process</w:t>
      </w:r>
      <w:r w:rsidRPr="00A93659">
        <w:t>.</w:t>
      </w:r>
      <w:r w:rsidRPr="225E66FA">
        <w:t xml:space="preserve"> </w:t>
      </w:r>
    </w:p>
    <w:p w14:paraId="0BD1004E" w14:textId="77777777" w:rsidR="00ED0E4C" w:rsidRDefault="00513A1C" w:rsidP="00513A1C">
      <w:r w:rsidRPr="00513A1C">
        <w:t>To understand the issues – and opportunities for improvement – the Review’s objectives under its Terms of Reference included working with stakeholders to identify features of HTA policy and methods that:</w:t>
      </w:r>
    </w:p>
    <w:p w14:paraId="623DE99C" w14:textId="3B92DA64" w:rsidR="00043393" w:rsidRDefault="00043393" w:rsidP="00486F12">
      <w:pPr>
        <w:pStyle w:val="ListParagraph"/>
        <w:numPr>
          <w:ilvl w:val="0"/>
          <w:numId w:val="7"/>
        </w:numPr>
      </w:pPr>
      <w:r>
        <w:t>are working effectively</w:t>
      </w:r>
    </w:p>
    <w:p w14:paraId="7C37EB32" w14:textId="77777777" w:rsidR="00043393" w:rsidRDefault="00043393" w:rsidP="00486F12">
      <w:pPr>
        <w:pStyle w:val="ListParagraph"/>
        <w:numPr>
          <w:ilvl w:val="0"/>
          <w:numId w:val="7"/>
        </w:numPr>
      </w:pPr>
      <w:r>
        <w:t>may act as current or future barriers to earliest possible access</w:t>
      </w:r>
    </w:p>
    <w:p w14:paraId="0846E217" w14:textId="77777777" w:rsidR="00043393" w:rsidRDefault="00043393" w:rsidP="00486F12">
      <w:pPr>
        <w:pStyle w:val="ListParagraph"/>
        <w:numPr>
          <w:ilvl w:val="0"/>
          <w:numId w:val="7"/>
        </w:numPr>
      </w:pPr>
      <w:r>
        <w:t>may act as current or future barriers to equitable access</w:t>
      </w:r>
    </w:p>
    <w:p w14:paraId="225C48D3" w14:textId="77777777" w:rsidR="00043393" w:rsidRDefault="00043393" w:rsidP="00486F12">
      <w:pPr>
        <w:pStyle w:val="ListParagraph"/>
        <w:numPr>
          <w:ilvl w:val="0"/>
          <w:numId w:val="7"/>
        </w:numPr>
      </w:pPr>
      <w:r>
        <w:t>detract from person-centredness</w:t>
      </w:r>
    </w:p>
    <w:p w14:paraId="5DAEAF17" w14:textId="49629088" w:rsidR="00330576" w:rsidRDefault="00043393" w:rsidP="00486F12">
      <w:pPr>
        <w:pStyle w:val="ListParagraph"/>
        <w:numPr>
          <w:ilvl w:val="0"/>
          <w:numId w:val="7"/>
        </w:numPr>
      </w:pPr>
      <w:r>
        <w:t>may be creating perverse incentives.</w:t>
      </w:r>
      <w:r w:rsidR="00330576">
        <w:t xml:space="preserve">. </w:t>
      </w:r>
    </w:p>
    <w:p w14:paraId="33B255DB" w14:textId="734AC18D" w:rsidR="007C72D1" w:rsidRDefault="00330576" w:rsidP="00330576">
      <w:r w:rsidRPr="00E56E44">
        <w:t xml:space="preserve">The Review aimed to create an implementable, sustainable set of recommendations </w:t>
      </w:r>
      <w:r w:rsidR="00CD4DBD">
        <w:t>to</w:t>
      </w:r>
      <w:r w:rsidRPr="00E56E44">
        <w:t xml:space="preserve"> </w:t>
      </w:r>
      <w:r w:rsidR="000135CF">
        <w:t>address</w:t>
      </w:r>
      <w:r w:rsidRPr="00E56E44">
        <w:t xml:space="preserve"> identified challenges and provide Australians with equitable, timely and safe access to affordable medicines. </w:t>
      </w:r>
      <w:r w:rsidR="008659A1">
        <w:t>It also</w:t>
      </w:r>
      <w:r w:rsidRPr="00E56E44">
        <w:t xml:space="preserve"> aimed to ensure that HTA policy and methods were equipped to evaluate emerging technologies in</w:t>
      </w:r>
      <w:r w:rsidR="00CD4DBD">
        <w:t xml:space="preserve"> </w:t>
      </w:r>
      <w:r w:rsidRPr="00E56E44">
        <w:t>the future.</w:t>
      </w:r>
    </w:p>
    <w:p w14:paraId="3426D5C0" w14:textId="1105EC65" w:rsidR="00CD4DBD" w:rsidRDefault="00CD4DBD" w:rsidP="00330576">
      <w:r>
        <w:t>The Re</w:t>
      </w:r>
      <w:r w:rsidR="000F7A2C">
        <w:t>ference Committee</w:t>
      </w:r>
      <w:r>
        <w:t xml:space="preserve"> </w:t>
      </w:r>
      <w:r w:rsidR="00365C20">
        <w:t>delivered</w:t>
      </w:r>
      <w:r>
        <w:t xml:space="preserve"> its </w:t>
      </w:r>
      <w:r w:rsidR="00365C20">
        <w:t xml:space="preserve">findings and </w:t>
      </w:r>
      <w:r>
        <w:t xml:space="preserve">recommendations after </w:t>
      </w:r>
      <w:r w:rsidR="00812576">
        <w:t xml:space="preserve">considering extensive </w:t>
      </w:r>
      <w:r w:rsidR="00DD7231">
        <w:t xml:space="preserve">evidence and </w:t>
      </w:r>
      <w:r w:rsidR="00812576">
        <w:t>inputs</w:t>
      </w:r>
      <w:r w:rsidR="00DD7231">
        <w:t xml:space="preserve">. This included </w:t>
      </w:r>
      <w:r>
        <w:t xml:space="preserve">conducting </w:t>
      </w:r>
      <w:r w:rsidR="00450CF7">
        <w:t>comprehensive</w:t>
      </w:r>
      <w:r>
        <w:t xml:space="preserve"> consultations and commissioning</w:t>
      </w:r>
      <w:r w:rsidR="001F3F2D">
        <w:t xml:space="preserve"> </w:t>
      </w:r>
      <w:r w:rsidR="00D27BF4">
        <w:t xml:space="preserve">HTA experts to </w:t>
      </w:r>
      <w:r w:rsidR="00261F72">
        <w:t>develop papers</w:t>
      </w:r>
      <w:r w:rsidR="00F05508">
        <w:t xml:space="preserve"> on </w:t>
      </w:r>
      <w:r w:rsidRPr="002A5C3E">
        <w:rPr>
          <w:rFonts w:eastAsia="Segoe UI" w:cs="Segoe UI"/>
        </w:rPr>
        <w:t xml:space="preserve">contemporary </w:t>
      </w:r>
      <w:r w:rsidRPr="002A5C3E">
        <w:rPr>
          <w:rFonts w:eastAsia="Segoe UI" w:cs="Segoe UI"/>
        </w:rPr>
        <w:lastRenderedPageBreak/>
        <w:t xml:space="preserve">research, </w:t>
      </w:r>
      <w:r w:rsidR="00F05508">
        <w:rPr>
          <w:rFonts w:eastAsia="Segoe UI" w:cs="Segoe UI"/>
        </w:rPr>
        <w:t xml:space="preserve">and </w:t>
      </w:r>
      <w:r w:rsidRPr="002A5C3E">
        <w:rPr>
          <w:rFonts w:eastAsia="Segoe UI" w:cs="Segoe UI"/>
        </w:rPr>
        <w:t xml:space="preserve">relevant methodologies and purchasing practices </w:t>
      </w:r>
      <w:r w:rsidR="00F05508">
        <w:rPr>
          <w:rFonts w:eastAsia="Segoe UI" w:cs="Segoe UI"/>
        </w:rPr>
        <w:t>in</w:t>
      </w:r>
      <w:r w:rsidRPr="002A5C3E">
        <w:rPr>
          <w:rFonts w:eastAsia="Segoe UI" w:cs="Segoe UI"/>
        </w:rPr>
        <w:t xml:space="preserve"> comparable international jurisdictions</w:t>
      </w:r>
      <w:r>
        <w:t>.</w:t>
      </w:r>
    </w:p>
    <w:p w14:paraId="7638734B" w14:textId="16136641" w:rsidR="006B3E68" w:rsidRDefault="002B77E9" w:rsidP="00117D78">
      <w:pPr>
        <w:pStyle w:val="Heading1"/>
        <w:spacing w:after="240"/>
      </w:pPr>
      <w:bookmarkStart w:id="35" w:name="_Toc170210008"/>
      <w:bookmarkStart w:id="36" w:name="_Toc170238458"/>
      <w:bookmarkStart w:id="37" w:name="_Toc172030757"/>
      <w:r w:rsidRPr="00893C71">
        <w:t xml:space="preserve">The </w:t>
      </w:r>
      <w:r w:rsidR="00893C71" w:rsidRPr="00B32703">
        <w:t xml:space="preserve">Review </w:t>
      </w:r>
      <w:r w:rsidRPr="00893C71">
        <w:t xml:space="preserve">process </w:t>
      </w:r>
      <w:bookmarkEnd w:id="35"/>
      <w:bookmarkEnd w:id="36"/>
      <w:bookmarkEnd w:id="37"/>
    </w:p>
    <w:p w14:paraId="45AE674C" w14:textId="219E12C5" w:rsidR="005B1A12" w:rsidRDefault="003F0C8B" w:rsidP="00A442CE">
      <w:pPr>
        <w:rPr>
          <w:rFonts w:eastAsia="Segoe UI" w:cs="Segoe UI"/>
          <w:color w:val="000000" w:themeColor="text1"/>
        </w:rPr>
      </w:pPr>
      <w:r>
        <w:rPr>
          <w:noProof/>
        </w:rPr>
        <w:drawing>
          <wp:inline distT="0" distB="0" distL="0" distR="0" wp14:anchorId="3227A65F" wp14:editId="74DBE619">
            <wp:extent cx="5725352" cy="5809129"/>
            <wp:effectExtent l="0" t="0" r="0" b="1270"/>
            <wp:docPr id="42" name="Picture 42" descr="Diagram of the review process as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Diagram of the review process as described abov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0214" cy="5824209"/>
                    </a:xfrm>
                    <a:prstGeom prst="rect">
                      <a:avLst/>
                    </a:prstGeom>
                    <a:noFill/>
                  </pic:spPr>
                </pic:pic>
              </a:graphicData>
            </a:graphic>
          </wp:inline>
        </w:drawing>
      </w:r>
    </w:p>
    <w:p w14:paraId="7C8E2C45" w14:textId="77777777" w:rsidR="002A41DF" w:rsidRDefault="002A41DF" w:rsidP="00053079">
      <w:pPr>
        <w:pStyle w:val="Heading2"/>
        <w:sectPr w:rsidR="002A41DF" w:rsidSect="00D714A7">
          <w:pgSz w:w="11906" w:h="16838"/>
          <w:pgMar w:top="993" w:right="1440" w:bottom="993" w:left="1440" w:header="708" w:footer="708" w:gutter="0"/>
          <w:cols w:space="708"/>
          <w:docGrid w:linePitch="360"/>
        </w:sectPr>
      </w:pPr>
    </w:p>
    <w:p w14:paraId="02A2F155" w14:textId="03E9A12E" w:rsidR="00EE7011" w:rsidRPr="00B40080" w:rsidRDefault="004C5609" w:rsidP="00B40080">
      <w:pPr>
        <w:pStyle w:val="Heading1"/>
        <w:rPr>
          <w:bCs w:val="0"/>
          <w:iCs/>
          <w:color w:val="193A6E"/>
        </w:rPr>
      </w:pPr>
      <w:bookmarkStart w:id="38" w:name="_Toc170238459"/>
      <w:bookmarkStart w:id="39" w:name="_Toc172030758"/>
      <w:bookmarkStart w:id="40" w:name="_Toc170210009"/>
      <w:r w:rsidRPr="00B40080">
        <w:rPr>
          <w:bCs w:val="0"/>
          <w:iCs/>
          <w:color w:val="193A6E"/>
        </w:rPr>
        <w:t>Overview</w:t>
      </w:r>
      <w:bookmarkEnd w:id="38"/>
      <w:bookmarkEnd w:id="39"/>
      <w:r w:rsidRPr="00B40080">
        <w:rPr>
          <w:bCs w:val="0"/>
          <w:iCs/>
          <w:color w:val="193A6E"/>
        </w:rPr>
        <w:t xml:space="preserve"> </w:t>
      </w:r>
      <w:bookmarkEnd w:id="40"/>
    </w:p>
    <w:p w14:paraId="36D3A4CA" w14:textId="03503AA4" w:rsidR="002B4896" w:rsidRDefault="002B4896" w:rsidP="00B26F28">
      <w:r w:rsidRPr="0024394E">
        <w:t>Th</w:t>
      </w:r>
      <w:r w:rsidR="00132C36" w:rsidRPr="0024394E">
        <w:t xml:space="preserve">is report </w:t>
      </w:r>
      <w:r w:rsidR="00F3355C" w:rsidRPr="0024394E">
        <w:t>provides a</w:t>
      </w:r>
      <w:r w:rsidR="198E587B" w:rsidRPr="0024394E">
        <w:t xml:space="preserve"> brief</w:t>
      </w:r>
      <w:r w:rsidR="00F3355C" w:rsidRPr="0024394E">
        <w:t xml:space="preserve"> overview of </w:t>
      </w:r>
      <w:r w:rsidR="005E0783" w:rsidRPr="0024394E">
        <w:t>the</w:t>
      </w:r>
      <w:r w:rsidR="00DB51C4">
        <w:t xml:space="preserve"> full report:</w:t>
      </w:r>
      <w:r w:rsidR="005E0783" w:rsidRPr="0024394E">
        <w:t xml:space="preserve"> </w:t>
      </w:r>
      <w:r w:rsidRPr="0024394E">
        <w:rPr>
          <w:i/>
          <w:iCs/>
        </w:rPr>
        <w:t>Accelerating Access to the Best Medicines for Australians Now and Into the Future</w:t>
      </w:r>
      <w:r w:rsidR="005E0783" w:rsidRPr="0024394E">
        <w:t xml:space="preserve">, including a summary of the key recommendations </w:t>
      </w:r>
      <w:r w:rsidR="00416ABF" w:rsidRPr="0024394E">
        <w:t>and objectives</w:t>
      </w:r>
      <w:r w:rsidR="0061648A" w:rsidRPr="0024394E">
        <w:t>.</w:t>
      </w:r>
      <w:r w:rsidR="00132C36">
        <w:t xml:space="preserve"> </w:t>
      </w:r>
      <w:r w:rsidR="49264824">
        <w:t xml:space="preserve">To read </w:t>
      </w:r>
      <w:r w:rsidR="5D62B065">
        <w:t xml:space="preserve">all </w:t>
      </w:r>
      <w:r w:rsidR="49264824">
        <w:t>the</w:t>
      </w:r>
      <w:r w:rsidR="4A14E003">
        <w:t xml:space="preserve"> recommendations</w:t>
      </w:r>
      <w:r w:rsidR="00AF121D">
        <w:t xml:space="preserve"> in full detail</w:t>
      </w:r>
      <w:r w:rsidR="4A14E003">
        <w:t xml:space="preserve">, and the </w:t>
      </w:r>
      <w:r w:rsidR="49264824">
        <w:t>findings</w:t>
      </w:r>
      <w:r w:rsidR="59A10036">
        <w:t xml:space="preserve"> and</w:t>
      </w:r>
      <w:r w:rsidR="49264824">
        <w:t xml:space="preserve"> analysis </w:t>
      </w:r>
      <w:r w:rsidR="282C99A4">
        <w:t xml:space="preserve">they are based on, please see the full report. </w:t>
      </w:r>
      <w:r w:rsidR="00132C36">
        <w:rPr>
          <w:rStyle w:val="CommentReference"/>
          <w:sz w:val="24"/>
          <w:szCs w:val="24"/>
        </w:rPr>
        <w:t>C</w:t>
      </w:r>
      <w:r w:rsidRPr="007A42F0">
        <w:rPr>
          <w:rStyle w:val="CommentReference"/>
          <w:sz w:val="24"/>
          <w:szCs w:val="24"/>
        </w:rPr>
        <w:t>hapters</w:t>
      </w:r>
      <w:r>
        <w:t xml:space="preserve"> 1 and </w:t>
      </w:r>
      <w:r>
        <w:lastRenderedPageBreak/>
        <w:t xml:space="preserve">2 </w:t>
      </w:r>
      <w:r w:rsidR="00132C36">
        <w:t xml:space="preserve">of that report </w:t>
      </w:r>
      <w:r>
        <w:t>provid</w:t>
      </w:r>
      <w:r w:rsidR="00132C36">
        <w:t>e</w:t>
      </w:r>
      <w:r w:rsidR="004F074E">
        <w:t>s</w:t>
      </w:r>
      <w:r w:rsidR="00132C36">
        <w:t xml:space="preserve"> </w:t>
      </w:r>
      <w:r>
        <w:t>an introduction and overview of Australia’s health system, HTA</w:t>
      </w:r>
      <w:r w:rsidR="00132C36">
        <w:t xml:space="preserve"> processes</w:t>
      </w:r>
      <w:r>
        <w:t xml:space="preserve"> and the Review. </w:t>
      </w:r>
      <w:r w:rsidR="00132C36">
        <w:t xml:space="preserve">The other chapters </w:t>
      </w:r>
      <w:r w:rsidR="00D63B45">
        <w:t>look at</w:t>
      </w:r>
      <w:r w:rsidR="00132C36">
        <w:t>:</w:t>
      </w:r>
    </w:p>
    <w:p w14:paraId="7065A06A" w14:textId="356D69FD" w:rsidR="002B4896" w:rsidRPr="005A585E" w:rsidRDefault="0003478E" w:rsidP="0039670D">
      <w:pPr>
        <w:numPr>
          <w:ilvl w:val="0"/>
          <w:numId w:val="2"/>
        </w:numPr>
        <w:snapToGrid w:val="0"/>
        <w:spacing w:after="120" w:line="22" w:lineRule="atLeast"/>
        <w:rPr>
          <w:rFonts w:eastAsia="Calibri" w:cs="Segoe UI"/>
          <w:kern w:val="2"/>
          <w14:ligatures w14:val="standardContextual"/>
        </w:rPr>
      </w:pPr>
      <w:r w:rsidRPr="005A585E">
        <w:rPr>
          <w:rFonts w:eastAsia="Calibri" w:cs="Segoe UI"/>
          <w:kern w:val="2"/>
          <w14:ligatures w14:val="standardContextual"/>
        </w:rPr>
        <w:t xml:space="preserve">improving </w:t>
      </w:r>
      <w:r w:rsidR="00CC1AED" w:rsidRPr="005A585E">
        <w:rPr>
          <w:rFonts w:eastAsia="Calibri" w:cs="Segoe UI"/>
          <w:kern w:val="2"/>
          <w14:ligatures w14:val="standardContextual"/>
        </w:rPr>
        <w:t xml:space="preserve">equitable </w:t>
      </w:r>
      <w:r w:rsidR="002B4896" w:rsidRPr="005A585E">
        <w:rPr>
          <w:rFonts w:eastAsia="Calibri" w:cs="Segoe UI"/>
          <w:kern w:val="2"/>
          <w14:ligatures w14:val="standardContextual"/>
        </w:rPr>
        <w:t>access</w:t>
      </w:r>
      <w:r w:rsidR="00D63B45" w:rsidRPr="005A585E">
        <w:rPr>
          <w:rFonts w:eastAsia="Calibri" w:cs="Segoe UI"/>
          <w:kern w:val="2"/>
          <w14:ligatures w14:val="standardContextual"/>
        </w:rPr>
        <w:t xml:space="preserve"> to health technologies</w:t>
      </w:r>
      <w:r w:rsidR="002B4896" w:rsidRPr="005A585E">
        <w:rPr>
          <w:rFonts w:eastAsia="Calibri" w:cs="Segoe UI"/>
          <w:kern w:val="2"/>
          <w14:ligatures w14:val="standardContextual"/>
        </w:rPr>
        <w:t xml:space="preserve"> </w:t>
      </w:r>
      <w:r w:rsidR="00D63B45" w:rsidRPr="005A585E">
        <w:rPr>
          <w:rFonts w:eastAsia="Calibri" w:cs="Segoe UI"/>
          <w:kern w:val="2"/>
          <w14:ligatures w14:val="standardContextual"/>
        </w:rPr>
        <w:t>for</w:t>
      </w:r>
      <w:r w:rsidR="002B4896" w:rsidRPr="005A585E">
        <w:rPr>
          <w:rFonts w:eastAsia="Calibri" w:cs="Segoe UI"/>
          <w:kern w:val="2"/>
          <w14:ligatures w14:val="standardContextual"/>
        </w:rPr>
        <w:t xml:space="preserve"> under-represented patient groups</w:t>
      </w:r>
    </w:p>
    <w:p w14:paraId="05C7E3D8" w14:textId="454F5ADC" w:rsidR="002B4896" w:rsidRPr="005A585E" w:rsidRDefault="00D63B45" w:rsidP="0039670D">
      <w:pPr>
        <w:numPr>
          <w:ilvl w:val="0"/>
          <w:numId w:val="2"/>
        </w:numPr>
        <w:snapToGrid w:val="0"/>
        <w:spacing w:after="120" w:line="22" w:lineRule="atLeast"/>
        <w:rPr>
          <w:rFonts w:eastAsia="Calibri" w:cs="Segoe UI"/>
          <w:kern w:val="2"/>
          <w14:ligatures w14:val="standardContextual"/>
        </w:rPr>
      </w:pPr>
      <w:r w:rsidRPr="005A585E">
        <w:rPr>
          <w:rFonts w:eastAsia="Calibri" w:cs="Segoe UI"/>
          <w:kern w:val="2"/>
          <w14:ligatures w14:val="standardContextual"/>
        </w:rPr>
        <w:t>s</w:t>
      </w:r>
      <w:r w:rsidR="002B4896" w:rsidRPr="005A585E">
        <w:rPr>
          <w:rFonts w:eastAsia="Calibri" w:cs="Segoe UI"/>
          <w:kern w:val="2"/>
          <w14:ligatures w14:val="standardContextual"/>
        </w:rPr>
        <w:t>treamlin</w:t>
      </w:r>
      <w:r w:rsidR="0003478E" w:rsidRPr="005A585E">
        <w:rPr>
          <w:rFonts w:eastAsia="Calibri" w:cs="Segoe UI"/>
          <w:kern w:val="2"/>
          <w14:ligatures w14:val="standardContextual"/>
        </w:rPr>
        <w:t>ing</w:t>
      </w:r>
      <w:r w:rsidRPr="005A585E">
        <w:rPr>
          <w:rFonts w:eastAsia="Calibri" w:cs="Segoe UI"/>
          <w:kern w:val="2"/>
          <w14:ligatures w14:val="standardContextual"/>
        </w:rPr>
        <w:t xml:space="preserve"> </w:t>
      </w:r>
      <w:r w:rsidR="00942B68" w:rsidRPr="005A585E">
        <w:rPr>
          <w:rFonts w:eastAsia="Calibri" w:cs="Segoe UI"/>
          <w:kern w:val="2"/>
          <w14:ligatures w14:val="standardContextual"/>
        </w:rPr>
        <w:t xml:space="preserve">HTA </w:t>
      </w:r>
      <w:r w:rsidR="002B4896" w:rsidRPr="005A585E">
        <w:rPr>
          <w:rFonts w:eastAsia="Calibri" w:cs="Segoe UI"/>
          <w:kern w:val="2"/>
          <w14:ligatures w14:val="standardContextual"/>
        </w:rPr>
        <w:t>pathways</w:t>
      </w:r>
      <w:r w:rsidR="003D3405" w:rsidRPr="005A585E">
        <w:rPr>
          <w:rFonts w:eastAsia="Calibri" w:cs="Segoe UI"/>
          <w:kern w:val="2"/>
          <w14:ligatures w14:val="standardContextual"/>
        </w:rPr>
        <w:t xml:space="preserve"> and processes</w:t>
      </w:r>
      <w:r w:rsidR="002B4896" w:rsidRPr="005A585E">
        <w:rPr>
          <w:rFonts w:eastAsia="Calibri" w:cs="Segoe UI"/>
          <w:kern w:val="2"/>
          <w14:ligatures w14:val="standardContextual"/>
        </w:rPr>
        <w:t xml:space="preserve"> </w:t>
      </w:r>
      <w:r w:rsidR="00F857E5" w:rsidRPr="005A585E">
        <w:rPr>
          <w:rFonts w:eastAsia="Calibri" w:cs="Segoe UI"/>
          <w:kern w:val="2"/>
          <w14:ligatures w14:val="standardContextual"/>
        </w:rPr>
        <w:t xml:space="preserve">to improve </w:t>
      </w:r>
      <w:r w:rsidR="003D22D5" w:rsidRPr="005A585E">
        <w:rPr>
          <w:rFonts w:eastAsia="Calibri" w:cs="Segoe UI"/>
          <w:kern w:val="2"/>
          <w14:ligatures w14:val="standardContextual"/>
        </w:rPr>
        <w:t>the time</w:t>
      </w:r>
      <w:r w:rsidR="00CC6B46" w:rsidRPr="005A585E">
        <w:rPr>
          <w:rFonts w:eastAsia="Calibri" w:cs="Segoe UI"/>
          <w:kern w:val="2"/>
          <w14:ligatures w14:val="standardContextual"/>
        </w:rPr>
        <w:t xml:space="preserve"> for</w:t>
      </w:r>
      <w:r w:rsidR="003D22D5" w:rsidRPr="005A585E">
        <w:rPr>
          <w:rFonts w:eastAsia="Calibri" w:cs="Segoe UI"/>
          <w:kern w:val="2"/>
          <w14:ligatures w14:val="standardContextual"/>
        </w:rPr>
        <w:t xml:space="preserve"> patients </w:t>
      </w:r>
      <w:r w:rsidR="00CC6B46" w:rsidRPr="005A585E">
        <w:rPr>
          <w:rFonts w:eastAsia="Calibri" w:cs="Segoe UI"/>
          <w:kern w:val="2"/>
          <w14:ligatures w14:val="standardContextual"/>
        </w:rPr>
        <w:t xml:space="preserve">to </w:t>
      </w:r>
      <w:r w:rsidRPr="005A585E">
        <w:rPr>
          <w:rFonts w:eastAsia="Calibri" w:cs="Segoe UI"/>
          <w:kern w:val="2"/>
          <w14:ligatures w14:val="standardContextual"/>
        </w:rPr>
        <w:t>assess health technologies</w:t>
      </w:r>
    </w:p>
    <w:p w14:paraId="607C8725" w14:textId="774E79EB" w:rsidR="002B4896" w:rsidRPr="005A585E" w:rsidRDefault="00893C71" w:rsidP="0039670D">
      <w:pPr>
        <w:numPr>
          <w:ilvl w:val="0"/>
          <w:numId w:val="2"/>
        </w:numPr>
        <w:snapToGrid w:val="0"/>
        <w:spacing w:after="120" w:line="22" w:lineRule="atLeast"/>
        <w:rPr>
          <w:rFonts w:eastAsia="Calibri" w:cs="Segoe UI"/>
          <w:kern w:val="2"/>
          <w14:ligatures w14:val="standardContextual"/>
        </w:rPr>
      </w:pPr>
      <w:r w:rsidRPr="005A585E">
        <w:rPr>
          <w:rFonts w:eastAsia="Calibri" w:cs="Segoe UI"/>
          <w:kern w:val="2"/>
          <w14:ligatures w14:val="standardContextual"/>
        </w:rPr>
        <w:t>i</w:t>
      </w:r>
      <w:r w:rsidR="0003478E" w:rsidRPr="005A585E">
        <w:rPr>
          <w:rFonts w:eastAsia="Calibri" w:cs="Segoe UI"/>
          <w:kern w:val="2"/>
          <w14:ligatures w14:val="standardContextual"/>
        </w:rPr>
        <w:t xml:space="preserve">mproving </w:t>
      </w:r>
      <w:r w:rsidR="00D63B45" w:rsidRPr="005A585E">
        <w:rPr>
          <w:rFonts w:eastAsia="Calibri" w:cs="Segoe UI"/>
          <w:kern w:val="2"/>
          <w14:ligatures w14:val="standardContextual"/>
        </w:rPr>
        <w:t>p</w:t>
      </w:r>
      <w:r w:rsidR="002B4896" w:rsidRPr="005A585E">
        <w:rPr>
          <w:rFonts w:eastAsia="Calibri" w:cs="Segoe UI"/>
          <w:kern w:val="2"/>
          <w14:ligatures w14:val="standardContextual"/>
        </w:rPr>
        <w:t xml:space="preserve">olicies, methods and processes </w:t>
      </w:r>
      <w:r w:rsidR="00D63B45" w:rsidRPr="005A585E">
        <w:rPr>
          <w:rFonts w:eastAsia="Calibri" w:cs="Segoe UI"/>
          <w:kern w:val="2"/>
          <w14:ligatures w14:val="standardContextual"/>
        </w:rPr>
        <w:t>for</w:t>
      </w:r>
      <w:r w:rsidR="002B4896" w:rsidRPr="005A585E">
        <w:rPr>
          <w:rFonts w:eastAsia="Calibri" w:cs="Segoe UI"/>
          <w:kern w:val="2"/>
          <w14:ligatures w14:val="standardContextual"/>
        </w:rPr>
        <w:t xml:space="preserve"> translati</w:t>
      </w:r>
      <w:r w:rsidR="00D63B45" w:rsidRPr="005A585E">
        <w:rPr>
          <w:rFonts w:eastAsia="Calibri" w:cs="Segoe UI"/>
          <w:kern w:val="2"/>
          <w14:ligatures w14:val="standardContextual"/>
        </w:rPr>
        <w:t>ng</w:t>
      </w:r>
      <w:r w:rsidR="002B4896" w:rsidRPr="005A585E">
        <w:rPr>
          <w:rFonts w:eastAsia="Calibri" w:cs="Segoe UI"/>
          <w:kern w:val="2"/>
          <w14:ligatures w14:val="standardContextual"/>
        </w:rPr>
        <w:t xml:space="preserve"> HTA recommendations into patient access</w:t>
      </w:r>
      <w:r w:rsidR="00D63B45" w:rsidRPr="005A585E">
        <w:rPr>
          <w:rFonts w:eastAsia="Calibri" w:cs="Segoe UI"/>
          <w:kern w:val="2"/>
          <w14:ligatures w14:val="standardContextual"/>
        </w:rPr>
        <w:t xml:space="preserve"> to health technologies</w:t>
      </w:r>
    </w:p>
    <w:p w14:paraId="245980B1" w14:textId="1B011A05" w:rsidR="002B4896" w:rsidRPr="005A585E" w:rsidRDefault="0003478E" w:rsidP="0039670D">
      <w:pPr>
        <w:numPr>
          <w:ilvl w:val="0"/>
          <w:numId w:val="2"/>
        </w:numPr>
        <w:snapToGrid w:val="0"/>
        <w:spacing w:after="120" w:line="22" w:lineRule="atLeast"/>
        <w:rPr>
          <w:rFonts w:eastAsia="Calibri" w:cs="Segoe UI"/>
          <w:kern w:val="2"/>
          <w14:ligatures w14:val="standardContextual"/>
        </w:rPr>
      </w:pPr>
      <w:r w:rsidRPr="005A585E">
        <w:rPr>
          <w:rFonts w:eastAsia="Calibri" w:cs="Segoe UI"/>
          <w:kern w:val="2"/>
          <w14:ligatures w14:val="standardContextual"/>
        </w:rPr>
        <w:t>improving t</w:t>
      </w:r>
      <w:r w:rsidR="002B4896" w:rsidRPr="005A585E">
        <w:rPr>
          <w:rFonts w:eastAsia="Calibri" w:cs="Segoe UI"/>
          <w:kern w:val="2"/>
          <w14:ligatures w14:val="standardContextual"/>
        </w:rPr>
        <w:t>ransparency and stakeholder involvement</w:t>
      </w:r>
    </w:p>
    <w:p w14:paraId="18AACF82" w14:textId="6DE4F930" w:rsidR="002B4896" w:rsidRPr="005A585E" w:rsidRDefault="00D63B45" w:rsidP="0039670D">
      <w:pPr>
        <w:numPr>
          <w:ilvl w:val="0"/>
          <w:numId w:val="2"/>
        </w:numPr>
        <w:snapToGrid w:val="0"/>
        <w:spacing w:after="120" w:line="22" w:lineRule="atLeast"/>
        <w:rPr>
          <w:rFonts w:eastAsia="Calibri" w:cs="Segoe UI"/>
          <w:kern w:val="2"/>
          <w14:ligatures w14:val="standardContextual"/>
        </w:rPr>
      </w:pPr>
      <w:r w:rsidRPr="005A585E">
        <w:rPr>
          <w:rFonts w:eastAsia="Calibri" w:cs="Segoe UI"/>
          <w:kern w:val="2"/>
          <w14:ligatures w14:val="standardContextual"/>
        </w:rPr>
        <w:t>e</w:t>
      </w:r>
      <w:r w:rsidR="002B4896" w:rsidRPr="005A585E">
        <w:rPr>
          <w:rFonts w:eastAsia="Calibri" w:cs="Segoe UI"/>
          <w:kern w:val="2"/>
          <w14:ligatures w14:val="standardContextual"/>
        </w:rPr>
        <w:t xml:space="preserve">nhancing </w:t>
      </w:r>
      <w:r w:rsidR="001217FF">
        <w:rPr>
          <w:rFonts w:eastAsia="Calibri" w:cs="Segoe UI"/>
          <w:kern w:val="2"/>
          <w14:ligatures w14:val="standardContextual"/>
        </w:rPr>
        <w:t>real-world data</w:t>
      </w:r>
      <w:r w:rsidR="002B4896" w:rsidRPr="005A585E">
        <w:rPr>
          <w:rFonts w:eastAsia="Calibri" w:cs="Segoe UI"/>
          <w:kern w:val="2"/>
          <w14:ligatures w14:val="standardContextual"/>
        </w:rPr>
        <w:t xml:space="preserve"> and real-world evidence for HTA</w:t>
      </w:r>
      <w:r w:rsidR="0003478E" w:rsidRPr="005A585E">
        <w:rPr>
          <w:rFonts w:eastAsia="Calibri" w:cs="Segoe UI"/>
          <w:kern w:val="2"/>
          <w14:ligatures w14:val="standardContextual"/>
        </w:rPr>
        <w:t>s</w:t>
      </w:r>
    </w:p>
    <w:p w14:paraId="6BE77375" w14:textId="686A4318" w:rsidR="002B4896" w:rsidRPr="005A585E" w:rsidRDefault="00F25CB6" w:rsidP="0039670D">
      <w:pPr>
        <w:numPr>
          <w:ilvl w:val="0"/>
          <w:numId w:val="2"/>
        </w:numPr>
        <w:snapToGrid w:val="0"/>
        <w:spacing w:after="120" w:line="22" w:lineRule="atLeast"/>
        <w:rPr>
          <w:rFonts w:eastAsia="Calibri" w:cs="Segoe UI"/>
          <w:kern w:val="2"/>
          <w14:ligatures w14:val="standardContextual"/>
        </w:rPr>
      </w:pPr>
      <w:r>
        <w:rPr>
          <w:rFonts w:eastAsia="Calibri" w:cs="Segoe UI"/>
          <w:kern w:val="2"/>
          <w14:ligatures w14:val="standardContextual"/>
        </w:rPr>
        <w:t>enhancing</w:t>
      </w:r>
      <w:r w:rsidR="00580EE3" w:rsidRPr="005A585E">
        <w:rPr>
          <w:rFonts w:eastAsia="Calibri" w:cs="Segoe UI"/>
          <w:kern w:val="2"/>
          <w14:ligatures w14:val="standardContextual"/>
        </w:rPr>
        <w:t xml:space="preserve"> </w:t>
      </w:r>
      <w:r w:rsidR="0020333E">
        <w:rPr>
          <w:rFonts w:eastAsia="Calibri" w:cs="Segoe UI"/>
          <w:kern w:val="2"/>
          <w14:ligatures w14:val="standardContextual"/>
        </w:rPr>
        <w:t>HTA</w:t>
      </w:r>
      <w:r w:rsidR="0003478E" w:rsidRPr="005A585E">
        <w:rPr>
          <w:rFonts w:eastAsia="Calibri" w:cs="Segoe UI"/>
          <w:kern w:val="2"/>
          <w14:ligatures w14:val="standardContextual"/>
        </w:rPr>
        <w:t xml:space="preserve"> </w:t>
      </w:r>
      <w:r w:rsidR="00580EE3" w:rsidRPr="005A585E">
        <w:rPr>
          <w:rFonts w:eastAsia="Calibri" w:cs="Segoe UI"/>
          <w:kern w:val="2"/>
          <w14:ligatures w14:val="standardContextual"/>
        </w:rPr>
        <w:t xml:space="preserve">methods </w:t>
      </w:r>
      <w:r w:rsidR="00DC5009">
        <w:rPr>
          <w:rFonts w:eastAsia="Calibri" w:cs="Segoe UI"/>
          <w:kern w:val="2"/>
          <w14:ligatures w14:val="standardContextual"/>
        </w:rPr>
        <w:t>so that decision-</w:t>
      </w:r>
      <w:r w:rsidR="00F62474">
        <w:rPr>
          <w:rFonts w:eastAsia="Calibri" w:cs="Segoe UI"/>
          <w:kern w:val="2"/>
          <w14:ligatures w14:val="standardContextual"/>
        </w:rPr>
        <w:t xml:space="preserve">makers can be confident health technologies will perform as claimed. </w:t>
      </w:r>
      <w:r w:rsidR="0003478E" w:rsidRPr="005A585E">
        <w:rPr>
          <w:rFonts w:eastAsia="Calibri" w:cs="Segoe UI"/>
          <w:kern w:val="2"/>
          <w14:ligatures w14:val="standardContextual"/>
        </w:rPr>
        <w:t xml:space="preserve"> </w:t>
      </w:r>
    </w:p>
    <w:p w14:paraId="2945496A" w14:textId="17ABB2B4" w:rsidR="002B4896" w:rsidRPr="005A585E" w:rsidRDefault="004A6CC4" w:rsidP="0039670D">
      <w:pPr>
        <w:numPr>
          <w:ilvl w:val="0"/>
          <w:numId w:val="2"/>
        </w:numPr>
        <w:snapToGrid w:val="0"/>
        <w:spacing w:after="120" w:line="22" w:lineRule="atLeast"/>
        <w:rPr>
          <w:rFonts w:eastAsia="Calibri" w:cs="Segoe UI"/>
          <w:kern w:val="2"/>
          <w14:ligatures w14:val="standardContextual"/>
        </w:rPr>
      </w:pPr>
      <w:r w:rsidRPr="005A585E">
        <w:rPr>
          <w:rFonts w:eastAsia="Calibri" w:cs="Segoe UI"/>
          <w:kern w:val="2"/>
          <w14:ligatures w14:val="standardContextual"/>
        </w:rPr>
        <w:t>improving</w:t>
      </w:r>
      <w:r w:rsidR="0047227A" w:rsidRPr="005A585E">
        <w:rPr>
          <w:rFonts w:eastAsia="Calibri" w:cs="Segoe UI"/>
          <w:kern w:val="2"/>
          <w14:ligatures w14:val="standardContextual"/>
        </w:rPr>
        <w:t xml:space="preserve"> the</w:t>
      </w:r>
      <w:r w:rsidR="0003478E" w:rsidRPr="005A585E">
        <w:rPr>
          <w:rFonts w:eastAsia="Calibri" w:cs="Segoe UI"/>
          <w:kern w:val="2"/>
          <w14:ligatures w14:val="standardContextual"/>
        </w:rPr>
        <w:t xml:space="preserve"> </w:t>
      </w:r>
      <w:r w:rsidR="00893C71" w:rsidRPr="005A585E">
        <w:rPr>
          <w:rFonts w:eastAsia="Calibri" w:cs="Segoe UI"/>
          <w:kern w:val="2"/>
          <w14:ligatures w14:val="standardContextual"/>
        </w:rPr>
        <w:t xml:space="preserve">processes </w:t>
      </w:r>
      <w:r w:rsidR="0047227A" w:rsidRPr="005A585E">
        <w:rPr>
          <w:rFonts w:eastAsia="Calibri" w:cs="Segoe UI"/>
          <w:kern w:val="2"/>
          <w14:ligatures w14:val="standardContextual"/>
        </w:rPr>
        <w:t xml:space="preserve">and structures </w:t>
      </w:r>
      <w:r w:rsidR="00893C71" w:rsidRPr="005A585E">
        <w:rPr>
          <w:rFonts w:eastAsia="Calibri" w:cs="Segoe UI"/>
          <w:kern w:val="2"/>
          <w14:ligatures w14:val="standardContextual"/>
        </w:rPr>
        <w:t xml:space="preserve">that </w:t>
      </w:r>
      <w:r w:rsidR="005E4522" w:rsidRPr="005A585E">
        <w:rPr>
          <w:rFonts w:eastAsia="Calibri" w:cs="Segoe UI"/>
          <w:kern w:val="2"/>
          <w14:ligatures w14:val="standardContextual"/>
        </w:rPr>
        <w:t>support</w:t>
      </w:r>
      <w:r w:rsidR="00893C71" w:rsidRPr="005A585E">
        <w:rPr>
          <w:rFonts w:eastAsia="Calibri" w:cs="Segoe UI"/>
          <w:kern w:val="2"/>
          <w14:ligatures w14:val="standardContextual"/>
        </w:rPr>
        <w:t xml:space="preserve"> the HTA</w:t>
      </w:r>
      <w:r w:rsidR="0003478E" w:rsidRPr="005A585E">
        <w:rPr>
          <w:rFonts w:eastAsia="Calibri" w:cs="Segoe UI"/>
          <w:kern w:val="2"/>
          <w14:ligatures w14:val="standardContextual"/>
        </w:rPr>
        <w:t xml:space="preserve"> </w:t>
      </w:r>
      <w:r w:rsidR="00893C71" w:rsidRPr="005A585E">
        <w:rPr>
          <w:rFonts w:eastAsia="Calibri" w:cs="Segoe UI"/>
          <w:kern w:val="2"/>
          <w14:ligatures w14:val="standardContextual"/>
        </w:rPr>
        <w:t>system</w:t>
      </w:r>
      <w:r w:rsidR="00D63B45" w:rsidRPr="005A585E">
        <w:rPr>
          <w:rFonts w:eastAsia="Calibri" w:cs="Segoe UI"/>
          <w:kern w:val="2"/>
          <w14:ligatures w14:val="standardContextual"/>
        </w:rPr>
        <w:t>.</w:t>
      </w:r>
    </w:p>
    <w:p w14:paraId="5338018E" w14:textId="04389AF4" w:rsidR="00893C71" w:rsidRDefault="00893C71" w:rsidP="0041314B">
      <w:pPr>
        <w:spacing w:before="240"/>
      </w:pPr>
      <w:r>
        <w:t>Each</w:t>
      </w:r>
      <w:r w:rsidR="002B4896">
        <w:t xml:space="preserve"> chapter</w:t>
      </w:r>
      <w:r w:rsidR="00BC109A">
        <w:t xml:space="preserve"> in the </w:t>
      </w:r>
      <w:r w:rsidR="00AC66F7">
        <w:t xml:space="preserve">full </w:t>
      </w:r>
      <w:r w:rsidR="00BC109A">
        <w:t>report</w:t>
      </w:r>
      <w:r w:rsidR="002B4896">
        <w:t xml:space="preserve"> introduc</w:t>
      </w:r>
      <w:r>
        <w:t>es</w:t>
      </w:r>
      <w:r w:rsidR="002B4896">
        <w:t xml:space="preserve"> the topic</w:t>
      </w:r>
      <w:r w:rsidR="002B376A">
        <w:t>;</w:t>
      </w:r>
      <w:r w:rsidR="002B4896">
        <w:t xml:space="preserve"> consider</w:t>
      </w:r>
      <w:r>
        <w:t>s</w:t>
      </w:r>
      <w:r w:rsidR="002B4896">
        <w:t xml:space="preserve"> the issues and opportunities for reform</w:t>
      </w:r>
      <w:r>
        <w:t>,</w:t>
      </w:r>
      <w:r w:rsidR="002B4896">
        <w:t xml:space="preserve"> including what we heard from stakeholders through consultations</w:t>
      </w:r>
      <w:r w:rsidR="002B376A">
        <w:t>;</w:t>
      </w:r>
      <w:r w:rsidR="002B4896">
        <w:t xml:space="preserve"> and present</w:t>
      </w:r>
      <w:r>
        <w:t>s</w:t>
      </w:r>
      <w:r w:rsidR="002B4896">
        <w:t xml:space="preserve"> the Review</w:t>
      </w:r>
      <w:r>
        <w:t>’</w:t>
      </w:r>
      <w:r w:rsidR="002B4896">
        <w:t>s findings</w:t>
      </w:r>
      <w:r>
        <w:t xml:space="preserve"> and</w:t>
      </w:r>
      <w:r w:rsidR="002B4896">
        <w:t xml:space="preserve"> recommendations. The recommendations are accompanied by an objective</w:t>
      </w:r>
      <w:r>
        <w:t xml:space="preserve">, </w:t>
      </w:r>
      <w:r w:rsidR="002B4896">
        <w:t>expla</w:t>
      </w:r>
      <w:r>
        <w:t>ining</w:t>
      </w:r>
      <w:r w:rsidR="002B4896">
        <w:t xml:space="preserve"> what the recommendations are intended to achieve. </w:t>
      </w:r>
    </w:p>
    <w:p w14:paraId="6B74D9EF" w14:textId="4ECCD091" w:rsidR="00941738" w:rsidRDefault="000F0D7E" w:rsidP="007F3C10">
      <w:pPr>
        <w:rPr>
          <w:rFonts w:eastAsia="Segoe UI" w:cs="Segoe UI"/>
        </w:rPr>
      </w:pPr>
      <w:r>
        <w:t xml:space="preserve">This </w:t>
      </w:r>
      <w:r w:rsidR="003F5E35">
        <w:t>document</w:t>
      </w:r>
      <w:r w:rsidR="00F758DA">
        <w:t xml:space="preserve"> </w:t>
      </w:r>
      <w:r w:rsidR="00893C71">
        <w:t>summarises</w:t>
      </w:r>
      <w:r w:rsidR="005A4798">
        <w:t xml:space="preserve"> </w:t>
      </w:r>
      <w:r w:rsidR="001A799E">
        <w:t xml:space="preserve">the </w:t>
      </w:r>
      <w:r w:rsidR="00AC66F7">
        <w:t xml:space="preserve">full </w:t>
      </w:r>
      <w:r w:rsidR="00893C71">
        <w:t>report’s</w:t>
      </w:r>
      <w:r w:rsidR="00257046">
        <w:t xml:space="preserve"> key</w:t>
      </w:r>
      <w:r w:rsidR="00893C71">
        <w:t xml:space="preserve"> </w:t>
      </w:r>
      <w:r w:rsidR="007A4240">
        <w:t>recommendations</w:t>
      </w:r>
      <w:r w:rsidR="003F5E35">
        <w:t xml:space="preserve"> and related objectives</w:t>
      </w:r>
      <w:r w:rsidR="00893C71">
        <w:t>.</w:t>
      </w:r>
      <w:r w:rsidR="007A4240">
        <w:t xml:space="preserve"> </w:t>
      </w:r>
    </w:p>
    <w:p w14:paraId="3E6EDA01" w14:textId="3D151C44" w:rsidR="006F191F" w:rsidRPr="00646FEA" w:rsidRDefault="00140823" w:rsidP="00646FEA">
      <w:pPr>
        <w:pStyle w:val="Heading1"/>
        <w:rPr>
          <w:bCs w:val="0"/>
          <w:iCs/>
          <w:color w:val="193A6E"/>
        </w:rPr>
      </w:pPr>
      <w:bookmarkStart w:id="41" w:name="_Toc167970492"/>
      <w:bookmarkStart w:id="42" w:name="_Toc170238460"/>
      <w:bookmarkStart w:id="43" w:name="_Toc170210010"/>
      <w:bookmarkStart w:id="44" w:name="_Toc172030759"/>
      <w:r>
        <w:rPr>
          <w:bCs w:val="0"/>
          <w:iCs/>
          <w:color w:val="193A6E"/>
        </w:rPr>
        <w:t xml:space="preserve">Summary </w:t>
      </w:r>
      <w:r w:rsidRPr="00C559C3">
        <w:rPr>
          <w:bCs w:val="0"/>
          <w:iCs/>
          <w:color w:val="193A6E"/>
        </w:rPr>
        <w:t>r</w:t>
      </w:r>
      <w:r w:rsidR="006F191F" w:rsidRPr="00C559C3">
        <w:rPr>
          <w:bCs w:val="0"/>
          <w:iCs/>
          <w:color w:val="193A6E"/>
        </w:rPr>
        <w:t>ecommendations</w:t>
      </w:r>
      <w:bookmarkEnd w:id="41"/>
      <w:r w:rsidR="00030ED6">
        <w:rPr>
          <w:bCs w:val="0"/>
          <w:iCs/>
          <w:color w:val="193A6E"/>
        </w:rPr>
        <w:t xml:space="preserve"> </w:t>
      </w:r>
      <w:r w:rsidR="009349FA" w:rsidRPr="00646FEA">
        <w:rPr>
          <w:bCs w:val="0"/>
          <w:iCs/>
          <w:color w:val="193A6E"/>
        </w:rPr>
        <w:t>and objectives</w:t>
      </w:r>
      <w:bookmarkEnd w:id="42"/>
      <w:bookmarkEnd w:id="43"/>
      <w:bookmarkEnd w:id="44"/>
    </w:p>
    <w:p w14:paraId="3DAE2192" w14:textId="77777777" w:rsidR="006F191F" w:rsidRPr="006F191F" w:rsidRDefault="006F191F" w:rsidP="006F191F">
      <w:pPr>
        <w:rPr>
          <w:rFonts w:eastAsia="Calibri"/>
        </w:rPr>
      </w:pPr>
      <w:r w:rsidRPr="006F191F">
        <w:rPr>
          <w:rFonts w:eastAsia="Times New Roman"/>
          <w:bCs/>
          <w:iCs/>
          <w:noProof/>
          <w:sz w:val="28"/>
        </w:rPr>
        <mc:AlternateContent>
          <mc:Choice Requires="wps">
            <w:drawing>
              <wp:inline distT="0" distB="0" distL="0" distR="0" wp14:anchorId="459E3BE8" wp14:editId="4162D191">
                <wp:extent cx="6114553" cy="2095500"/>
                <wp:effectExtent l="0" t="0" r="19685"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553" cy="2095500"/>
                        </a:xfrm>
                        <a:prstGeom prst="round2DiagRect">
                          <a:avLst>
                            <a:gd name="adj1" fmla="val 22121"/>
                            <a:gd name="adj2" fmla="val 0"/>
                          </a:avLst>
                        </a:prstGeom>
                        <a:solidFill>
                          <a:schemeClr val="bg1">
                            <a:lumMod val="95000"/>
                          </a:schemeClr>
                        </a:solidFill>
                        <a:ln w="9525">
                          <a:solidFill>
                            <a:schemeClr val="accent5"/>
                          </a:solidFill>
                          <a:miter lim="800000"/>
                          <a:headEnd/>
                          <a:tailEnd/>
                        </a:ln>
                      </wps:spPr>
                      <wps:txbx>
                        <w:txbxContent>
                          <w:p w14:paraId="345510B6" w14:textId="75C0A96F" w:rsidR="006F191F" w:rsidRDefault="006F191F" w:rsidP="006F191F">
                            <w:pPr>
                              <w:rPr>
                                <w:rStyle w:val="CommentReference"/>
                                <w:sz w:val="24"/>
                                <w:szCs w:val="24"/>
                              </w:rPr>
                            </w:pPr>
                            <w:r w:rsidRPr="0024394E">
                              <w:t xml:space="preserve">The following </w:t>
                            </w:r>
                            <w:r w:rsidR="002346B3" w:rsidRPr="0024394E">
                              <w:t xml:space="preserve">provides </w:t>
                            </w:r>
                            <w:r w:rsidR="009F02E8" w:rsidRPr="0024394E">
                              <w:t xml:space="preserve">a </w:t>
                            </w:r>
                            <w:r w:rsidR="00692E50" w:rsidRPr="0024394E">
                              <w:t>summary</w:t>
                            </w:r>
                            <w:r w:rsidR="00515E59" w:rsidRPr="0024394E">
                              <w:t xml:space="preserve"> </w:t>
                            </w:r>
                            <w:r w:rsidR="00DA6927" w:rsidRPr="0024394E">
                              <w:t>of</w:t>
                            </w:r>
                            <w:r w:rsidRPr="0024394E">
                              <w:t xml:space="preserve"> the Review’s key recommendations for the Australian Government to action in collaboration with relevant stakeholders. The</w:t>
                            </w:r>
                            <w:r w:rsidRPr="00276F86">
                              <w:t xml:space="preserve"> full, detailed recommendations</w:t>
                            </w:r>
                            <w:r w:rsidR="00CE4F1D">
                              <w:t xml:space="preserve"> as well as the Review</w:t>
                            </w:r>
                            <w:r w:rsidR="007D198A">
                              <w:t>’</w:t>
                            </w:r>
                            <w:r w:rsidR="00CE4F1D">
                              <w:t xml:space="preserve">s consideration of issues, analysis and findings </w:t>
                            </w:r>
                            <w:r w:rsidRPr="00276F86">
                              <w:t xml:space="preserve">are contained in the relevant chapters of the </w:t>
                            </w:r>
                            <w:r w:rsidR="007D198A">
                              <w:t>full</w:t>
                            </w:r>
                            <w:r w:rsidR="007D198A" w:rsidRPr="00276F86">
                              <w:t xml:space="preserve"> </w:t>
                            </w:r>
                            <w:r w:rsidR="005D4F34" w:rsidRPr="00276F86">
                              <w:t>r</w:t>
                            </w:r>
                            <w:r w:rsidRPr="00276F86">
                              <w:t>eport</w:t>
                            </w:r>
                            <w:r w:rsidR="00D60DDD">
                              <w:rPr>
                                <w:rStyle w:val="CommentReference"/>
                                <w:sz w:val="24"/>
                                <w:szCs w:val="24"/>
                              </w:rPr>
                              <w:t>.</w:t>
                            </w:r>
                          </w:p>
                          <w:p w14:paraId="3013D188" w14:textId="546AF66F" w:rsidR="007D198A" w:rsidRPr="00FA3D3F" w:rsidRDefault="009110EC" w:rsidP="006F191F">
                            <w:pPr>
                              <w:rPr>
                                <w:rStyle w:val="CommentReference"/>
                                <w:sz w:val="24"/>
                                <w:szCs w:val="24"/>
                              </w:rPr>
                            </w:pPr>
                            <w:r w:rsidRPr="00FA3D3F">
                              <w:rPr>
                                <w:rStyle w:val="CommentReference"/>
                                <w:sz w:val="24"/>
                                <w:szCs w:val="24"/>
                              </w:rPr>
                              <w:t xml:space="preserve">A </w:t>
                            </w:r>
                            <w:hyperlink r:id="rId18" w:history="1">
                              <w:r w:rsidRPr="00CF5BFA">
                                <w:rPr>
                                  <w:rStyle w:val="Hyperlink"/>
                                </w:rPr>
                                <w:t>list</w:t>
                              </w:r>
                              <w:r w:rsidR="004B7A00" w:rsidRPr="00CF5BFA">
                                <w:rPr>
                                  <w:rStyle w:val="Hyperlink"/>
                                </w:rPr>
                                <w:t xml:space="preserve"> of the full recommendations</w:t>
                              </w:r>
                            </w:hyperlink>
                            <w:r w:rsidR="004B7A00" w:rsidRPr="00FA3D3F">
                              <w:rPr>
                                <w:rStyle w:val="CommentReference"/>
                                <w:sz w:val="24"/>
                                <w:szCs w:val="24"/>
                              </w:rPr>
                              <w:t xml:space="preserve"> is available</w:t>
                            </w:r>
                            <w:r w:rsidR="00FA3D3F">
                              <w:rPr>
                                <w:rStyle w:val="CommentReference"/>
                                <w:sz w:val="24"/>
                                <w:szCs w:val="24"/>
                              </w:rPr>
                              <w:t>.</w:t>
                            </w:r>
                          </w:p>
                          <w:p w14:paraId="6481FB6B" w14:textId="1C627F1C" w:rsidR="00A51194" w:rsidRPr="00276F86" w:rsidRDefault="00A51194" w:rsidP="006F191F">
                            <w:r w:rsidRPr="00FA3D3F">
                              <w:t xml:space="preserve">A Glossary </w:t>
                            </w:r>
                            <w:r w:rsidR="00F71CAA">
                              <w:t xml:space="preserve">of commonly used </w:t>
                            </w:r>
                            <w:r w:rsidR="00E93C0B">
                              <w:t>terms</w:t>
                            </w:r>
                            <w:r w:rsidR="00F71CAA" w:rsidRPr="00FA3D3F">
                              <w:t xml:space="preserve"> </w:t>
                            </w:r>
                            <w:r w:rsidRPr="00FA3D3F">
                              <w:t xml:space="preserve">and phrases </w:t>
                            </w:r>
                            <w:r w:rsidR="00987949">
                              <w:t>noted</w:t>
                            </w:r>
                            <w:r w:rsidR="00987949" w:rsidRPr="00FA3D3F">
                              <w:t xml:space="preserve"> </w:t>
                            </w:r>
                            <w:r w:rsidRPr="00FA3D3F">
                              <w:t>in</w:t>
                            </w:r>
                            <w:r w:rsidR="00E509BB" w:rsidRPr="00FA3D3F">
                              <w:t xml:space="preserve"> this report</w:t>
                            </w:r>
                            <w:r w:rsidR="00E93C0B">
                              <w:t xml:space="preserve"> </w:t>
                            </w:r>
                            <w:r w:rsidR="00E509BB" w:rsidRPr="00FA3D3F">
                              <w:t>is available</w:t>
                            </w:r>
                            <w:r w:rsidR="00BD4FF2">
                              <w:t xml:space="preserve"> at the </w:t>
                            </w:r>
                            <w:r w:rsidR="002B4978">
                              <w:t xml:space="preserve">Glossary section </w:t>
                            </w:r>
                            <w:r w:rsidR="00BD4FF2">
                              <w:t xml:space="preserve">of </w:t>
                            </w:r>
                            <w:hyperlink r:id="rId19" w:history="1">
                              <w:r w:rsidR="00BD4FF2" w:rsidRPr="004D56EA">
                                <w:rPr>
                                  <w:rStyle w:val="Hyperlink"/>
                                </w:rPr>
                                <w:t>the</w:t>
                              </w:r>
                              <w:r w:rsidR="00051CFA" w:rsidRPr="004D56EA">
                                <w:rPr>
                                  <w:rStyle w:val="Hyperlink"/>
                                </w:rPr>
                                <w:t xml:space="preserve"> full report</w:t>
                              </w:r>
                            </w:hyperlink>
                            <w:r w:rsidR="00FA3D3F">
                              <w:t>.</w:t>
                            </w:r>
                          </w:p>
                        </w:txbxContent>
                      </wps:txbx>
                      <wps:bodyPr rot="0" vert="horz" wrap="square" lIns="91440" tIns="45720" rIns="91440" bIns="45720" anchor="t" anchorCtr="0">
                        <a:noAutofit/>
                      </wps:bodyPr>
                    </wps:wsp>
                  </a:graphicData>
                </a:graphic>
              </wp:inline>
            </w:drawing>
          </mc:Choice>
          <mc:Fallback>
            <w:pict>
              <v:shape w14:anchorId="459E3BE8" id="Text Box 217" o:spid="_x0000_s1026" style="width:481.45pt;height:165pt;visibility:visible;mso-wrap-style:square;mso-left-percent:-10001;mso-top-percent:-10001;mso-position-horizontal:absolute;mso-position-horizontal-relative:char;mso-position-vertical:absolute;mso-position-vertical-relative:line;mso-left-percent:-10001;mso-top-percent:-10001;v-text-anchor:top" coordsize="6114553,2095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" adj="-11796480,,5400" path="m463546,l6114553,r,l6114553,1631954v,256009,-207537,463546,-463546,463546l,2095500r,l,463546c,207537,207537,,463546,xe" fillcolor="#f2f2f2 [3052]" strokecolor="#a7b02f [3208]">
                <v:stroke joinstyle="miter"/>
                <v:formulas/>
                <v:path o:connecttype="custom" o:connectlocs="463546,0;6114553,0;6114553,0;6114553,1631954;5651007,2095500;0,2095500;0,2095500;0,463546;463546,0" o:connectangles="0,0,0,0,0,0,0,0,0" textboxrect="0,0,6114553,2095500"/>
                <v:textbox>
                  <w:txbxContent>
                    <w:p w14:paraId="345510B6" w14:textId="75C0A96F" w:rsidR="006F191F" w:rsidRDefault="006F191F" w:rsidP="006F191F">
                      <w:pPr>
                        <w:rPr>
                          <w:rStyle w:val="CommentReference"/>
                          <w:sz w:val="24"/>
                          <w:szCs w:val="24"/>
                        </w:rPr>
                      </w:pPr>
                      <w:r w:rsidRPr="0024394E">
                        <w:t xml:space="preserve">The following </w:t>
                      </w:r>
                      <w:r w:rsidR="002346B3" w:rsidRPr="0024394E">
                        <w:t xml:space="preserve">provides </w:t>
                      </w:r>
                      <w:r w:rsidR="009F02E8" w:rsidRPr="0024394E">
                        <w:t xml:space="preserve">a </w:t>
                      </w:r>
                      <w:r w:rsidR="00692E50" w:rsidRPr="0024394E">
                        <w:t>summary</w:t>
                      </w:r>
                      <w:r w:rsidR="00515E59" w:rsidRPr="0024394E">
                        <w:t xml:space="preserve"> </w:t>
                      </w:r>
                      <w:r w:rsidR="00DA6927" w:rsidRPr="0024394E">
                        <w:t>of</w:t>
                      </w:r>
                      <w:r w:rsidRPr="0024394E">
                        <w:t xml:space="preserve"> the Review’s key recommendations for the Australian Government to action in collaboration with relevant stakeholders. The</w:t>
                      </w:r>
                      <w:r w:rsidRPr="00276F86">
                        <w:t xml:space="preserve"> full, detailed recommendations</w:t>
                      </w:r>
                      <w:r w:rsidR="00CE4F1D">
                        <w:t xml:space="preserve"> as well as the Review</w:t>
                      </w:r>
                      <w:r w:rsidR="007D198A">
                        <w:t>’</w:t>
                      </w:r>
                      <w:r w:rsidR="00CE4F1D">
                        <w:t xml:space="preserve">s consideration of issues, analysis and findings </w:t>
                      </w:r>
                      <w:r w:rsidRPr="00276F86">
                        <w:t xml:space="preserve">are contained in the relevant chapters of the </w:t>
                      </w:r>
                      <w:r w:rsidR="007D198A">
                        <w:t>full</w:t>
                      </w:r>
                      <w:r w:rsidR="007D198A" w:rsidRPr="00276F86">
                        <w:t xml:space="preserve"> </w:t>
                      </w:r>
                      <w:r w:rsidR="005D4F34" w:rsidRPr="00276F86">
                        <w:t>r</w:t>
                      </w:r>
                      <w:r w:rsidRPr="00276F86">
                        <w:t>eport</w:t>
                      </w:r>
                      <w:r w:rsidR="00D60DDD">
                        <w:rPr>
                          <w:rStyle w:val="CommentReference"/>
                          <w:sz w:val="24"/>
                          <w:szCs w:val="24"/>
                        </w:rPr>
                        <w:t>.</w:t>
                      </w:r>
                    </w:p>
                    <w:p w14:paraId="3013D188" w14:textId="546AF66F" w:rsidR="007D198A" w:rsidRPr="00FA3D3F" w:rsidRDefault="009110EC" w:rsidP="006F191F">
                      <w:pPr>
                        <w:rPr>
                          <w:rStyle w:val="CommentReference"/>
                          <w:sz w:val="24"/>
                          <w:szCs w:val="24"/>
                        </w:rPr>
                      </w:pPr>
                      <w:r w:rsidRPr="00FA3D3F">
                        <w:rPr>
                          <w:rStyle w:val="CommentReference"/>
                          <w:sz w:val="24"/>
                          <w:szCs w:val="24"/>
                        </w:rPr>
                        <w:t xml:space="preserve">A </w:t>
                      </w:r>
                      <w:hyperlink r:id="rId20" w:history="1">
                        <w:r w:rsidRPr="00CF5BFA">
                          <w:rPr>
                            <w:rStyle w:val="Hyperlink"/>
                          </w:rPr>
                          <w:t>list</w:t>
                        </w:r>
                        <w:r w:rsidR="004B7A00" w:rsidRPr="00CF5BFA">
                          <w:rPr>
                            <w:rStyle w:val="Hyperlink"/>
                          </w:rPr>
                          <w:t xml:space="preserve"> of the full recommendations</w:t>
                        </w:r>
                      </w:hyperlink>
                      <w:r w:rsidR="004B7A00" w:rsidRPr="00FA3D3F">
                        <w:rPr>
                          <w:rStyle w:val="CommentReference"/>
                          <w:sz w:val="24"/>
                          <w:szCs w:val="24"/>
                        </w:rPr>
                        <w:t xml:space="preserve"> is available</w:t>
                      </w:r>
                      <w:r w:rsidR="00FA3D3F">
                        <w:rPr>
                          <w:rStyle w:val="CommentReference"/>
                          <w:sz w:val="24"/>
                          <w:szCs w:val="24"/>
                        </w:rPr>
                        <w:t>.</w:t>
                      </w:r>
                    </w:p>
                    <w:p w14:paraId="6481FB6B" w14:textId="1C627F1C" w:rsidR="00A51194" w:rsidRPr="00276F86" w:rsidRDefault="00A51194" w:rsidP="006F191F">
                      <w:r w:rsidRPr="00FA3D3F">
                        <w:t xml:space="preserve">A Glossary </w:t>
                      </w:r>
                      <w:r w:rsidR="00F71CAA">
                        <w:t xml:space="preserve">of commonly used </w:t>
                      </w:r>
                      <w:r w:rsidR="00E93C0B">
                        <w:t>terms</w:t>
                      </w:r>
                      <w:r w:rsidR="00F71CAA" w:rsidRPr="00FA3D3F">
                        <w:t xml:space="preserve"> </w:t>
                      </w:r>
                      <w:r w:rsidRPr="00FA3D3F">
                        <w:t xml:space="preserve">and phrases </w:t>
                      </w:r>
                      <w:r w:rsidR="00987949">
                        <w:t>noted</w:t>
                      </w:r>
                      <w:r w:rsidR="00987949" w:rsidRPr="00FA3D3F">
                        <w:t xml:space="preserve"> </w:t>
                      </w:r>
                      <w:r w:rsidRPr="00FA3D3F">
                        <w:t>in</w:t>
                      </w:r>
                      <w:r w:rsidR="00E509BB" w:rsidRPr="00FA3D3F">
                        <w:t xml:space="preserve"> this report</w:t>
                      </w:r>
                      <w:r w:rsidR="00E93C0B">
                        <w:t xml:space="preserve"> </w:t>
                      </w:r>
                      <w:r w:rsidR="00E509BB" w:rsidRPr="00FA3D3F">
                        <w:t>is available</w:t>
                      </w:r>
                      <w:r w:rsidR="00BD4FF2">
                        <w:t xml:space="preserve"> at the </w:t>
                      </w:r>
                      <w:r w:rsidR="002B4978">
                        <w:t xml:space="preserve">Glossary section </w:t>
                      </w:r>
                      <w:r w:rsidR="00BD4FF2">
                        <w:t xml:space="preserve">of </w:t>
                      </w:r>
                      <w:hyperlink r:id="rId21" w:history="1">
                        <w:r w:rsidR="00BD4FF2" w:rsidRPr="004D56EA">
                          <w:rPr>
                            <w:rStyle w:val="Hyperlink"/>
                          </w:rPr>
                          <w:t>the</w:t>
                        </w:r>
                        <w:r w:rsidR="00051CFA" w:rsidRPr="004D56EA">
                          <w:rPr>
                            <w:rStyle w:val="Hyperlink"/>
                          </w:rPr>
                          <w:t xml:space="preserve"> full report</w:t>
                        </w:r>
                      </w:hyperlink>
                      <w:r w:rsidR="00FA3D3F">
                        <w:t>.</w:t>
                      </w:r>
                    </w:p>
                  </w:txbxContent>
                </v:textbox>
                <w10:anchorlock/>
              </v:shape>
            </w:pict>
          </mc:Fallback>
        </mc:AlternateContent>
      </w:r>
    </w:p>
    <w:p w14:paraId="5C4AA345" w14:textId="77777777" w:rsidR="006F191F" w:rsidRPr="00053079" w:rsidRDefault="006F191F" w:rsidP="00053079">
      <w:pPr>
        <w:pStyle w:val="Heading2"/>
      </w:pPr>
      <w:bookmarkStart w:id="45" w:name="_Toc170210011"/>
      <w:bookmarkStart w:id="46" w:name="_Toc170238461"/>
      <w:bookmarkStart w:id="47" w:name="_Toc172030760"/>
      <w:r w:rsidRPr="00053079">
        <w:lastRenderedPageBreak/>
        <w:t>Chapter 3: Providing more equitable access to under-represented patient groups</w:t>
      </w:r>
      <w:bookmarkEnd w:id="45"/>
      <w:bookmarkEnd w:id="46"/>
      <w:bookmarkEnd w:id="47"/>
    </w:p>
    <w:bookmarkStart w:id="48" w:name="_Toc170210012"/>
    <w:bookmarkStart w:id="49" w:name="_Toc170238462"/>
    <w:p w14:paraId="1D9965E9" w14:textId="791B3456" w:rsidR="00E94062" w:rsidRDefault="00A642AA" w:rsidP="002E38CE">
      <w:pPr>
        <w:pStyle w:val="Heading3"/>
      </w:pPr>
      <w:r>
        <w:rPr>
          <w:noProof/>
          <w14:ligatures w14:val="standardContextual"/>
        </w:rPr>
        <mc:AlternateContent>
          <mc:Choice Requires="wps">
            <w:drawing>
              <wp:anchor distT="0" distB="0" distL="114300" distR="114300" simplePos="0" relativeHeight="251658242" behindDoc="1" locked="0" layoutInCell="1" allowOverlap="1" wp14:anchorId="1BEC2DEE" wp14:editId="4EEA7A19">
                <wp:simplePos x="0" y="0"/>
                <wp:positionH relativeFrom="margin">
                  <wp:align>right</wp:align>
                </wp:positionH>
                <wp:positionV relativeFrom="paragraph">
                  <wp:posOffset>364490</wp:posOffset>
                </wp:positionV>
                <wp:extent cx="5734050" cy="154305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154305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B8038" id="Rectangle 2" o:spid="_x0000_s1026" alt="&quot;&quot;" style="position:absolute;margin-left:400.3pt;margin-top:28.7pt;width:451.5pt;height:121.5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" fillcolor="#bfd4f2 [660]" stroked="f" strokeweight="1pt">
                <w10:wrap anchorx="margin"/>
              </v:rect>
            </w:pict>
          </mc:Fallback>
        </mc:AlternateContent>
      </w:r>
      <w:r w:rsidR="00E94062" w:rsidRPr="00053079">
        <w:t xml:space="preserve">Chapter 3.1: Creating an equitable system for First </w:t>
      </w:r>
      <w:r w:rsidR="00E94062" w:rsidRPr="00726D8B">
        <w:t>Nations</w:t>
      </w:r>
      <w:r w:rsidR="00E94062" w:rsidRPr="00053079">
        <w:t xml:space="preserve"> people</w:t>
      </w:r>
      <w:bookmarkEnd w:id="48"/>
      <w:bookmarkEnd w:id="49"/>
    </w:p>
    <w:p w14:paraId="43A4D639" w14:textId="642BA30E" w:rsidR="008E7F9B" w:rsidRPr="00DE1A20" w:rsidRDefault="008E7F9B" w:rsidP="00522E8B">
      <w:pPr>
        <w:pStyle w:val="Subheading1"/>
        <w:ind w:left="113" w:right="113"/>
      </w:pPr>
      <w:r w:rsidRPr="00DE1A20">
        <w:t>Objectives</w:t>
      </w:r>
    </w:p>
    <w:p w14:paraId="7A9F12E5" w14:textId="2EC86183" w:rsidR="008E7F9B" w:rsidRPr="008E7F9B" w:rsidRDefault="00127766" w:rsidP="00522E8B">
      <w:pPr>
        <w:ind w:left="113" w:right="113"/>
      </w:pPr>
      <w:r>
        <w:t xml:space="preserve">The recommendations in this chapter are intended </w:t>
      </w:r>
      <w:r w:rsidR="00665AD4" w:rsidRPr="00665AD4">
        <w:rPr>
          <w:rFonts w:cs="Segoe UI"/>
          <w:kern w:val="2"/>
          <w14:ligatures w14:val="standardContextual"/>
        </w:rPr>
        <w:t>to reduce health inequity for First Nations people by enhancing access to appropriate health technologies to meet their specific needs. This will be achieved by ensuring adequate and appropriate consideration of their health, wellbeing and access needs through partnerships and shared decision-making</w:t>
      </w:r>
      <w:r w:rsidR="008E7F9B" w:rsidRPr="00FF66FC">
        <w:t xml:space="preserve">. </w:t>
      </w:r>
    </w:p>
    <w:p w14:paraId="366687FA" w14:textId="77777777" w:rsidR="006F191F" w:rsidRPr="00053079" w:rsidRDefault="006F191F" w:rsidP="00FA6305">
      <w:pPr>
        <w:pStyle w:val="Recommendationheading"/>
        <w:ind w:left="0" w:firstLine="0"/>
        <w:rPr>
          <w:b/>
        </w:rPr>
      </w:pPr>
      <w:r w:rsidRPr="00053079">
        <w:t>Creating a more equitable system for First Nations peoples</w:t>
      </w:r>
    </w:p>
    <w:p w14:paraId="21A49D76" w14:textId="77777777" w:rsidR="00AC160D" w:rsidRPr="00A2054E" w:rsidRDefault="00AC160D" w:rsidP="00710C3D">
      <w:pPr>
        <w:pStyle w:val="ListBullet"/>
        <w:tabs>
          <w:tab w:val="clear" w:pos="360"/>
        </w:tabs>
      </w:pPr>
      <w:r w:rsidRPr="00A2054E">
        <w:t>Reduce health inequity for First Nations people by:</w:t>
      </w:r>
    </w:p>
    <w:p w14:paraId="43397CE0" w14:textId="77777777" w:rsidR="00AC160D" w:rsidRPr="00A2054E" w:rsidRDefault="00AC160D" w:rsidP="00486F12">
      <w:pPr>
        <w:pStyle w:val="ListBullet"/>
        <w:numPr>
          <w:ilvl w:val="0"/>
          <w:numId w:val="6"/>
        </w:numPr>
      </w:pPr>
      <w:r w:rsidRPr="00A2054E">
        <w:t>establishing a First Nations Advisory Committee to advise the Pharmaceutical Benefits Advisory Committee and the Medical Services Advisory Committee on matters for First Nations people such as priority indications for people with high unmet clinical need</w:t>
      </w:r>
    </w:p>
    <w:p w14:paraId="0F788262" w14:textId="2DD652DA" w:rsidR="00AC160D" w:rsidRPr="00A2054E" w:rsidRDefault="00AC160D" w:rsidP="00486F12">
      <w:pPr>
        <w:pStyle w:val="ListBullet"/>
        <w:numPr>
          <w:ilvl w:val="0"/>
          <w:numId w:val="6"/>
        </w:numPr>
      </w:pPr>
      <w:r w:rsidRPr="00A2054E">
        <w:t xml:space="preserve">including First Nations representative/s on the </w:t>
      </w:r>
      <w:r w:rsidR="006D3E26" w:rsidRPr="00A2054E">
        <w:t xml:space="preserve">Pharmaceutical Benefits Advisory Committee </w:t>
      </w:r>
      <w:r w:rsidRPr="00A2054E">
        <w:t>with relevant expertise and experience to provide information relating to the of health and equity impacts of submissions on First Nations people</w:t>
      </w:r>
    </w:p>
    <w:p w14:paraId="1D2E9763" w14:textId="77777777" w:rsidR="00AC160D" w:rsidRPr="00A2054E" w:rsidRDefault="00AC160D" w:rsidP="00486F12">
      <w:pPr>
        <w:pStyle w:val="ListBullet"/>
        <w:numPr>
          <w:ilvl w:val="0"/>
          <w:numId w:val="6"/>
        </w:numPr>
      </w:pPr>
      <w:r w:rsidRPr="00A2054E">
        <w:t>requiring sponsors’ submissions to include consideration of the impact on health outcomes for First Nations people.</w:t>
      </w:r>
    </w:p>
    <w:bookmarkStart w:id="50" w:name="_Toc170210013"/>
    <w:bookmarkStart w:id="51" w:name="_Toc170238463"/>
    <w:p w14:paraId="4866EA68" w14:textId="1AB82BEF" w:rsidR="00FA7EF8" w:rsidRDefault="00DA72F1" w:rsidP="002E38CE">
      <w:pPr>
        <w:pStyle w:val="Heading3"/>
      </w:pPr>
      <w:r>
        <w:rPr>
          <w:noProof/>
          <w14:ligatures w14:val="standardContextual"/>
        </w:rPr>
        <mc:AlternateContent>
          <mc:Choice Requires="wps">
            <w:drawing>
              <wp:anchor distT="0" distB="0" distL="114300" distR="114300" simplePos="0" relativeHeight="251658243" behindDoc="1" locked="0" layoutInCell="1" allowOverlap="1" wp14:anchorId="3629746D" wp14:editId="145AFCAF">
                <wp:simplePos x="0" y="0"/>
                <wp:positionH relativeFrom="margin">
                  <wp:align>right</wp:align>
                </wp:positionH>
                <wp:positionV relativeFrom="paragraph">
                  <wp:posOffset>362586</wp:posOffset>
                </wp:positionV>
                <wp:extent cx="5734050" cy="107188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107188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54C0E" id="Rectangle 3" o:spid="_x0000_s1026" alt="&quot;&quot;" style="position:absolute;margin-left:400.3pt;margin-top:28.55pt;width:451.5pt;height:84.4pt;z-index:-2516582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" fillcolor="#bfd4f2 [660]" stroked="f" strokeweight="1pt">
                <w10:wrap anchorx="margin"/>
              </v:rect>
            </w:pict>
          </mc:Fallback>
        </mc:AlternateContent>
      </w:r>
      <w:r w:rsidR="00FA7EF8" w:rsidRPr="00C35BE4">
        <w:t>Chapter 3.2: Improving access to medicines for paediatric patients</w:t>
      </w:r>
      <w:bookmarkEnd w:id="50"/>
      <w:bookmarkEnd w:id="51"/>
    </w:p>
    <w:p w14:paraId="5A703413" w14:textId="6F228794" w:rsidR="00C90F9A" w:rsidRDefault="00C90F9A" w:rsidP="00522E8B">
      <w:pPr>
        <w:pStyle w:val="Subheading1"/>
        <w:ind w:left="113" w:right="113"/>
      </w:pPr>
      <w:r>
        <w:t>Objectives</w:t>
      </w:r>
    </w:p>
    <w:p w14:paraId="6C497DE9" w14:textId="281CA3EC" w:rsidR="00C90F9A" w:rsidRPr="00522E8B" w:rsidRDefault="00127766" w:rsidP="00522E8B">
      <w:pPr>
        <w:pStyle w:val="Subheading1"/>
        <w:ind w:left="113" w:right="113"/>
      </w:pPr>
      <w:r w:rsidRPr="00522E8B">
        <w:rPr>
          <w:b w:val="0"/>
          <w:bCs w:val="0"/>
        </w:rPr>
        <w:t xml:space="preserve">The recommendations in this chapter </w:t>
      </w:r>
      <w:r w:rsidR="009F7690" w:rsidRPr="00522E8B">
        <w:rPr>
          <w:b w:val="0"/>
          <w:bCs w:val="0"/>
        </w:rPr>
        <w:t xml:space="preserve">are intended to improve access to PBS-listed medicines for paediatric patients and facilitate regulatory approval and reimbursement of medicines for paediatric indications. </w:t>
      </w:r>
    </w:p>
    <w:p w14:paraId="012062D2" w14:textId="1AEAD0DE" w:rsidR="006F191F" w:rsidRPr="00FA6305" w:rsidRDefault="006F191F" w:rsidP="009B510C">
      <w:pPr>
        <w:pStyle w:val="Recommendationheading"/>
        <w:ind w:left="0" w:firstLine="0"/>
      </w:pPr>
      <w:r w:rsidRPr="00FA6305">
        <w:t>Providing equitable access to medicines for</w:t>
      </w:r>
      <w:r w:rsidR="006129BD" w:rsidRPr="00FA6305">
        <w:t xml:space="preserve"> </w:t>
      </w:r>
      <w:r w:rsidR="00976106">
        <w:t>paediatric patients</w:t>
      </w:r>
    </w:p>
    <w:p w14:paraId="24D857C7" w14:textId="77777777" w:rsidR="00AE68BA" w:rsidRPr="00AE68BA" w:rsidRDefault="00AE68BA" w:rsidP="00AE68BA">
      <w:pPr>
        <w:keepNext/>
        <w:rPr>
          <w:rFonts w:eastAsia="Calibri" w:cs="Segoe UI"/>
        </w:rPr>
      </w:pPr>
      <w:r w:rsidRPr="00AE68BA">
        <w:rPr>
          <w:rFonts w:eastAsia="Calibri" w:cs="Segoe UI"/>
        </w:rPr>
        <w:t>Adopt an age agnostic approach for new listings on the Pharmaceutical Benefits Scheme unless special circumstances necessitate restricting access.</w:t>
      </w:r>
    </w:p>
    <w:p w14:paraId="5BB19894" w14:textId="31387141" w:rsidR="00AE68BA" w:rsidRDefault="00AE68BA" w:rsidP="00AE68BA">
      <w:pPr>
        <w:keepNext/>
        <w:rPr>
          <w:rFonts w:eastAsia="Calibri" w:cs="Segoe UI"/>
        </w:rPr>
      </w:pPr>
      <w:r w:rsidRPr="00AE68BA">
        <w:rPr>
          <w:rFonts w:eastAsia="Calibri" w:cs="Segoe UI"/>
        </w:rPr>
        <w:t xml:space="preserve">Establish a working party led by representatives of the Pharmaceutical Benefits Advisory Committee and the Therapeutic Goods Administration to develop guidance </w:t>
      </w:r>
      <w:r w:rsidRPr="00AE68BA">
        <w:rPr>
          <w:rFonts w:eastAsia="Calibri" w:cs="Segoe UI"/>
        </w:rPr>
        <w:lastRenderedPageBreak/>
        <w:t xml:space="preserve">on extending the use of </w:t>
      </w:r>
      <w:r w:rsidR="006D3E26" w:rsidRPr="00AE68BA">
        <w:rPr>
          <w:rFonts w:eastAsia="Calibri" w:cs="Segoe UI"/>
        </w:rPr>
        <w:t xml:space="preserve">Therapeutic Goods Administration </w:t>
      </w:r>
      <w:r w:rsidRPr="00AE68BA">
        <w:rPr>
          <w:rFonts w:eastAsia="Calibri" w:cs="Segoe UI"/>
        </w:rPr>
        <w:t>registered therapies to paediatric populations.</w:t>
      </w:r>
    </w:p>
    <w:p w14:paraId="02626A79" w14:textId="77777777" w:rsidR="006F191F" w:rsidRPr="00C35BE4" w:rsidRDefault="006F191F" w:rsidP="00053079">
      <w:pPr>
        <w:pStyle w:val="Heading2"/>
      </w:pPr>
      <w:bookmarkStart w:id="52" w:name="_Toc170210014"/>
      <w:bookmarkStart w:id="53" w:name="_Toc170238464"/>
      <w:bookmarkStart w:id="54" w:name="_Toc172030761"/>
      <w:r w:rsidRPr="006F191F">
        <w:t>Chapter 4: Streamlined pathways for more timely access</w:t>
      </w:r>
      <w:bookmarkEnd w:id="52"/>
      <w:bookmarkEnd w:id="53"/>
      <w:bookmarkEnd w:id="54"/>
      <w:r w:rsidRPr="006F191F">
        <w:t xml:space="preserve"> </w:t>
      </w:r>
    </w:p>
    <w:bookmarkStart w:id="55" w:name="_Toc170210015"/>
    <w:bookmarkStart w:id="56" w:name="_Toc170238465"/>
    <w:p w14:paraId="46711CCF" w14:textId="1DEB6B4B" w:rsidR="00A33280" w:rsidRDefault="003E1554" w:rsidP="002E38CE">
      <w:pPr>
        <w:pStyle w:val="Heading3"/>
      </w:pPr>
      <w:r>
        <w:rPr>
          <w:noProof/>
          <w14:ligatures w14:val="standardContextual"/>
        </w:rPr>
        <mc:AlternateContent>
          <mc:Choice Requires="wps">
            <w:drawing>
              <wp:anchor distT="0" distB="0" distL="114300" distR="114300" simplePos="0" relativeHeight="251658244" behindDoc="1" locked="0" layoutInCell="1" allowOverlap="1" wp14:anchorId="7490D7EC" wp14:editId="019C72C3">
                <wp:simplePos x="0" y="0"/>
                <wp:positionH relativeFrom="margin">
                  <wp:align>right</wp:align>
                </wp:positionH>
                <wp:positionV relativeFrom="paragraph">
                  <wp:posOffset>570865</wp:posOffset>
                </wp:positionV>
                <wp:extent cx="5734050" cy="2869565"/>
                <wp:effectExtent l="0" t="0" r="0" b="698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286956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F6813" id="Rectangle 4" o:spid="_x0000_s1026" alt="&quot;&quot;" style="position:absolute;margin-left:400.3pt;margin-top:44.95pt;width:451.5pt;height:225.95pt;z-index:-2516582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" fillcolor="#bfd4f2 [660]" stroked="f" strokeweight="1pt">
                <w10:wrap anchorx="margin"/>
              </v:rect>
            </w:pict>
          </mc:Fallback>
        </mc:AlternateContent>
      </w:r>
      <w:r w:rsidR="00A33280" w:rsidRPr="00C35BE4">
        <w:t>Chapter 4.1: Overview of Australia’s health technology funding and assessment pathways</w:t>
      </w:r>
      <w:bookmarkEnd w:id="55"/>
      <w:bookmarkEnd w:id="56"/>
    </w:p>
    <w:p w14:paraId="27B884B4" w14:textId="13898621" w:rsidR="009F7690" w:rsidRDefault="009F7690" w:rsidP="00522E8B">
      <w:pPr>
        <w:pStyle w:val="Subheading1"/>
        <w:ind w:left="113" w:right="113"/>
      </w:pPr>
      <w:r>
        <w:t>Objectives</w:t>
      </w:r>
    </w:p>
    <w:p w14:paraId="70B65980" w14:textId="6DC95445" w:rsidR="009B79BC" w:rsidRPr="009B79BC" w:rsidRDefault="00127766" w:rsidP="00522E8B">
      <w:pPr>
        <w:ind w:left="113" w:right="113"/>
        <w:rPr>
          <w:rFonts w:cs="Segoe UI"/>
          <w:kern w:val="2"/>
          <w14:ligatures w14:val="standardContextual"/>
        </w:rPr>
      </w:pPr>
      <w:r>
        <w:t xml:space="preserve">The recommendations in this chapter </w:t>
      </w:r>
      <w:r w:rsidR="009B79BC" w:rsidRPr="009B79BC">
        <w:rPr>
          <w:rFonts w:cs="Segoe UI"/>
          <w:kern w:val="2"/>
          <w14:ligatures w14:val="standardContextual"/>
        </w:rPr>
        <w:t xml:space="preserve">are designed as guiding principles for the reform and the development of all health technology funding and assessment pathways and processes, with the objectives of: </w:t>
      </w:r>
    </w:p>
    <w:p w14:paraId="1E94879A" w14:textId="018399DA" w:rsidR="009B79BC" w:rsidRPr="009B79BC" w:rsidRDefault="009B79BC" w:rsidP="00522E8B">
      <w:pPr>
        <w:numPr>
          <w:ilvl w:val="0"/>
          <w:numId w:val="2"/>
        </w:numPr>
        <w:snapToGrid w:val="0"/>
        <w:spacing w:line="22" w:lineRule="atLeast"/>
        <w:ind w:left="714" w:right="113" w:hanging="357"/>
        <w:contextualSpacing/>
        <w:rPr>
          <w:rFonts w:eastAsia="Calibri" w:cs="Segoe UI"/>
          <w:kern w:val="2"/>
          <w14:ligatures w14:val="standardContextual"/>
        </w:rPr>
      </w:pPr>
      <w:r w:rsidRPr="009B79BC">
        <w:rPr>
          <w:rFonts w:eastAsia="Calibri" w:cs="Segoe UI"/>
          <w:kern w:val="2"/>
          <w14:ligatures w14:val="standardContextual"/>
        </w:rPr>
        <w:t xml:space="preserve">improving time to subsidised access of health technologies by removing duplication and unnecessary steps </w:t>
      </w:r>
    </w:p>
    <w:p w14:paraId="4322DB6A" w14:textId="7372EABD" w:rsidR="009B79BC" w:rsidRPr="009B79BC" w:rsidRDefault="009B79BC" w:rsidP="00522E8B">
      <w:pPr>
        <w:numPr>
          <w:ilvl w:val="0"/>
          <w:numId w:val="2"/>
        </w:numPr>
        <w:snapToGrid w:val="0"/>
        <w:spacing w:line="22" w:lineRule="atLeast"/>
        <w:ind w:left="714" w:right="113" w:hanging="357"/>
        <w:contextualSpacing/>
        <w:rPr>
          <w:rFonts w:eastAsia="Calibri" w:cs="Segoe UI"/>
          <w:kern w:val="2"/>
          <w14:ligatures w14:val="standardContextual"/>
        </w:rPr>
      </w:pPr>
      <w:r w:rsidRPr="009B79BC">
        <w:rPr>
          <w:rFonts w:eastAsia="Calibri" w:cs="Segoe UI"/>
          <w:kern w:val="2"/>
          <w14:ligatures w14:val="standardContextual"/>
        </w:rPr>
        <w:t>improving time to subsidised access of health technologies by ensuring the effort of the health system is directed to where it is most needed</w:t>
      </w:r>
    </w:p>
    <w:p w14:paraId="2B483B64" w14:textId="4167A2C4" w:rsidR="009B79BC" w:rsidRPr="009B79BC" w:rsidRDefault="009B79BC" w:rsidP="00522E8B">
      <w:pPr>
        <w:numPr>
          <w:ilvl w:val="0"/>
          <w:numId w:val="2"/>
        </w:numPr>
        <w:snapToGrid w:val="0"/>
        <w:spacing w:line="22" w:lineRule="atLeast"/>
        <w:ind w:left="714" w:right="113" w:hanging="357"/>
        <w:contextualSpacing/>
        <w:rPr>
          <w:rFonts w:eastAsia="Calibri" w:cs="Segoe UI"/>
          <w:kern w:val="2"/>
          <w14:ligatures w14:val="standardContextual"/>
        </w:rPr>
      </w:pPr>
      <w:r w:rsidRPr="009B79BC">
        <w:rPr>
          <w:rFonts w:eastAsia="Calibri" w:cs="Segoe UI"/>
          <w:kern w:val="2"/>
          <w14:ligatures w14:val="standardContextual"/>
        </w:rPr>
        <w:t>improving consistency and certainty in the HTA system and processes, and making them easier for stakeholders to navigate</w:t>
      </w:r>
    </w:p>
    <w:p w14:paraId="1B18F695" w14:textId="67917358" w:rsidR="009F7690" w:rsidRPr="009B79BC" w:rsidRDefault="009B79BC" w:rsidP="00522E8B">
      <w:pPr>
        <w:numPr>
          <w:ilvl w:val="0"/>
          <w:numId w:val="2"/>
        </w:numPr>
        <w:snapToGrid w:val="0"/>
        <w:spacing w:line="22" w:lineRule="atLeast"/>
        <w:ind w:left="714" w:right="113" w:hanging="357"/>
        <w:rPr>
          <w:rFonts w:eastAsia="Calibri" w:cs="Segoe UI"/>
          <w:kern w:val="2"/>
          <w14:ligatures w14:val="standardContextual"/>
        </w:rPr>
      </w:pPr>
      <w:r w:rsidRPr="009B79BC">
        <w:rPr>
          <w:rFonts w:eastAsia="Calibri" w:cs="Segoe UI"/>
          <w:kern w:val="2"/>
          <w14:ligatures w14:val="standardContextual"/>
        </w:rPr>
        <w:t xml:space="preserve">improving equitable </w:t>
      </w:r>
      <w:proofErr w:type="gramStart"/>
      <w:r w:rsidRPr="009B79BC">
        <w:rPr>
          <w:rFonts w:eastAsia="Calibri" w:cs="Segoe UI"/>
          <w:kern w:val="2"/>
          <w14:ligatures w14:val="standardContextual"/>
        </w:rPr>
        <w:t>access, and</w:t>
      </w:r>
      <w:proofErr w:type="gramEnd"/>
      <w:r w:rsidRPr="009B79BC">
        <w:rPr>
          <w:rFonts w:eastAsia="Calibri" w:cs="Segoe UI"/>
          <w:kern w:val="2"/>
          <w14:ligatures w14:val="standardContextual"/>
        </w:rPr>
        <w:t xml:space="preserve"> ensuring that HTA and funding processes and pathways support optimal, continuous patient care.</w:t>
      </w:r>
    </w:p>
    <w:p w14:paraId="149B5018" w14:textId="77777777" w:rsidR="006F191F" w:rsidRPr="00FA6305" w:rsidRDefault="006F191F" w:rsidP="009B510C">
      <w:pPr>
        <w:pStyle w:val="Recommendationheading"/>
        <w:ind w:left="0" w:firstLine="0"/>
      </w:pPr>
      <w:r w:rsidRPr="00FA6305">
        <w:t>Overarching recommendations for all HTA funding and assessment processes and pathways</w:t>
      </w:r>
    </w:p>
    <w:p w14:paraId="74E621F1" w14:textId="77777777" w:rsidR="00AF5E65" w:rsidRPr="00AF5E65" w:rsidRDefault="00AF5E65" w:rsidP="00AF5E65">
      <w:pPr>
        <w:snapToGrid w:val="0"/>
        <w:spacing w:after="120" w:line="22" w:lineRule="atLeast"/>
        <w:rPr>
          <w:rFonts w:eastAsia="Calibri" w:cs="Segoe UI"/>
        </w:rPr>
      </w:pPr>
      <w:r w:rsidRPr="00AF5E65">
        <w:rPr>
          <w:rFonts w:eastAsia="Calibri" w:cs="Segoe UI"/>
        </w:rPr>
        <w:t>Reform health technology funding and assessment processes and pathways to align them with the following overarching principles.</w:t>
      </w:r>
    </w:p>
    <w:p w14:paraId="3BB11595" w14:textId="77777777" w:rsidR="00AF5E65" w:rsidRPr="00111447" w:rsidRDefault="00AF5E65" w:rsidP="00F232CB">
      <w:pPr>
        <w:pStyle w:val="Subheading2"/>
        <w:rPr>
          <w:color w:val="0E6B9A"/>
        </w:rPr>
      </w:pPr>
      <w:r w:rsidRPr="00111447">
        <w:rPr>
          <w:color w:val="0E6B9A"/>
        </w:rPr>
        <w:t>Streamlined and simple</w:t>
      </w:r>
    </w:p>
    <w:p w14:paraId="1395D8DD" w14:textId="77777777" w:rsidR="00AF5E65" w:rsidRPr="00AF5E65" w:rsidRDefault="00AF5E65" w:rsidP="00AF5E65">
      <w:pPr>
        <w:snapToGrid w:val="0"/>
        <w:spacing w:after="120" w:line="22" w:lineRule="atLeast"/>
        <w:rPr>
          <w:rFonts w:eastAsia="Calibri" w:cs="Segoe UI"/>
        </w:rPr>
      </w:pPr>
      <w:r w:rsidRPr="00AF5E65">
        <w:rPr>
          <w:rFonts w:eastAsia="Calibri" w:cs="Segoe UI"/>
        </w:rPr>
        <w:t xml:space="preserve">Streamline and simplify health technology funding and assessment processes by removing unnecessary complexity and redundancy. </w:t>
      </w:r>
    </w:p>
    <w:p w14:paraId="76AD40B1" w14:textId="77777777" w:rsidR="00AF5E65" w:rsidRPr="00111447" w:rsidRDefault="00AF5E65" w:rsidP="00F232CB">
      <w:pPr>
        <w:pStyle w:val="Subheading2"/>
        <w:rPr>
          <w:color w:val="0E6B9A"/>
        </w:rPr>
      </w:pPr>
      <w:r w:rsidRPr="00111447">
        <w:rPr>
          <w:color w:val="0E6B9A"/>
        </w:rPr>
        <w:t>Proportionate and fit-for-purpose</w:t>
      </w:r>
    </w:p>
    <w:p w14:paraId="6F97BF28" w14:textId="77777777" w:rsidR="00AF5E65" w:rsidRPr="00AF5E65" w:rsidRDefault="00AF5E65" w:rsidP="00AF5E65">
      <w:pPr>
        <w:snapToGrid w:val="0"/>
        <w:spacing w:after="120" w:line="22" w:lineRule="atLeast"/>
        <w:rPr>
          <w:rFonts w:eastAsia="Calibri" w:cs="Segoe UI"/>
        </w:rPr>
      </w:pPr>
      <w:r w:rsidRPr="00AF5E65">
        <w:rPr>
          <w:rFonts w:eastAsia="Calibri" w:cs="Segoe UI"/>
        </w:rPr>
        <w:t xml:space="preserve">Restructure and develop health technology funding and assessment processes, including the level of evaluation, to be fit-for-purpose and proportionate to the level of risk, complexity and potential benefit of a therapy. </w:t>
      </w:r>
    </w:p>
    <w:p w14:paraId="2B8D6149" w14:textId="77777777" w:rsidR="00AF5E65" w:rsidRPr="00111447" w:rsidRDefault="00AF5E65" w:rsidP="00F232CB">
      <w:pPr>
        <w:pStyle w:val="Subheading2"/>
        <w:rPr>
          <w:color w:val="0E6B9A"/>
        </w:rPr>
      </w:pPr>
      <w:r w:rsidRPr="00111447">
        <w:rPr>
          <w:color w:val="0E6B9A"/>
        </w:rPr>
        <w:t>Unified and consistent</w:t>
      </w:r>
    </w:p>
    <w:p w14:paraId="6738C340" w14:textId="69D9FBD1" w:rsidR="00AF5E65" w:rsidRDefault="00AF5E65" w:rsidP="00AF5E65">
      <w:pPr>
        <w:snapToGrid w:val="0"/>
        <w:spacing w:after="120" w:line="22" w:lineRule="atLeast"/>
        <w:rPr>
          <w:rFonts w:eastAsia="Calibri" w:cs="Segoe UI"/>
        </w:rPr>
      </w:pPr>
      <w:r w:rsidRPr="00AF5E65">
        <w:rPr>
          <w:rFonts w:eastAsia="Calibri" w:cs="Segoe UI"/>
        </w:rPr>
        <w:t>Create consistency and clarity for all health technology submissions for Australian Government funding by developing a unified HTA pathway and committee approach in stages, starting with better aligning the HTA pathways and removing duplication.</w:t>
      </w:r>
    </w:p>
    <w:p w14:paraId="126BE078" w14:textId="77777777" w:rsidR="006F191F" w:rsidRPr="00FA6305" w:rsidRDefault="006F191F" w:rsidP="00111447">
      <w:pPr>
        <w:pStyle w:val="Recommendationheading"/>
        <w:keepNext/>
        <w:ind w:left="0" w:firstLine="0"/>
      </w:pPr>
      <w:r w:rsidRPr="00FA6305">
        <w:t>Unified HTA pathway and committee approach for all Australian Government funding of health technologies</w:t>
      </w:r>
    </w:p>
    <w:p w14:paraId="49DC36E7" w14:textId="199C245B" w:rsidR="0068074F" w:rsidRDefault="0068074F" w:rsidP="00111447">
      <w:pPr>
        <w:keepNext/>
        <w:snapToGrid w:val="0"/>
        <w:spacing w:after="120" w:line="22" w:lineRule="atLeast"/>
        <w:rPr>
          <w:rFonts w:eastAsia="Calibri" w:cs="Segoe UI"/>
        </w:rPr>
      </w:pPr>
      <w:r w:rsidRPr="0068074F">
        <w:rPr>
          <w:rFonts w:eastAsia="Calibri" w:cs="Segoe UI"/>
        </w:rPr>
        <w:t xml:space="preserve">Working in stages, align health technology funding and assessment pathways, processes and committees, and remove duplication, to create a single unified HTA </w:t>
      </w:r>
      <w:r w:rsidRPr="0068074F">
        <w:rPr>
          <w:rFonts w:eastAsia="Calibri" w:cs="Segoe UI"/>
        </w:rPr>
        <w:lastRenderedPageBreak/>
        <w:t>pathway and committee approach. Stages should include developing a ‘single front door’ and triaging mechanism, and expanding the advisory role of the Pharmaceutical Benefits Advisory Committee beyond the P</w:t>
      </w:r>
      <w:r w:rsidR="00335EB1">
        <w:rPr>
          <w:rFonts w:eastAsia="Calibri" w:cs="Segoe UI"/>
        </w:rPr>
        <w:t xml:space="preserve">harmaceutical </w:t>
      </w:r>
      <w:r w:rsidRPr="0068074F">
        <w:rPr>
          <w:rFonts w:eastAsia="Calibri" w:cs="Segoe UI"/>
        </w:rPr>
        <w:t>B</w:t>
      </w:r>
      <w:r w:rsidR="00335EB1">
        <w:rPr>
          <w:rFonts w:eastAsia="Calibri" w:cs="Segoe UI"/>
        </w:rPr>
        <w:t xml:space="preserve">enefits </w:t>
      </w:r>
      <w:r w:rsidRPr="0068074F">
        <w:rPr>
          <w:rFonts w:eastAsia="Calibri" w:cs="Segoe UI"/>
        </w:rPr>
        <w:t>S</w:t>
      </w:r>
      <w:r w:rsidR="00335EB1">
        <w:rPr>
          <w:rFonts w:eastAsia="Calibri" w:cs="Segoe UI"/>
        </w:rPr>
        <w:t>cheme</w:t>
      </w:r>
      <w:r w:rsidRPr="0068074F">
        <w:rPr>
          <w:rFonts w:eastAsia="Calibri" w:cs="Segoe UI"/>
        </w:rPr>
        <w:t>, ultimately leading to a single unified committee approach.</w:t>
      </w:r>
    </w:p>
    <w:p w14:paraId="3D0005B2" w14:textId="77777777" w:rsidR="006F191F" w:rsidRPr="004B302B" w:rsidRDefault="006F191F" w:rsidP="009B510C">
      <w:pPr>
        <w:pStyle w:val="Recommendationheading"/>
        <w:ind w:left="0" w:firstLine="0"/>
      </w:pPr>
      <w:r w:rsidRPr="004B302B">
        <w:t>Triaging submissions</w:t>
      </w:r>
    </w:p>
    <w:p w14:paraId="44E75841" w14:textId="77777777" w:rsidR="006F191F" w:rsidRPr="006F191F" w:rsidRDefault="006F191F" w:rsidP="006F191F">
      <w:pPr>
        <w:snapToGrid w:val="0"/>
        <w:spacing w:after="120" w:line="22" w:lineRule="atLeast"/>
        <w:rPr>
          <w:rFonts w:eastAsia="Calibri" w:cs="Segoe UI"/>
          <w:b/>
        </w:rPr>
      </w:pPr>
      <w:r w:rsidRPr="006F191F">
        <w:rPr>
          <w:rFonts w:eastAsia="Calibri" w:cs="Segoe UI"/>
        </w:rPr>
        <w:t>Develop processes that enable triaging of submissions to determine the appropriate evaluation and appraisal mechanisms.</w:t>
      </w:r>
    </w:p>
    <w:p w14:paraId="7A31803D" w14:textId="77777777" w:rsidR="006F191F" w:rsidRPr="00FA6305" w:rsidRDefault="006F191F" w:rsidP="009B510C">
      <w:pPr>
        <w:pStyle w:val="Recommendationheading"/>
        <w:ind w:left="0" w:firstLine="0"/>
      </w:pPr>
      <w:r w:rsidRPr="00FA6305">
        <w:t>Expanding the advisory role of the Pharmaceutical Benefits Advisory Committee beyond the Pharmaceutical Benefits Scheme</w:t>
      </w:r>
    </w:p>
    <w:p w14:paraId="4BF3083B" w14:textId="577F470F" w:rsidR="009D315E" w:rsidRDefault="009D315E" w:rsidP="006F191F">
      <w:pPr>
        <w:snapToGrid w:val="0"/>
        <w:spacing w:after="120" w:line="22" w:lineRule="atLeast"/>
        <w:rPr>
          <w:rFonts w:eastAsia="Calibri" w:cs="Segoe UI"/>
        </w:rPr>
      </w:pPr>
      <w:r w:rsidRPr="009D315E">
        <w:rPr>
          <w:rFonts w:eastAsia="Calibri" w:cs="Segoe UI"/>
        </w:rPr>
        <w:t>As a stage in the development of the unified HTA pathway, expand the advisory role of the Pharmaceutical Benefits Advisory Committee to enable it to make HTA recommendations to the Minister for Health and Aged Care for a broader range of health technologies across different funding and subsidy programs.</w:t>
      </w:r>
    </w:p>
    <w:bookmarkStart w:id="57" w:name="_Toc170210016"/>
    <w:bookmarkStart w:id="58" w:name="_Toc170238466"/>
    <w:p w14:paraId="29055E74" w14:textId="5C08D85C" w:rsidR="00CD04DC" w:rsidRDefault="00DA72F1" w:rsidP="00111447">
      <w:pPr>
        <w:pStyle w:val="Heading3"/>
        <w:spacing w:before="240"/>
      </w:pPr>
      <w:r>
        <w:rPr>
          <w:noProof/>
          <w14:ligatures w14:val="standardContextual"/>
        </w:rPr>
        <mc:AlternateContent>
          <mc:Choice Requires="wps">
            <w:drawing>
              <wp:anchor distT="0" distB="0" distL="114300" distR="114300" simplePos="0" relativeHeight="251658245" behindDoc="1" locked="0" layoutInCell="1" allowOverlap="1" wp14:anchorId="3E85C96C" wp14:editId="69EB4441">
                <wp:simplePos x="0" y="0"/>
                <wp:positionH relativeFrom="margin">
                  <wp:posOffset>9525</wp:posOffset>
                </wp:positionH>
                <wp:positionV relativeFrom="paragraph">
                  <wp:posOffset>417196</wp:posOffset>
                </wp:positionV>
                <wp:extent cx="5724525" cy="2415540"/>
                <wp:effectExtent l="0" t="0" r="9525" b="381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24525" cy="241554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88289" id="Rectangle 5" o:spid="_x0000_s1026" alt="&quot;&quot;" style="position:absolute;margin-left:.75pt;margin-top:32.85pt;width:450.75pt;height:190.2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" fillcolor="#bfd4f2 [660]" stroked="f" strokeweight="1pt">
                <w10:wrap anchorx="margin"/>
              </v:rect>
            </w:pict>
          </mc:Fallback>
        </mc:AlternateContent>
      </w:r>
      <w:r w:rsidR="00CD04DC" w:rsidRPr="00C35BE4">
        <w:t>Chapter 4.2: Improved pathways for listing medicines on the PBS</w:t>
      </w:r>
      <w:bookmarkEnd w:id="57"/>
      <w:bookmarkEnd w:id="58"/>
    </w:p>
    <w:p w14:paraId="51CF3198" w14:textId="324D56D4" w:rsidR="00664BA8" w:rsidRDefault="00664BA8" w:rsidP="00522E8B">
      <w:pPr>
        <w:pStyle w:val="Subheading1"/>
        <w:ind w:left="113"/>
      </w:pPr>
      <w:r>
        <w:t>Objectives</w:t>
      </w:r>
    </w:p>
    <w:p w14:paraId="79779DDA" w14:textId="5FB2DC77" w:rsidR="005A3317" w:rsidRPr="00216891" w:rsidRDefault="00127766" w:rsidP="00522E8B">
      <w:pPr>
        <w:ind w:left="113"/>
      </w:pPr>
      <w:r>
        <w:t xml:space="preserve">The recommendations in this chapter </w:t>
      </w:r>
      <w:r w:rsidR="005A3317" w:rsidRPr="00216891">
        <w:t xml:space="preserve">are intended to: </w:t>
      </w:r>
    </w:p>
    <w:p w14:paraId="7CEFAD0D" w14:textId="38D21FC9" w:rsidR="005A3317" w:rsidRPr="00216891" w:rsidRDefault="005A3317" w:rsidP="00522E8B">
      <w:pPr>
        <w:numPr>
          <w:ilvl w:val="0"/>
          <w:numId w:val="2"/>
        </w:numPr>
        <w:snapToGrid w:val="0"/>
        <w:spacing w:line="22" w:lineRule="atLeast"/>
        <w:ind w:left="714" w:right="113" w:hanging="357"/>
        <w:contextualSpacing/>
        <w:rPr>
          <w:rFonts w:eastAsia="Calibri" w:cs="Segoe UI"/>
          <w:kern w:val="2"/>
          <w14:ligatures w14:val="standardContextual"/>
        </w:rPr>
      </w:pPr>
      <w:r w:rsidRPr="00216891">
        <w:rPr>
          <w:rFonts w:eastAsia="Calibri" w:cs="Segoe UI"/>
          <w:kern w:val="2"/>
          <w14:ligatures w14:val="standardContextual"/>
        </w:rPr>
        <w:t xml:space="preserve">reduce the time and effort that sponsors, the Department, evaluators and the </w:t>
      </w:r>
      <w:r w:rsidR="0045566B">
        <w:rPr>
          <w:rFonts w:eastAsia="Calibri" w:cs="Segoe UI"/>
          <w:kern w:val="2"/>
          <w14:ligatures w14:val="standardContextual"/>
        </w:rPr>
        <w:t xml:space="preserve">(Pharmaceutical Benefits Advisory Committee) </w:t>
      </w:r>
      <w:r w:rsidRPr="00216891">
        <w:rPr>
          <w:rFonts w:eastAsia="Calibri" w:cs="Segoe UI"/>
          <w:kern w:val="2"/>
          <w14:ligatures w14:val="standardContextual"/>
        </w:rPr>
        <w:t xml:space="preserve">PBAC spend on low-risk, simple submissions for therapies with no additional therapeutic advantage over existing alternatives </w:t>
      </w:r>
    </w:p>
    <w:p w14:paraId="11CECB7B" w14:textId="77777777" w:rsidR="005A3317" w:rsidRPr="00216891" w:rsidRDefault="005A3317" w:rsidP="00522E8B">
      <w:pPr>
        <w:numPr>
          <w:ilvl w:val="0"/>
          <w:numId w:val="2"/>
        </w:numPr>
        <w:snapToGrid w:val="0"/>
        <w:spacing w:line="22" w:lineRule="atLeast"/>
        <w:ind w:left="714" w:right="113" w:hanging="357"/>
        <w:contextualSpacing/>
        <w:rPr>
          <w:rFonts w:eastAsia="Calibri" w:cs="Segoe UI"/>
          <w:kern w:val="2"/>
          <w14:ligatures w14:val="standardContextual"/>
        </w:rPr>
      </w:pPr>
      <w:r w:rsidRPr="00216891">
        <w:rPr>
          <w:rFonts w:eastAsia="Calibri" w:cs="Segoe UI"/>
          <w:kern w:val="2"/>
          <w14:ligatures w14:val="standardContextual"/>
        </w:rPr>
        <w:t>ensure that the funding and assessment mechanisms and levels are proportionate to the complexity, risk and potential benefit related to the submission</w:t>
      </w:r>
    </w:p>
    <w:p w14:paraId="4ADE6B82" w14:textId="6A4EFB35" w:rsidR="00664BA8" w:rsidRPr="00216891" w:rsidRDefault="005A3317" w:rsidP="00522E8B">
      <w:pPr>
        <w:numPr>
          <w:ilvl w:val="0"/>
          <w:numId w:val="2"/>
        </w:numPr>
        <w:snapToGrid w:val="0"/>
        <w:spacing w:line="22" w:lineRule="atLeast"/>
        <w:ind w:left="714" w:right="113" w:hanging="357"/>
        <w:rPr>
          <w:rFonts w:eastAsia="Calibri" w:cs="Segoe UI"/>
          <w:kern w:val="2"/>
          <w14:ligatures w14:val="standardContextual"/>
        </w:rPr>
      </w:pPr>
      <w:r w:rsidRPr="00216891">
        <w:rPr>
          <w:rFonts w:eastAsia="Calibri" w:cs="Segoe UI"/>
          <w:kern w:val="2"/>
          <w14:ligatures w14:val="standardContextual"/>
        </w:rPr>
        <w:t>reduce the time to access for therapies with high added therapeutic value.</w:t>
      </w:r>
    </w:p>
    <w:p w14:paraId="375CDB39" w14:textId="58440E47" w:rsidR="006F191F" w:rsidRPr="00FA6305" w:rsidRDefault="006F191F" w:rsidP="009B510C">
      <w:pPr>
        <w:pStyle w:val="Recommendationheading"/>
        <w:ind w:left="0" w:firstLine="0"/>
      </w:pPr>
      <w:r w:rsidRPr="00FA6305">
        <w:t>Streamlined pathway for submissions applying for listing on the Pharmaceutical Benefits Scheme using cost-minimisation analysis</w:t>
      </w:r>
    </w:p>
    <w:p w14:paraId="0052EF94" w14:textId="6F64C3F9" w:rsidR="006F191F" w:rsidRPr="006F191F" w:rsidRDefault="006F191F" w:rsidP="006F191F">
      <w:pPr>
        <w:snapToGrid w:val="0"/>
        <w:spacing w:after="120" w:line="22" w:lineRule="atLeast"/>
        <w:rPr>
          <w:rFonts w:eastAsia="Calibri" w:cs="Segoe UI"/>
          <w:b/>
          <w:bCs/>
        </w:rPr>
      </w:pPr>
      <w:r w:rsidRPr="006F191F">
        <w:rPr>
          <w:rFonts w:eastAsia="Calibri" w:cs="Segoe UI"/>
        </w:rPr>
        <w:t xml:space="preserve">Develop a streamlined assessment pathway for submissions using cost-minimisation analysis. </w:t>
      </w:r>
    </w:p>
    <w:p w14:paraId="08BDBA64" w14:textId="4BFF691A" w:rsidR="006F191F" w:rsidRPr="009B510C" w:rsidRDefault="006F191F" w:rsidP="009B510C">
      <w:pPr>
        <w:pStyle w:val="Recommendationheading"/>
        <w:ind w:left="0" w:firstLine="0"/>
      </w:pPr>
      <w:r w:rsidRPr="009B510C">
        <w:t>Therapies with high added therapeutic value in areas of unmet clinical need applying for Pharmaceutical Benefits Scheme listing</w:t>
      </w:r>
    </w:p>
    <w:p w14:paraId="12542F7D" w14:textId="67A9A8F3" w:rsidR="00A40812" w:rsidRDefault="00A40812" w:rsidP="006F191F">
      <w:pPr>
        <w:snapToGrid w:val="0"/>
        <w:spacing w:after="120" w:line="22" w:lineRule="atLeast"/>
        <w:rPr>
          <w:rFonts w:eastAsia="Calibri" w:cs="Segoe UI"/>
        </w:rPr>
      </w:pPr>
      <w:r w:rsidRPr="00A40812">
        <w:rPr>
          <w:rFonts w:eastAsia="Calibri" w:cs="Segoe UI"/>
        </w:rPr>
        <w:t>Enhance or replace the current early resolution and / or facilitated resolution pathway with a more flexible pathway to provide additional support for the submissions of therapies with high added therapeutic value in areas of unmet clinical need. This should be supported by case management for submissions, and allowing the P</w:t>
      </w:r>
      <w:r w:rsidR="003A0DF2">
        <w:rPr>
          <w:rFonts w:eastAsia="Calibri" w:cs="Segoe UI"/>
        </w:rPr>
        <w:t>harm</w:t>
      </w:r>
      <w:r w:rsidR="00C633A2">
        <w:rPr>
          <w:rFonts w:eastAsia="Calibri" w:cs="Segoe UI"/>
        </w:rPr>
        <w:t xml:space="preserve">aceutical </w:t>
      </w:r>
      <w:r w:rsidRPr="00A40812">
        <w:rPr>
          <w:rFonts w:eastAsia="Calibri" w:cs="Segoe UI"/>
        </w:rPr>
        <w:t>B</w:t>
      </w:r>
      <w:r w:rsidR="00C633A2">
        <w:rPr>
          <w:rFonts w:eastAsia="Calibri" w:cs="Segoe UI"/>
        </w:rPr>
        <w:t xml:space="preserve">enefits </w:t>
      </w:r>
      <w:r w:rsidRPr="00A40812">
        <w:rPr>
          <w:rFonts w:eastAsia="Calibri" w:cs="Segoe UI"/>
        </w:rPr>
        <w:t>A</w:t>
      </w:r>
      <w:r w:rsidR="00C633A2">
        <w:rPr>
          <w:rFonts w:eastAsia="Calibri" w:cs="Segoe UI"/>
        </w:rPr>
        <w:t xml:space="preserve">dvisory </w:t>
      </w:r>
      <w:r w:rsidRPr="00A40812">
        <w:rPr>
          <w:rFonts w:eastAsia="Calibri" w:cs="Segoe UI"/>
        </w:rPr>
        <w:t>C</w:t>
      </w:r>
      <w:r w:rsidR="00C633A2">
        <w:rPr>
          <w:rFonts w:eastAsia="Calibri" w:cs="Segoe UI"/>
        </w:rPr>
        <w:t>ommittee</w:t>
      </w:r>
      <w:r w:rsidRPr="00A40812">
        <w:rPr>
          <w:rFonts w:eastAsia="Calibri" w:cs="Segoe UI"/>
        </w:rPr>
        <w:t xml:space="preserve"> to provide its likely advice to sponsors earlier before the receipt of the T</w:t>
      </w:r>
      <w:r w:rsidR="00C633A2">
        <w:rPr>
          <w:rFonts w:eastAsia="Calibri" w:cs="Segoe UI"/>
        </w:rPr>
        <w:t xml:space="preserve">herapeutic </w:t>
      </w:r>
      <w:r w:rsidRPr="00A40812">
        <w:rPr>
          <w:rFonts w:eastAsia="Calibri" w:cs="Segoe UI"/>
        </w:rPr>
        <w:t>G</w:t>
      </w:r>
      <w:r w:rsidR="00C633A2">
        <w:rPr>
          <w:rFonts w:eastAsia="Calibri" w:cs="Segoe UI"/>
        </w:rPr>
        <w:t xml:space="preserve">oods </w:t>
      </w:r>
      <w:r w:rsidRPr="00A40812">
        <w:rPr>
          <w:rFonts w:eastAsia="Calibri" w:cs="Segoe UI"/>
        </w:rPr>
        <w:t>A</w:t>
      </w:r>
      <w:r w:rsidR="00C633A2">
        <w:rPr>
          <w:rFonts w:eastAsia="Calibri" w:cs="Segoe UI"/>
        </w:rPr>
        <w:t>dministration</w:t>
      </w:r>
      <w:r w:rsidRPr="00A40812">
        <w:rPr>
          <w:rFonts w:eastAsia="Calibri" w:cs="Segoe UI"/>
        </w:rPr>
        <w:t xml:space="preserve"> delegate’s overview.</w:t>
      </w:r>
    </w:p>
    <w:p w14:paraId="54EB2181" w14:textId="77777777" w:rsidR="00A35A22" w:rsidRPr="007A20B0" w:rsidRDefault="00A35A22" w:rsidP="00A35A22">
      <w:pPr>
        <w:spacing w:after="120"/>
        <w:rPr>
          <w:rFonts w:ascii="Calibri" w:hAnsi="Calibri"/>
        </w:rPr>
      </w:pPr>
      <w:r w:rsidRPr="007A20B0">
        <w:lastRenderedPageBreak/>
        <w:t xml:space="preserve">Comment by Ms Elizabeth de Somer, Member Nominated by Medicines Australia: ‘The industry recognises the need to ensure no perverse incentives are introduced into these pathways and recommends establishing independent dispute resolution and commercial negotiation processes.’ </w:t>
      </w:r>
    </w:p>
    <w:p w14:paraId="43A8D0F7" w14:textId="77777777" w:rsidR="006F191F" w:rsidRPr="009B510C" w:rsidRDefault="006F191F" w:rsidP="009B510C">
      <w:pPr>
        <w:pStyle w:val="Recommendationheading"/>
        <w:ind w:left="0" w:firstLine="0"/>
      </w:pPr>
      <w:r w:rsidRPr="009B510C">
        <w:t>Therapies with added therapeutic value</w:t>
      </w:r>
    </w:p>
    <w:p w14:paraId="3892949B" w14:textId="1EDF6A39" w:rsidR="005C58C4" w:rsidRDefault="005C58C4" w:rsidP="006F191F">
      <w:pPr>
        <w:snapToGrid w:val="0"/>
        <w:spacing w:after="120" w:line="22" w:lineRule="atLeast"/>
        <w:rPr>
          <w:rFonts w:eastAsia="Calibri" w:cs="Segoe UI"/>
        </w:rPr>
      </w:pPr>
      <w:r w:rsidRPr="005C58C4">
        <w:rPr>
          <w:rFonts w:eastAsia="Calibri" w:cs="Segoe UI"/>
        </w:rPr>
        <w:t>After a trial period and review, extend the mechanisms in Recommendation 8 from therapies with high added therapeutic value in areas of unmet clinical need applying for Pharmaceutical Benefits Scheme listing to all therapies claiming clinical benefit over existing alternatives.</w:t>
      </w:r>
    </w:p>
    <w:p w14:paraId="5406CD43" w14:textId="0EC02A09" w:rsidR="006F191F" w:rsidRPr="009B510C" w:rsidRDefault="006F191F" w:rsidP="009B510C">
      <w:pPr>
        <w:pStyle w:val="Recommendationheading"/>
        <w:ind w:left="0" w:firstLine="0"/>
      </w:pPr>
      <w:r w:rsidRPr="009B510C">
        <w:t>Alternative modelling and analysis types for disease areas</w:t>
      </w:r>
    </w:p>
    <w:p w14:paraId="23FD67D2" w14:textId="206FF54C" w:rsidR="006F191F" w:rsidRDefault="006F191F" w:rsidP="006F191F">
      <w:pPr>
        <w:snapToGrid w:val="0"/>
        <w:spacing w:after="120" w:line="22" w:lineRule="atLeast"/>
        <w:rPr>
          <w:rFonts w:eastAsia="Calibri" w:cs="Segoe UI"/>
        </w:rPr>
      </w:pPr>
      <w:r w:rsidRPr="006F191F">
        <w:rPr>
          <w:rFonts w:eastAsia="Calibri" w:cs="Segoe UI"/>
        </w:rPr>
        <w:t xml:space="preserve">In consultation with industry and other relevant stakeholders, investigate the feasibility and a potential place for alternative types of analysis and modelling for disease areas. </w:t>
      </w:r>
    </w:p>
    <w:bookmarkStart w:id="59" w:name="_Toc170210017"/>
    <w:bookmarkStart w:id="60" w:name="_Toc170238467"/>
    <w:p w14:paraId="0C6CD714" w14:textId="2FF1D47A" w:rsidR="00624996" w:rsidRDefault="00A30C72" w:rsidP="00111447">
      <w:pPr>
        <w:pStyle w:val="Heading3"/>
        <w:spacing w:before="240"/>
      </w:pPr>
      <w:r>
        <w:rPr>
          <w:noProof/>
          <w14:ligatures w14:val="standardContextual"/>
        </w:rPr>
        <mc:AlternateContent>
          <mc:Choice Requires="wps">
            <w:drawing>
              <wp:anchor distT="0" distB="0" distL="114300" distR="114300" simplePos="0" relativeHeight="251658246" behindDoc="1" locked="0" layoutInCell="1" allowOverlap="1" wp14:anchorId="0B45C25E" wp14:editId="01A67245">
                <wp:simplePos x="0" y="0"/>
                <wp:positionH relativeFrom="margin">
                  <wp:align>right</wp:align>
                </wp:positionH>
                <wp:positionV relativeFrom="paragraph">
                  <wp:posOffset>705486</wp:posOffset>
                </wp:positionV>
                <wp:extent cx="5724525" cy="1967230"/>
                <wp:effectExtent l="0" t="0" r="952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24525" cy="196723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0AFB9" id="Rectangle 6" o:spid="_x0000_s1026" alt="&quot;&quot;" style="position:absolute;margin-left:399.55pt;margin-top:55.55pt;width:450.75pt;height:154.9pt;z-index:-25165823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" fillcolor="#bfd4f2 [660]" stroked="f" strokeweight="1pt">
                <w10:wrap anchorx="margin"/>
              </v:rect>
            </w:pict>
          </mc:Fallback>
        </mc:AlternateContent>
      </w:r>
      <w:r w:rsidR="00624996" w:rsidRPr="00C35BE4">
        <w:t>Chapter 4.3: Application pathway for having vaccines listed on the National Immunisation Program</w:t>
      </w:r>
      <w:bookmarkEnd w:id="59"/>
      <w:bookmarkEnd w:id="60"/>
    </w:p>
    <w:p w14:paraId="3090E3DB" w14:textId="6447C232" w:rsidR="00953289" w:rsidRPr="00953289" w:rsidRDefault="00953289" w:rsidP="00522E8B">
      <w:pPr>
        <w:pStyle w:val="Subheading1"/>
        <w:ind w:left="113"/>
      </w:pPr>
      <w:r>
        <w:t>Objectives</w:t>
      </w:r>
    </w:p>
    <w:p w14:paraId="6871B09B" w14:textId="3BA12839" w:rsidR="00953289" w:rsidRDefault="00953289" w:rsidP="00522E8B">
      <w:pPr>
        <w:ind w:left="113"/>
      </w:pPr>
      <w:r>
        <w:t xml:space="preserve">The recommendations in this chapter aim to: </w:t>
      </w:r>
    </w:p>
    <w:p w14:paraId="6C911DB2" w14:textId="4BB73AF7" w:rsidR="00953289" w:rsidRPr="00953289" w:rsidRDefault="00953289" w:rsidP="00522E8B">
      <w:pPr>
        <w:numPr>
          <w:ilvl w:val="0"/>
          <w:numId w:val="2"/>
        </w:numPr>
        <w:snapToGrid w:val="0"/>
        <w:spacing w:line="22" w:lineRule="atLeast"/>
        <w:ind w:left="714" w:right="113" w:hanging="357"/>
        <w:contextualSpacing/>
        <w:rPr>
          <w:rFonts w:eastAsia="Calibri" w:cs="Segoe UI"/>
          <w:kern w:val="2"/>
          <w14:ligatures w14:val="standardContextual"/>
        </w:rPr>
      </w:pPr>
      <w:r w:rsidRPr="00953289">
        <w:rPr>
          <w:rFonts w:eastAsia="Calibri" w:cs="Segoe UI"/>
          <w:kern w:val="2"/>
          <w14:ligatures w14:val="standardContextual"/>
        </w:rPr>
        <w:t>make health technology funding and assessment methods proportionate to the level of risk and potential benefit of each therapy, ensuring time and effort in the HTA system goes where it is most beneficial</w:t>
      </w:r>
    </w:p>
    <w:p w14:paraId="162D2B61" w14:textId="61E1E407" w:rsidR="00953289" w:rsidRPr="00953289" w:rsidRDefault="00953289" w:rsidP="00522E8B">
      <w:pPr>
        <w:numPr>
          <w:ilvl w:val="0"/>
          <w:numId w:val="2"/>
        </w:numPr>
        <w:snapToGrid w:val="0"/>
        <w:spacing w:line="22" w:lineRule="atLeast"/>
        <w:ind w:left="714" w:right="113" w:hanging="357"/>
        <w:contextualSpacing/>
        <w:rPr>
          <w:rFonts w:eastAsia="Calibri" w:cs="Segoe UI"/>
          <w:kern w:val="2"/>
          <w14:ligatures w14:val="standardContextual"/>
        </w:rPr>
      </w:pPr>
      <w:r w:rsidRPr="00953289">
        <w:rPr>
          <w:rFonts w:eastAsia="Calibri" w:cs="Segoe UI"/>
          <w:kern w:val="2"/>
          <w14:ligatures w14:val="standardContextual"/>
        </w:rPr>
        <w:t>improve time to access for new vaccines in areas of unmet clinical need</w:t>
      </w:r>
    </w:p>
    <w:p w14:paraId="48BAD44C" w14:textId="3E630C17" w:rsidR="00953289" w:rsidRPr="00953289" w:rsidRDefault="00953289" w:rsidP="00522E8B">
      <w:pPr>
        <w:numPr>
          <w:ilvl w:val="0"/>
          <w:numId w:val="2"/>
        </w:numPr>
        <w:snapToGrid w:val="0"/>
        <w:spacing w:line="22" w:lineRule="atLeast"/>
        <w:ind w:left="714" w:right="113" w:hanging="357"/>
        <w:contextualSpacing/>
        <w:rPr>
          <w:rFonts w:eastAsia="Calibri" w:cs="Segoe UI"/>
          <w:kern w:val="2"/>
          <w14:ligatures w14:val="standardContextual"/>
        </w:rPr>
      </w:pPr>
      <w:r w:rsidRPr="00953289">
        <w:rPr>
          <w:rFonts w:eastAsia="Calibri" w:cs="Segoe UI"/>
          <w:kern w:val="2"/>
          <w14:ligatures w14:val="standardContextual"/>
        </w:rPr>
        <w:t>support ATAGI to improve Australia’s health security, with a proactive, agile and forward-looking system.</w:t>
      </w:r>
    </w:p>
    <w:p w14:paraId="4B84AD05" w14:textId="1D154EDA" w:rsidR="006F191F" w:rsidRPr="009B510C" w:rsidRDefault="006F191F" w:rsidP="009B510C">
      <w:pPr>
        <w:pStyle w:val="Recommendationheading"/>
        <w:ind w:left="0" w:firstLine="0"/>
      </w:pPr>
      <w:r w:rsidRPr="009B510C">
        <w:t xml:space="preserve"> Proportionate appraisal pathway to align Australian Technical Advisory Group on Immunisation assessments with the level of risk and complexity of the product </w:t>
      </w:r>
    </w:p>
    <w:p w14:paraId="306F940F" w14:textId="022218D7" w:rsidR="00EE3A67" w:rsidRPr="00EE3A67" w:rsidRDefault="00EE3A67" w:rsidP="006F191F">
      <w:pPr>
        <w:snapToGrid w:val="0"/>
        <w:spacing w:after="120" w:line="22" w:lineRule="atLeast"/>
        <w:rPr>
          <w:rFonts w:cs="Segoe UI"/>
          <w:b/>
        </w:rPr>
      </w:pPr>
      <w:r w:rsidRPr="79F0D2C0">
        <w:rPr>
          <w:rFonts w:cs="Segoe UI"/>
        </w:rPr>
        <w:t xml:space="preserve">Restructure the current pathway for listing a vaccine on the </w:t>
      </w:r>
      <w:r w:rsidRPr="00B61FDC">
        <w:rPr>
          <w:rFonts w:cs="Segoe UI"/>
        </w:rPr>
        <w:t>National Immunisation Program</w:t>
      </w:r>
      <w:r w:rsidRPr="002A0B3D">
        <w:rPr>
          <w:rFonts w:cs="Segoe UI"/>
        </w:rPr>
        <w:t xml:space="preserve"> </w:t>
      </w:r>
      <w:r w:rsidRPr="79F0D2C0">
        <w:rPr>
          <w:rFonts w:cs="Segoe UI"/>
        </w:rPr>
        <w:t xml:space="preserve">to better align the </w:t>
      </w:r>
      <w:r w:rsidRPr="00FE6A94">
        <w:rPr>
          <w:rFonts w:cs="Segoe UI"/>
        </w:rPr>
        <w:t>Pharmaceutical Benefits Advisory Committee</w:t>
      </w:r>
      <w:r w:rsidRPr="79F0D2C0">
        <w:rPr>
          <w:rFonts w:cs="Segoe UI"/>
        </w:rPr>
        <w:t xml:space="preserve"> and </w:t>
      </w:r>
      <w:r>
        <w:rPr>
          <w:rFonts w:cs="Segoe UI"/>
        </w:rPr>
        <w:t>Australian Technical Advisory Group on Immunisation</w:t>
      </w:r>
      <w:r w:rsidRPr="79F0D2C0">
        <w:rPr>
          <w:rFonts w:cs="Segoe UI"/>
        </w:rPr>
        <w:t xml:space="preserve"> processes, and create assessment processes that are proportional to the level of complexity, risk and benefit of a submission.</w:t>
      </w:r>
    </w:p>
    <w:p w14:paraId="442A7A4B" w14:textId="77777777" w:rsidR="006F191F" w:rsidRPr="009B510C" w:rsidRDefault="006F191F" w:rsidP="00111447">
      <w:pPr>
        <w:pStyle w:val="Recommendationheading"/>
        <w:keepNext/>
        <w:ind w:left="0" w:firstLine="0"/>
      </w:pPr>
      <w:r w:rsidRPr="009B510C">
        <w:t xml:space="preserve"> Proactive vaccine assessment pathway</w:t>
      </w:r>
    </w:p>
    <w:p w14:paraId="5214A73C" w14:textId="06C61D10" w:rsidR="00233D65" w:rsidRPr="00233D65" w:rsidRDefault="00233D65" w:rsidP="00111447">
      <w:pPr>
        <w:keepNext/>
        <w:snapToGrid w:val="0"/>
        <w:spacing w:after="120" w:line="22" w:lineRule="atLeast"/>
        <w:rPr>
          <w:rFonts w:cs="Segoe UI"/>
          <w:b/>
        </w:rPr>
      </w:pPr>
      <w:r w:rsidRPr="79F0D2C0">
        <w:rPr>
          <w:rFonts w:cs="Segoe UI"/>
        </w:rPr>
        <w:t xml:space="preserve">Develop a process to enable proactive consideration of how new products or potential </w:t>
      </w:r>
      <w:r>
        <w:rPr>
          <w:rFonts w:cs="Segoe UI"/>
        </w:rPr>
        <w:t xml:space="preserve">changes to the </w:t>
      </w:r>
      <w:r w:rsidRPr="79F0D2C0">
        <w:rPr>
          <w:rFonts w:cs="Segoe UI"/>
        </w:rPr>
        <w:t>vaccine program could impact disease burden</w:t>
      </w:r>
      <w:r>
        <w:rPr>
          <w:rFonts w:cs="Segoe UI"/>
        </w:rPr>
        <w:t>.</w:t>
      </w:r>
      <w:r w:rsidRPr="79F0D2C0">
        <w:rPr>
          <w:rFonts w:cs="Segoe UI"/>
        </w:rPr>
        <w:t xml:space="preserve"> This process should be developed in collaboration with </w:t>
      </w:r>
      <w:r>
        <w:rPr>
          <w:rFonts w:cs="Segoe UI"/>
        </w:rPr>
        <w:t xml:space="preserve">the Australian Technical Advisory Group on </w:t>
      </w:r>
      <w:r>
        <w:rPr>
          <w:rFonts w:cs="Segoe UI"/>
        </w:rPr>
        <w:lastRenderedPageBreak/>
        <w:t>Immunisation</w:t>
      </w:r>
      <w:r w:rsidRPr="79F0D2C0">
        <w:rPr>
          <w:rFonts w:cs="Segoe UI"/>
        </w:rPr>
        <w:t xml:space="preserve"> and other relevant stakeholders and include </w:t>
      </w:r>
      <w:r>
        <w:rPr>
          <w:rFonts w:cs="Segoe UI"/>
        </w:rPr>
        <w:t xml:space="preserve">conducting </w:t>
      </w:r>
      <w:r w:rsidRPr="00FB490F">
        <w:rPr>
          <w:rFonts w:cs="Segoe UI"/>
        </w:rPr>
        <w:t xml:space="preserve"> independent modelling</w:t>
      </w:r>
      <w:r>
        <w:rPr>
          <w:rFonts w:cs="Segoe UI"/>
        </w:rPr>
        <w:t>,</w:t>
      </w:r>
      <w:r w:rsidRPr="00FB490F">
        <w:rPr>
          <w:rFonts w:cs="Segoe UI"/>
        </w:rPr>
        <w:t xml:space="preserve"> where appropriate</w:t>
      </w:r>
      <w:r w:rsidRPr="79F0D2C0">
        <w:rPr>
          <w:rFonts w:cs="Segoe UI"/>
        </w:rPr>
        <w:t xml:space="preserve">. </w:t>
      </w:r>
    </w:p>
    <w:bookmarkStart w:id="61" w:name="_Toc170210018"/>
    <w:bookmarkStart w:id="62" w:name="_Toc170238468"/>
    <w:p w14:paraId="1BBC4AE2" w14:textId="7E55CA6D" w:rsidR="00B07FDD" w:rsidRDefault="00A30C72" w:rsidP="00111447">
      <w:pPr>
        <w:pStyle w:val="Heading3"/>
        <w:spacing w:before="240"/>
      </w:pPr>
      <w:r>
        <w:rPr>
          <w:noProof/>
          <w14:ligatures w14:val="standardContextual"/>
        </w:rPr>
        <mc:AlternateContent>
          <mc:Choice Requires="wps">
            <w:drawing>
              <wp:anchor distT="0" distB="0" distL="114300" distR="114300" simplePos="0" relativeHeight="251658247" behindDoc="1" locked="0" layoutInCell="1" allowOverlap="1" wp14:anchorId="5761FEC6" wp14:editId="697A7B49">
                <wp:simplePos x="0" y="0"/>
                <wp:positionH relativeFrom="margin">
                  <wp:posOffset>9525</wp:posOffset>
                </wp:positionH>
                <wp:positionV relativeFrom="paragraph">
                  <wp:posOffset>656590</wp:posOffset>
                </wp:positionV>
                <wp:extent cx="5715000" cy="1116330"/>
                <wp:effectExtent l="0" t="0" r="0" b="762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15000" cy="111633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87CC2" id="Rectangle 7" o:spid="_x0000_s1026" alt="&quot;&quot;" style="position:absolute;margin-left:.75pt;margin-top:51.7pt;width:450pt;height:87.9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" fillcolor="#bfd4f2 [660]" stroked="f" strokeweight="1pt">
                <w10:wrap anchorx="margin"/>
              </v:rect>
            </w:pict>
          </mc:Fallback>
        </mc:AlternateContent>
      </w:r>
      <w:r w:rsidR="00B07FDD" w:rsidRPr="00C35BE4">
        <w:t xml:space="preserve">Chapter 4.4: Pathways for highly specialised therapies and other therapies co-funded </w:t>
      </w:r>
      <w:r w:rsidR="006624D4">
        <w:t>by</w:t>
      </w:r>
      <w:r w:rsidR="006624D4" w:rsidRPr="00C35BE4">
        <w:t xml:space="preserve"> </w:t>
      </w:r>
      <w:r w:rsidR="00B07FDD" w:rsidRPr="00C35BE4">
        <w:t>the Australian and state and territory governments</w:t>
      </w:r>
      <w:bookmarkEnd w:id="61"/>
      <w:bookmarkEnd w:id="62"/>
    </w:p>
    <w:p w14:paraId="19DFB2E5" w14:textId="0ECD8AE2" w:rsidR="00953289" w:rsidRDefault="00953289" w:rsidP="00522E8B">
      <w:pPr>
        <w:pStyle w:val="Subheading1"/>
        <w:ind w:left="113" w:right="113"/>
      </w:pPr>
      <w:r w:rsidRPr="002052CC">
        <w:t>Objectives</w:t>
      </w:r>
    </w:p>
    <w:p w14:paraId="292B5274" w14:textId="33568B14" w:rsidR="00953289" w:rsidRPr="00953289" w:rsidRDefault="00FE0047" w:rsidP="00522E8B">
      <w:pPr>
        <w:ind w:left="113" w:right="113"/>
      </w:pPr>
      <w:r w:rsidRPr="00FE0047">
        <w:rPr>
          <w:rFonts w:cs="Segoe UI"/>
          <w:kern w:val="2"/>
          <w14:ligatures w14:val="standardContextual"/>
        </w:rPr>
        <w:t>The recommendations in this chapter aim to improve processes, accountability and timeliness</w:t>
      </w:r>
      <w:r w:rsidR="00043A2C">
        <w:rPr>
          <w:rFonts w:cs="Segoe UI"/>
          <w:kern w:val="2"/>
          <w14:ligatures w14:val="standardContextual"/>
        </w:rPr>
        <w:t xml:space="preserve"> of access</w:t>
      </w:r>
      <w:r w:rsidRPr="00FE0047">
        <w:rPr>
          <w:rFonts w:cs="Segoe UI"/>
          <w:kern w:val="2"/>
          <w14:ligatures w14:val="standardContextual"/>
        </w:rPr>
        <w:t xml:space="preserve"> for HSTs and other therapies co funded between the Australian and state and territory governments</w:t>
      </w:r>
      <w:r w:rsidR="00953289">
        <w:t>.</w:t>
      </w:r>
    </w:p>
    <w:p w14:paraId="6B561D4E" w14:textId="7955B4A4" w:rsidR="006F191F" w:rsidRPr="009B510C" w:rsidRDefault="006F191F" w:rsidP="009B510C">
      <w:pPr>
        <w:pStyle w:val="Recommendationheading"/>
        <w:ind w:left="0" w:firstLine="0"/>
      </w:pPr>
      <w:r w:rsidRPr="009B510C">
        <w:t xml:space="preserve"> Improved processes, accountability and timeliness for highly specialised therapies and other therapies co-funded by the Australian and state and territory governments</w:t>
      </w:r>
    </w:p>
    <w:p w14:paraId="61AF17AB" w14:textId="4F237C25" w:rsidR="006F191F" w:rsidRPr="002052CC" w:rsidRDefault="006F191F" w:rsidP="00FA101C">
      <w:pPr>
        <w:rPr>
          <w:b/>
        </w:rPr>
      </w:pPr>
      <w:r w:rsidRPr="002052CC">
        <w:t>Encourage and provide support for expediting the development and implementation of a nationally cohesive approach to HTA</w:t>
      </w:r>
      <w:r w:rsidR="002E39B2">
        <w:t>s</w:t>
      </w:r>
      <w:r w:rsidRPr="002052CC">
        <w:t xml:space="preserve"> as outlined in Schedule C of the 2020–‍25 Addendum to the National Health Reform Agreement.</w:t>
      </w:r>
      <w:r w:rsidRPr="006F191F">
        <w:rPr>
          <w:vertAlign w:val="superscript"/>
        </w:rPr>
        <w:footnoteReference w:id="8"/>
      </w:r>
      <w:r w:rsidRPr="002052CC">
        <w:t xml:space="preserve"> </w:t>
      </w:r>
    </w:p>
    <w:p w14:paraId="19520CAB" w14:textId="680002DE" w:rsidR="009B2FDB" w:rsidRPr="000A53B0" w:rsidRDefault="009B2FDB" w:rsidP="009B2FDB">
      <w:pPr>
        <w:snapToGrid w:val="0"/>
        <w:spacing w:after="120" w:line="22" w:lineRule="atLeast"/>
        <w:rPr>
          <w:rFonts w:cs="Segoe UI"/>
          <w:b/>
        </w:rPr>
      </w:pPr>
      <w:r w:rsidRPr="79F0D2C0">
        <w:rPr>
          <w:rFonts w:cs="Segoe UI"/>
        </w:rPr>
        <w:t>Encourage and provide support for expediting the development of a national HTA framework</w:t>
      </w:r>
      <w:r>
        <w:rPr>
          <w:rFonts w:cs="Segoe UI"/>
        </w:rPr>
        <w:t>,</w:t>
      </w:r>
      <w:r w:rsidRPr="79F0D2C0">
        <w:rPr>
          <w:rFonts w:cs="Segoe UI"/>
        </w:rPr>
        <w:t xml:space="preserve"> including processes for HTA to inform advice on implementation, investment and disinvestment opportunities at Commonwealth and </w:t>
      </w:r>
      <w:r>
        <w:rPr>
          <w:rFonts w:cs="Segoe UI"/>
        </w:rPr>
        <w:t>s</w:t>
      </w:r>
      <w:r w:rsidRPr="79F0D2C0">
        <w:rPr>
          <w:rFonts w:cs="Segoe UI"/>
        </w:rPr>
        <w:t xml:space="preserve">tate </w:t>
      </w:r>
      <w:r>
        <w:rPr>
          <w:rFonts w:cs="Segoe UI"/>
        </w:rPr>
        <w:t xml:space="preserve">and territory </w:t>
      </w:r>
      <w:r w:rsidRPr="79F0D2C0">
        <w:rPr>
          <w:rFonts w:cs="Segoe UI"/>
        </w:rPr>
        <w:t xml:space="preserve">levels. </w:t>
      </w:r>
    </w:p>
    <w:p w14:paraId="7BBCC865" w14:textId="637AF243" w:rsidR="009B2FDB" w:rsidRDefault="009B2FDB" w:rsidP="009B2FDB">
      <w:pPr>
        <w:snapToGrid w:val="0"/>
        <w:spacing w:after="120" w:line="22" w:lineRule="atLeast"/>
        <w:rPr>
          <w:rFonts w:cs="Segoe UI"/>
          <w:bCs/>
        </w:rPr>
      </w:pPr>
      <w:r w:rsidRPr="79F0D2C0">
        <w:rPr>
          <w:rFonts w:cs="Segoe UI"/>
        </w:rPr>
        <w:t xml:space="preserve">Work with </w:t>
      </w:r>
      <w:r>
        <w:rPr>
          <w:rFonts w:cs="Segoe UI"/>
        </w:rPr>
        <w:t>s</w:t>
      </w:r>
      <w:r w:rsidRPr="79F0D2C0">
        <w:rPr>
          <w:rFonts w:cs="Segoe UI"/>
        </w:rPr>
        <w:t xml:space="preserve">tate and </w:t>
      </w:r>
      <w:r>
        <w:rPr>
          <w:rFonts w:cs="Segoe UI"/>
        </w:rPr>
        <w:t>t</w:t>
      </w:r>
      <w:r w:rsidRPr="79F0D2C0">
        <w:rPr>
          <w:rFonts w:cs="Segoe UI"/>
        </w:rPr>
        <w:t xml:space="preserve">erritory </w:t>
      </w:r>
      <w:r>
        <w:rPr>
          <w:rFonts w:cs="Segoe UI"/>
        </w:rPr>
        <w:t>g</w:t>
      </w:r>
      <w:r w:rsidRPr="79F0D2C0">
        <w:rPr>
          <w:rFonts w:cs="Segoe UI"/>
        </w:rPr>
        <w:t xml:space="preserve">overnments and industry to establish processes for ensuring high-cost </w:t>
      </w:r>
      <w:r>
        <w:rPr>
          <w:rFonts w:cs="Segoe UI"/>
        </w:rPr>
        <w:t>highly specialised therapies</w:t>
      </w:r>
      <w:r w:rsidRPr="79F0D2C0">
        <w:rPr>
          <w:rFonts w:cs="Segoe UI"/>
        </w:rPr>
        <w:t xml:space="preserve"> are accessible to all </w:t>
      </w:r>
      <w:r>
        <w:rPr>
          <w:rFonts w:cs="Segoe UI"/>
        </w:rPr>
        <w:t>eligible</w:t>
      </w:r>
      <w:r w:rsidRPr="00B61FDC">
        <w:rPr>
          <w:rFonts w:cs="Segoe UI"/>
        </w:rPr>
        <w:t xml:space="preserve"> patients</w:t>
      </w:r>
      <w:r w:rsidRPr="79F0D2C0">
        <w:rPr>
          <w:rFonts w:cs="Segoe UI"/>
        </w:rPr>
        <w:t xml:space="preserve"> within 6 months of</w:t>
      </w:r>
      <w:r w:rsidRPr="00915105">
        <w:rPr>
          <w:rFonts w:cs="Segoe UI"/>
        </w:rPr>
        <w:t xml:space="preserve"> r</w:t>
      </w:r>
      <w:r w:rsidRPr="00B61FDC">
        <w:rPr>
          <w:rFonts w:cs="Segoe UI"/>
        </w:rPr>
        <w:t>eaching</w:t>
      </w:r>
      <w:r w:rsidRPr="00964E3C">
        <w:rPr>
          <w:rFonts w:cs="Segoe UI"/>
        </w:rPr>
        <w:t xml:space="preserve"> </w:t>
      </w:r>
      <w:r w:rsidRPr="79F0D2C0">
        <w:rPr>
          <w:rFonts w:cs="Segoe UI"/>
        </w:rPr>
        <w:t>an in-principal pricing agreement.</w:t>
      </w:r>
    </w:p>
    <w:p w14:paraId="1460C773" w14:textId="77777777" w:rsidR="009B2FDB" w:rsidRPr="008526FC" w:rsidRDefault="009B2FDB" w:rsidP="009B2FDB">
      <w:pPr>
        <w:snapToGrid w:val="0"/>
        <w:spacing w:after="120" w:line="22" w:lineRule="atLeast"/>
        <w:rPr>
          <w:rFonts w:cs="Segoe UI"/>
          <w:b/>
          <w:bCs/>
        </w:rPr>
      </w:pPr>
      <w:r w:rsidRPr="52A86770">
        <w:rPr>
          <w:rFonts w:eastAsia="Calibri" w:cs="Segoe UI"/>
        </w:rPr>
        <w:t xml:space="preserve">Develop a </w:t>
      </w:r>
      <w:r w:rsidRPr="43CC5F5D">
        <w:rPr>
          <w:rFonts w:eastAsia="Calibri" w:cs="Segoe UI"/>
        </w:rPr>
        <w:t>framework for</w:t>
      </w:r>
      <w:r w:rsidRPr="52A86770">
        <w:rPr>
          <w:rFonts w:eastAsia="Calibri" w:cs="Segoe UI"/>
        </w:rPr>
        <w:t xml:space="preserve"> systematic input</w:t>
      </w:r>
      <w:r w:rsidRPr="008526FC">
        <w:rPr>
          <w:rFonts w:eastAsia="Calibri" w:cs="Segoe UI"/>
        </w:rPr>
        <w:t>, consultation and work sharing by state and territory governments across the health technology lifecycle</w:t>
      </w:r>
      <w:r>
        <w:rPr>
          <w:rFonts w:eastAsia="Calibri" w:cs="Segoe UI"/>
        </w:rPr>
        <w:t>.</w:t>
      </w:r>
    </w:p>
    <w:bookmarkStart w:id="63" w:name="_Toc170210019"/>
    <w:bookmarkStart w:id="64" w:name="_Toc170238469"/>
    <w:p w14:paraId="48548705" w14:textId="02B3CD05" w:rsidR="005263E7" w:rsidRDefault="00994E45" w:rsidP="00111447">
      <w:pPr>
        <w:pStyle w:val="Heading3"/>
        <w:spacing w:before="240"/>
      </w:pPr>
      <w:r>
        <w:rPr>
          <w:noProof/>
          <w14:ligatures w14:val="standardContextual"/>
        </w:rPr>
        <mc:AlternateContent>
          <mc:Choice Requires="wps">
            <w:drawing>
              <wp:anchor distT="0" distB="0" distL="114300" distR="114300" simplePos="0" relativeHeight="251658248" behindDoc="1" locked="0" layoutInCell="1" allowOverlap="1" wp14:anchorId="22BD2A52" wp14:editId="1AD87E88">
                <wp:simplePos x="0" y="0"/>
                <wp:positionH relativeFrom="margin">
                  <wp:align>right</wp:align>
                </wp:positionH>
                <wp:positionV relativeFrom="paragraph">
                  <wp:posOffset>687705</wp:posOffset>
                </wp:positionV>
                <wp:extent cx="5734050" cy="1715135"/>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171513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F9C41" id="Rectangle 8" o:spid="_x0000_s1026" alt="&quot;&quot;" style="position:absolute;margin-left:400.3pt;margin-top:54.15pt;width:451.5pt;height:135.05pt;z-index:-251658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" fillcolor="#bfd4f2 [660]" stroked="f" strokeweight="1pt">
                <w10:wrap anchorx="margin"/>
              </v:rect>
            </w:pict>
          </mc:Fallback>
        </mc:AlternateContent>
      </w:r>
      <w:r w:rsidR="005263E7" w:rsidRPr="00C35BE4">
        <w:t>Chapter 4.5: Life-saving drugs for patients with ultra-rare diseases (Life Saving Drugs Program)</w:t>
      </w:r>
      <w:bookmarkEnd w:id="63"/>
      <w:bookmarkEnd w:id="64"/>
    </w:p>
    <w:p w14:paraId="6A4319AD" w14:textId="5F3155C2" w:rsidR="00F12191" w:rsidRDefault="00F12191" w:rsidP="00522E8B">
      <w:pPr>
        <w:pStyle w:val="Subheading1"/>
        <w:ind w:left="113"/>
      </w:pPr>
      <w:r>
        <w:t>Objectives</w:t>
      </w:r>
    </w:p>
    <w:p w14:paraId="2B3CFB4F" w14:textId="39CC1DE0" w:rsidR="00F12191" w:rsidRPr="00D207FD" w:rsidRDefault="00127766" w:rsidP="00522E8B">
      <w:pPr>
        <w:widowControl w:val="0"/>
        <w:spacing w:before="40" w:after="0"/>
        <w:ind w:left="113"/>
        <w:contextualSpacing/>
        <w:rPr>
          <w:rFonts w:cs="Segoe UI"/>
        </w:rPr>
      </w:pPr>
      <w:r>
        <w:t xml:space="preserve">The recommendations in this chapter </w:t>
      </w:r>
      <w:r w:rsidRPr="00216891">
        <w:t xml:space="preserve">are </w:t>
      </w:r>
      <w:r w:rsidR="00F12191" w:rsidRPr="00D207FD">
        <w:rPr>
          <w:rFonts w:cs="Segoe UI"/>
        </w:rPr>
        <w:t>intended to provide:</w:t>
      </w:r>
    </w:p>
    <w:p w14:paraId="5D81CA08" w14:textId="2E4AF49E" w:rsidR="00F12191" w:rsidRPr="00F12191" w:rsidRDefault="00F12191" w:rsidP="00522E8B">
      <w:pPr>
        <w:numPr>
          <w:ilvl w:val="0"/>
          <w:numId w:val="2"/>
        </w:numPr>
        <w:snapToGrid w:val="0"/>
        <w:spacing w:line="22" w:lineRule="atLeast"/>
        <w:ind w:left="714" w:right="113" w:hanging="357"/>
        <w:rPr>
          <w:rFonts w:eastAsia="Calibri" w:cs="Segoe UI"/>
          <w:kern w:val="2"/>
          <w14:ligatures w14:val="standardContextual"/>
        </w:rPr>
      </w:pPr>
      <w:r w:rsidRPr="00F12191">
        <w:rPr>
          <w:rFonts w:eastAsia="Calibri" w:cs="Segoe UI"/>
          <w:kern w:val="2"/>
          <w14:ligatures w14:val="standardContextual"/>
        </w:rPr>
        <w:t xml:space="preserve">additional clarity and certainty on the essential purpose and intent of the program for participating stakeholders, including ensuring that appropriate eligibility criteria for the consideration and listing of therapies on the </w:t>
      </w:r>
      <w:r w:rsidR="00BA557B" w:rsidRPr="009B510C">
        <w:t>Life Saving Drugs Program</w:t>
      </w:r>
      <w:r w:rsidRPr="00F12191">
        <w:rPr>
          <w:rFonts w:eastAsia="Calibri" w:cs="Segoe UI"/>
          <w:kern w:val="2"/>
          <w14:ligatures w14:val="standardContextual"/>
        </w:rPr>
        <w:t>, and subsequent ongoing management arrangements, are clearly stated in relevant guidance and policy</w:t>
      </w:r>
    </w:p>
    <w:p w14:paraId="6DF1A490" w14:textId="35E6A9CC" w:rsidR="00F12191" w:rsidRPr="00F12191" w:rsidRDefault="00DA72F1" w:rsidP="00522E8B">
      <w:pPr>
        <w:numPr>
          <w:ilvl w:val="0"/>
          <w:numId w:val="2"/>
        </w:numPr>
        <w:snapToGrid w:val="0"/>
        <w:spacing w:line="22" w:lineRule="atLeast"/>
        <w:ind w:left="714" w:right="113" w:hanging="357"/>
        <w:rPr>
          <w:rFonts w:eastAsia="Calibri" w:cs="Segoe UI"/>
          <w:kern w:val="2"/>
          <w14:ligatures w14:val="standardContextual"/>
        </w:rPr>
      </w:pPr>
      <w:r>
        <w:rPr>
          <w:noProof/>
          <w14:ligatures w14:val="standardContextual"/>
        </w:rPr>
        <w:lastRenderedPageBreak/>
        <mc:AlternateContent>
          <mc:Choice Requires="wps">
            <w:drawing>
              <wp:anchor distT="0" distB="0" distL="114300" distR="114300" simplePos="0" relativeHeight="251658249" behindDoc="1" locked="0" layoutInCell="1" allowOverlap="1" wp14:anchorId="6D0CCBED" wp14:editId="7E7AF2A1">
                <wp:simplePos x="0" y="0"/>
                <wp:positionH relativeFrom="margin">
                  <wp:align>right</wp:align>
                </wp:positionH>
                <wp:positionV relativeFrom="paragraph">
                  <wp:posOffset>14605</wp:posOffset>
                </wp:positionV>
                <wp:extent cx="5734050" cy="647700"/>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64770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FE501" id="Rectangle 9" o:spid="_x0000_s1026" alt="&quot;&quot;" style="position:absolute;margin-left:400.3pt;margin-top:1.15pt;width:451.5pt;height:51pt;z-index:-25165823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" fillcolor="#bfd4f2 [660]" stroked="f" strokeweight="1pt">
                <w10:wrap anchorx="margin"/>
              </v:rect>
            </w:pict>
          </mc:Fallback>
        </mc:AlternateContent>
      </w:r>
      <w:r w:rsidR="00F12191" w:rsidRPr="00F12191">
        <w:rPr>
          <w:rFonts w:eastAsia="Calibri" w:cs="Segoe UI"/>
          <w:kern w:val="2"/>
          <w14:ligatures w14:val="standardContextual"/>
        </w:rPr>
        <w:t>alignment with the broader observations the Review heard that double-handling and other administrative barriers should be eliminated where possible to support more timely access to important therapies for patients.</w:t>
      </w:r>
    </w:p>
    <w:p w14:paraId="6924C3D0" w14:textId="7A47E3DD" w:rsidR="006F191F" w:rsidRDefault="006F191F" w:rsidP="009657ED">
      <w:pPr>
        <w:pStyle w:val="Recommendationheading"/>
        <w:ind w:left="0" w:firstLine="0"/>
      </w:pPr>
      <w:r w:rsidRPr="009B510C">
        <w:t>Improving time to access life-saving drugs for patients with ultra-rare diseases (Life Saving Drugs Program)</w:t>
      </w:r>
      <w:r w:rsidRPr="006F191F">
        <w:t xml:space="preserve">  </w:t>
      </w:r>
    </w:p>
    <w:p w14:paraId="1C54B75F" w14:textId="77777777" w:rsidR="001252C4" w:rsidRDefault="001252C4" w:rsidP="001252C4">
      <w:r>
        <w:t>Develop a statement of rationale for the Life Saving Drugs Program, outlining the principles underpinning the program and eligibility criteria.</w:t>
      </w:r>
    </w:p>
    <w:p w14:paraId="7BE573A2" w14:textId="790B7300" w:rsidR="001252C4" w:rsidRDefault="001252C4" w:rsidP="001252C4">
      <w:r>
        <w:t>Make necessary process and policy reforms to enable the Pharmaceutical Benefits Advisory Committee to become the sole HTA committee that assesses and recommends funding of health technologies for ultra-rare diseases.</w:t>
      </w:r>
    </w:p>
    <w:bookmarkStart w:id="65" w:name="_Toc170210020"/>
    <w:bookmarkStart w:id="66" w:name="_Toc170238470"/>
    <w:p w14:paraId="0B615C59" w14:textId="3EF3A5E7" w:rsidR="007E1664" w:rsidRDefault="00994E45" w:rsidP="002E38CE">
      <w:pPr>
        <w:pStyle w:val="Heading3"/>
      </w:pPr>
      <w:r>
        <w:rPr>
          <w:noProof/>
          <w14:ligatures w14:val="standardContextual"/>
        </w:rPr>
        <mc:AlternateContent>
          <mc:Choice Requires="wps">
            <w:drawing>
              <wp:anchor distT="0" distB="0" distL="114300" distR="114300" simplePos="0" relativeHeight="251658250" behindDoc="1" locked="0" layoutInCell="1" allowOverlap="1" wp14:anchorId="0C0B813D" wp14:editId="4DBB18C7">
                <wp:simplePos x="0" y="0"/>
                <wp:positionH relativeFrom="margin">
                  <wp:align>right</wp:align>
                </wp:positionH>
                <wp:positionV relativeFrom="paragraph">
                  <wp:posOffset>351791</wp:posOffset>
                </wp:positionV>
                <wp:extent cx="5734050" cy="1560830"/>
                <wp:effectExtent l="0" t="0" r="0" b="127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156083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0BA2C" id="Rectangle 10" o:spid="_x0000_s1026" alt="&quot;&quot;" style="position:absolute;margin-left:400.3pt;margin-top:27.7pt;width:451.5pt;height:122.9pt;z-index:-25165823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" fillcolor="#bfd4f2 [660]" stroked="f" strokeweight="1pt">
                <w10:wrap anchorx="margin"/>
              </v:rect>
            </w:pict>
          </mc:Fallback>
        </mc:AlternateContent>
      </w:r>
      <w:r w:rsidR="007964BD" w:rsidRPr="00C35BE4">
        <w:t>Chapter 4.6: Measuring the impact of reforms on timeliness</w:t>
      </w:r>
      <w:bookmarkEnd w:id="65"/>
      <w:bookmarkEnd w:id="66"/>
    </w:p>
    <w:p w14:paraId="70DF5789" w14:textId="76D0AFC2" w:rsidR="00A4797E" w:rsidRDefault="00A4797E" w:rsidP="00522E8B">
      <w:pPr>
        <w:pStyle w:val="Subheading1"/>
        <w:ind w:left="113" w:right="113"/>
      </w:pPr>
      <w:r>
        <w:t xml:space="preserve">Objectives </w:t>
      </w:r>
    </w:p>
    <w:p w14:paraId="22CB6B47" w14:textId="66A2F736" w:rsidR="00A4797E" w:rsidRPr="00A4797E" w:rsidRDefault="00127766" w:rsidP="00522E8B">
      <w:pPr>
        <w:ind w:left="113" w:right="113"/>
        <w:rPr>
          <w:rFonts w:cstheme="minorBidi"/>
          <w:color w:val="000000" w:themeColor="text1"/>
          <w:lang w:val="en-GB"/>
        </w:rPr>
      </w:pPr>
      <w:r>
        <w:t xml:space="preserve">The recommendations in this chapter </w:t>
      </w:r>
      <w:r w:rsidR="00A4797E" w:rsidRPr="00A4797E">
        <w:rPr>
          <w:rFonts w:cs="Segoe UI"/>
          <w:kern w:val="2"/>
          <w14:ligatures w14:val="standardContextual"/>
        </w:rPr>
        <w:t>aim to assist the Government and industry to demonstrate to the Australian community their commitment to enabling timely access to new therapies. Public commitment to this in the form of agreed targets and performance metrics that are jointly owned and published will increase accountability, transparency and HTA system performance</w:t>
      </w:r>
      <w:r w:rsidR="00A4797E" w:rsidRPr="00F27EA9">
        <w:rPr>
          <w:rFonts w:cstheme="minorBidi"/>
          <w:color w:val="000000" w:themeColor="text1"/>
          <w:lang w:val="en-GB"/>
        </w:rPr>
        <w:t>.</w:t>
      </w:r>
    </w:p>
    <w:p w14:paraId="4278EAA3" w14:textId="77777777" w:rsidR="006F191F" w:rsidRPr="009B510C" w:rsidRDefault="006F191F" w:rsidP="009B510C">
      <w:pPr>
        <w:pStyle w:val="Recommendationheading"/>
        <w:ind w:left="0" w:firstLine="0"/>
      </w:pPr>
      <w:r w:rsidRPr="009B510C">
        <w:t>Jointly owned performance targets</w:t>
      </w:r>
    </w:p>
    <w:p w14:paraId="7BC21BFE" w14:textId="77777777" w:rsidR="00E830F3" w:rsidRPr="00E830F3" w:rsidRDefault="00E830F3" w:rsidP="00E95AB4">
      <w:r w:rsidRPr="00E830F3">
        <w:t>Get the Australian Government and industry to each reaffirm their commitment to good faith negotiations aimed at minimising the time to complete an HTA and commercial agreements for products claimed to be superior to existing therapies. In addition, they should negotiate reciprocal commitments for these elements in any agreement, and compile and publish performance metrics annually.</w:t>
      </w:r>
    </w:p>
    <w:p w14:paraId="21B1C040" w14:textId="49B8CC46" w:rsidR="004767FD" w:rsidRPr="006F191F" w:rsidRDefault="00E830F3" w:rsidP="00E95AB4">
      <w:r w:rsidRPr="00E830F3">
        <w:t xml:space="preserve">Comment by Ms Elizabeth de Somer, Member Nominated by Medicines Australia: ‘The industry supports mutually agreed targets that reduce delays in patient access and recommends that a time frame for </w:t>
      </w:r>
      <w:r w:rsidR="00F34EDE">
        <w:t>PBS</w:t>
      </w:r>
      <w:r w:rsidRPr="00E830F3">
        <w:t xml:space="preserve"> listing within 60 days of </w:t>
      </w:r>
      <w:r w:rsidR="001E211D">
        <w:t>Australian Register of Therapeutic Goods (</w:t>
      </w:r>
      <w:r w:rsidR="00F34EDE">
        <w:t>ARTG</w:t>
      </w:r>
      <w:r w:rsidR="001E211D">
        <w:t>)</w:t>
      </w:r>
      <w:r w:rsidRPr="00E830F3">
        <w:t xml:space="preserve"> registration for all submissions should be a future target.’</w:t>
      </w:r>
    </w:p>
    <w:p w14:paraId="7E428822" w14:textId="3E4C6F12" w:rsidR="006F191F" w:rsidRPr="00C35BE4" w:rsidRDefault="006F191F" w:rsidP="00053079">
      <w:pPr>
        <w:pStyle w:val="Heading2"/>
      </w:pPr>
      <w:bookmarkStart w:id="67" w:name="_Toc170210021"/>
      <w:bookmarkStart w:id="68" w:name="_Toc170238471"/>
      <w:bookmarkStart w:id="69" w:name="_Toc172030762"/>
      <w:r w:rsidRPr="006F191F">
        <w:t>C</w:t>
      </w:r>
      <w:r w:rsidR="00802012">
        <w:t>hapter</w:t>
      </w:r>
      <w:r w:rsidRPr="006F191F">
        <w:t xml:space="preserve"> 5: Policies, methods and processes supporting the translation of HTA </w:t>
      </w:r>
      <w:r w:rsidR="00E93242">
        <w:t>r</w:t>
      </w:r>
      <w:r w:rsidRPr="006F191F">
        <w:t>ecommendations into patient access</w:t>
      </w:r>
      <w:bookmarkEnd w:id="67"/>
      <w:bookmarkEnd w:id="68"/>
      <w:bookmarkEnd w:id="69"/>
    </w:p>
    <w:bookmarkStart w:id="70" w:name="_Toc170210022"/>
    <w:bookmarkStart w:id="71" w:name="_Toc170238472"/>
    <w:p w14:paraId="06A6F334" w14:textId="7CB504FD" w:rsidR="00B32E48" w:rsidRDefault="00994E45" w:rsidP="002E38CE">
      <w:pPr>
        <w:pStyle w:val="Heading3"/>
      </w:pPr>
      <w:r>
        <w:rPr>
          <w:noProof/>
          <w14:ligatures w14:val="standardContextual"/>
        </w:rPr>
        <mc:AlternateContent>
          <mc:Choice Requires="wps">
            <w:drawing>
              <wp:anchor distT="0" distB="0" distL="114300" distR="114300" simplePos="0" relativeHeight="251658251" behindDoc="1" locked="0" layoutInCell="1" allowOverlap="1" wp14:anchorId="03767A27" wp14:editId="1DB261BD">
                <wp:simplePos x="0" y="0"/>
                <wp:positionH relativeFrom="margin">
                  <wp:posOffset>9525</wp:posOffset>
                </wp:positionH>
                <wp:positionV relativeFrom="paragraph">
                  <wp:posOffset>375285</wp:posOffset>
                </wp:positionV>
                <wp:extent cx="5724525" cy="911225"/>
                <wp:effectExtent l="0" t="0" r="9525" b="317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24525" cy="91122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50B1C" id="Rectangle 11" o:spid="_x0000_s1026" alt="&quot;&quot;" style="position:absolute;margin-left:.75pt;margin-top:29.55pt;width:450.75pt;height:71.75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" fillcolor="#bfd4f2 [660]" stroked="f" strokeweight="1pt">
                <w10:wrap anchorx="margin"/>
              </v:rect>
            </w:pict>
          </mc:Fallback>
        </mc:AlternateContent>
      </w:r>
      <w:r w:rsidR="00B32E48" w:rsidRPr="00C35BE4">
        <w:t>Chapter 5.1: Alternative ways to pay for health technologies</w:t>
      </w:r>
      <w:bookmarkEnd w:id="70"/>
      <w:bookmarkEnd w:id="71"/>
    </w:p>
    <w:p w14:paraId="33A4A59E" w14:textId="385DACA5" w:rsidR="00A2298B" w:rsidRDefault="00A2298B" w:rsidP="00522E8B">
      <w:pPr>
        <w:pStyle w:val="Subheading1"/>
        <w:ind w:left="113" w:right="113"/>
        <w:rPr>
          <w:lang w:eastAsia="en-AU"/>
        </w:rPr>
      </w:pPr>
      <w:r>
        <w:rPr>
          <w:lang w:eastAsia="en-AU"/>
        </w:rPr>
        <w:t xml:space="preserve">Objectives </w:t>
      </w:r>
    </w:p>
    <w:p w14:paraId="142D9472" w14:textId="14F2AE7B" w:rsidR="00A2298B" w:rsidRPr="00A2298B" w:rsidRDefault="00127766" w:rsidP="00522E8B">
      <w:pPr>
        <w:keepNext/>
        <w:ind w:left="113" w:right="113"/>
        <w:rPr>
          <w:rFonts w:eastAsia="Times New Roman" w:cs="Segoe UI"/>
          <w:b/>
          <w:bCs/>
          <w:kern w:val="24"/>
          <w:lang w:eastAsia="en-AU"/>
        </w:rPr>
      </w:pPr>
      <w:r>
        <w:t xml:space="preserve">The recommendations in this chapter </w:t>
      </w:r>
      <w:r w:rsidRPr="00216891">
        <w:t xml:space="preserve">are </w:t>
      </w:r>
      <w:r>
        <w:t xml:space="preserve">intended to </w:t>
      </w:r>
      <w:r w:rsidR="00A2298B" w:rsidRPr="00A2298B">
        <w:rPr>
          <w:rFonts w:cs="Segoe UI"/>
          <w:kern w:val="2"/>
          <w14:ligatures w14:val="standardContextual"/>
        </w:rPr>
        <w:t xml:space="preserve">provide stakeholders with the opportunity to design and adopt new approaches to how health technologies are </w:t>
      </w:r>
      <w:r w:rsidR="00A30C72">
        <w:rPr>
          <w:noProof/>
          <w14:ligatures w14:val="standardContextual"/>
        </w:rPr>
        <w:lastRenderedPageBreak/>
        <mc:AlternateContent>
          <mc:Choice Requires="wps">
            <w:drawing>
              <wp:anchor distT="0" distB="0" distL="114300" distR="114300" simplePos="0" relativeHeight="251658252" behindDoc="1" locked="0" layoutInCell="1" allowOverlap="1" wp14:anchorId="33C57C22" wp14:editId="5F5C4229">
                <wp:simplePos x="0" y="0"/>
                <wp:positionH relativeFrom="margin">
                  <wp:align>right</wp:align>
                </wp:positionH>
                <wp:positionV relativeFrom="paragraph">
                  <wp:posOffset>-4445</wp:posOffset>
                </wp:positionV>
                <wp:extent cx="5762625" cy="520065"/>
                <wp:effectExtent l="0" t="0" r="9525"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2625" cy="52006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AEE19" id="Rectangle 12" o:spid="_x0000_s1026" alt="&quot;&quot;" style="position:absolute;margin-left:402.55pt;margin-top:-.35pt;width:453.75pt;height:40.95pt;z-index:-2516582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" fillcolor="#bfd4f2 [660]" stroked="f" strokeweight="1pt">
                <w10:wrap anchorx="margin"/>
              </v:rect>
            </w:pict>
          </mc:Fallback>
        </mc:AlternateContent>
      </w:r>
      <w:r w:rsidR="00A2298B" w:rsidRPr="00A2298B">
        <w:rPr>
          <w:rFonts w:cs="Segoe UI"/>
          <w:kern w:val="2"/>
          <w14:ligatures w14:val="standardContextual"/>
        </w:rPr>
        <w:t>funded. This would ensure the approach to payment and financing does not become a limiting factor in improving patient access to health technologies</w:t>
      </w:r>
      <w:r w:rsidR="00A2298B" w:rsidRPr="00265CA5">
        <w:rPr>
          <w:rFonts w:cs="Segoe UI"/>
        </w:rPr>
        <w:t>.</w:t>
      </w:r>
    </w:p>
    <w:p w14:paraId="596D87E5" w14:textId="77777777" w:rsidR="006F191F" w:rsidRPr="009B510C" w:rsidRDefault="006F191F" w:rsidP="009B510C">
      <w:pPr>
        <w:pStyle w:val="Recommendationheading"/>
        <w:ind w:left="0" w:firstLine="0"/>
      </w:pPr>
      <w:r w:rsidRPr="009B510C">
        <w:t>Addressing the implications of high-cost/high-impact health technologies</w:t>
      </w:r>
    </w:p>
    <w:p w14:paraId="5A034CA8" w14:textId="5147077E" w:rsidR="006F191F" w:rsidRDefault="004248DA" w:rsidP="006F191F">
      <w:pPr>
        <w:snapToGrid w:val="0"/>
        <w:spacing w:after="120" w:line="22" w:lineRule="atLeast"/>
        <w:rPr>
          <w:rFonts w:eastAsia="Times New Roman" w:cs="Segoe UI"/>
          <w:kern w:val="24"/>
          <w:lang w:eastAsia="en-AU"/>
        </w:rPr>
      </w:pPr>
      <w:r w:rsidRPr="004248DA">
        <w:rPr>
          <w:rFonts w:eastAsia="Calibri" w:cs="Segoe UI"/>
        </w:rPr>
        <w:t xml:space="preserve">Design a framework that supports using different contract and funding mechanisms to subsidise health technologies, in addition to the standard ‘price per unit’ approach. </w:t>
      </w:r>
    </w:p>
    <w:bookmarkStart w:id="72" w:name="_Toc170210023"/>
    <w:bookmarkStart w:id="73" w:name="_Toc170238473"/>
    <w:p w14:paraId="6953C3BE" w14:textId="61907509" w:rsidR="006D2ABB" w:rsidRDefault="00994E45" w:rsidP="00111447">
      <w:pPr>
        <w:pStyle w:val="Heading3"/>
        <w:spacing w:before="240"/>
      </w:pPr>
      <w:r>
        <w:rPr>
          <w:noProof/>
          <w14:ligatures w14:val="standardContextual"/>
        </w:rPr>
        <mc:AlternateContent>
          <mc:Choice Requires="wps">
            <w:drawing>
              <wp:anchor distT="0" distB="0" distL="114300" distR="114300" simplePos="0" relativeHeight="251658253" behindDoc="1" locked="0" layoutInCell="1" allowOverlap="1" wp14:anchorId="345D6104" wp14:editId="71630911">
                <wp:simplePos x="0" y="0"/>
                <wp:positionH relativeFrom="margin">
                  <wp:align>right</wp:align>
                </wp:positionH>
                <wp:positionV relativeFrom="paragraph">
                  <wp:posOffset>413385</wp:posOffset>
                </wp:positionV>
                <wp:extent cx="5715000" cy="1753235"/>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15000" cy="175323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20765" id="Rectangle 13" o:spid="_x0000_s1026" alt="&quot;&quot;" style="position:absolute;margin-left:398.8pt;margin-top:32.55pt;width:450pt;height:138.05pt;z-index:-25165822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" fillcolor="#bfd4f2 [660]" stroked="f" strokeweight="1pt">
                <w10:wrap anchorx="margin"/>
              </v:rect>
            </w:pict>
          </mc:Fallback>
        </mc:AlternateContent>
      </w:r>
      <w:r w:rsidR="006D2ABB" w:rsidRPr="00C35BE4">
        <w:t>Chapter 5.2: Improving the post-HTA negotiation process</w:t>
      </w:r>
      <w:bookmarkEnd w:id="72"/>
      <w:bookmarkEnd w:id="73"/>
    </w:p>
    <w:p w14:paraId="05A5A0EE" w14:textId="5A1E903E" w:rsidR="00A2298B" w:rsidRDefault="00A2298B" w:rsidP="00522E8B">
      <w:pPr>
        <w:pStyle w:val="Subheading1"/>
        <w:ind w:left="113" w:right="113"/>
      </w:pPr>
      <w:r>
        <w:t>Objectives</w:t>
      </w:r>
    </w:p>
    <w:p w14:paraId="3F84FE3C" w14:textId="3D1C72AF" w:rsidR="00A2298B" w:rsidRPr="00A2298B" w:rsidRDefault="00127766" w:rsidP="00522E8B">
      <w:pPr>
        <w:ind w:left="113" w:right="113"/>
        <w:rPr>
          <w:rFonts w:eastAsia="Calibri" w:cs="Segoe UI"/>
          <w:b/>
          <w:bCs/>
        </w:rPr>
      </w:pPr>
      <w:r>
        <w:t xml:space="preserve">The recommendations in this chapter </w:t>
      </w:r>
      <w:r w:rsidRPr="00216891">
        <w:t xml:space="preserve">are </w:t>
      </w:r>
      <w:r>
        <w:t xml:space="preserve">intended to </w:t>
      </w:r>
      <w:r w:rsidR="00DA414C" w:rsidRPr="00DA414C">
        <w:rPr>
          <w:rFonts w:cs="Segoe UI"/>
          <w:kern w:val="2"/>
          <w14:ligatures w14:val="standardContextual"/>
        </w:rPr>
        <w:t>improve general and specific understanding of the pricing, negotiation and listings processes. Improved visibility and understanding of the processes and any linked policies that affect the way stakeholders engage with the negotiation processes are intended to improve the timeliness and success rate of translating HTA recommendations into subsidised access to health technologies for patients</w:t>
      </w:r>
      <w:r w:rsidR="00A2298B" w:rsidRPr="001E3535">
        <w:rPr>
          <w:rFonts w:cs="Segoe UI"/>
        </w:rPr>
        <w:t>.</w:t>
      </w:r>
    </w:p>
    <w:p w14:paraId="4BA0BB85" w14:textId="77777777" w:rsidR="006F191F" w:rsidRPr="009B510C" w:rsidRDefault="006F191F" w:rsidP="009B510C">
      <w:pPr>
        <w:pStyle w:val="Recommendationheading"/>
        <w:ind w:left="0" w:firstLine="0"/>
      </w:pPr>
      <w:r w:rsidRPr="009B510C">
        <w:t>Pricing offer framework</w:t>
      </w:r>
    </w:p>
    <w:p w14:paraId="7046CC22" w14:textId="0C399597" w:rsidR="006F191F" w:rsidRDefault="00F50050" w:rsidP="006F191F">
      <w:pPr>
        <w:snapToGrid w:val="0"/>
        <w:spacing w:after="120" w:line="22" w:lineRule="atLeast"/>
        <w:rPr>
          <w:rFonts w:eastAsia="Calibri" w:cs="Segoe UI"/>
        </w:rPr>
      </w:pPr>
      <w:r w:rsidRPr="00F50050">
        <w:rPr>
          <w:rFonts w:eastAsia="Calibri" w:cs="Segoe UI"/>
        </w:rPr>
        <w:t>Publish (after appropriate consultation and development) a regularly updated post HTA pricing, negotiation and listing policy framework that provides stakeholders with clarity and visibility about matters relevant to translating a positive HTA recommendation into subsidised access for patients</w:t>
      </w:r>
      <w:r w:rsidR="006F191F" w:rsidRPr="006F191F">
        <w:rPr>
          <w:rFonts w:eastAsia="Calibri" w:cs="Segoe UI"/>
        </w:rPr>
        <w:t xml:space="preserve">. </w:t>
      </w:r>
    </w:p>
    <w:bookmarkStart w:id="74" w:name="_Toc164685824"/>
    <w:bookmarkStart w:id="75" w:name="_Toc164691407"/>
    <w:bookmarkStart w:id="76" w:name="_Toc164696205"/>
    <w:bookmarkStart w:id="77" w:name="_Toc164696351"/>
    <w:bookmarkStart w:id="78" w:name="_Toc164767740"/>
    <w:bookmarkStart w:id="79" w:name="_Toc165473677"/>
    <w:bookmarkStart w:id="80" w:name="_Toc167970520"/>
    <w:bookmarkStart w:id="81" w:name="_Toc170210024"/>
    <w:bookmarkStart w:id="82" w:name="_Toc170238474"/>
    <w:p w14:paraId="0AC13D93" w14:textId="14A4BD36" w:rsidR="00DC7FB2" w:rsidRDefault="00232E93" w:rsidP="00111447">
      <w:pPr>
        <w:pStyle w:val="Heading3"/>
        <w:spacing w:before="240"/>
      </w:pPr>
      <w:r>
        <w:rPr>
          <w:noProof/>
          <w14:ligatures w14:val="standardContextual"/>
        </w:rPr>
        <mc:AlternateContent>
          <mc:Choice Requires="wps">
            <w:drawing>
              <wp:anchor distT="0" distB="0" distL="114300" distR="114300" simplePos="0" relativeHeight="251658254" behindDoc="1" locked="0" layoutInCell="1" allowOverlap="1" wp14:anchorId="55997C23" wp14:editId="7F5FB9C6">
                <wp:simplePos x="0" y="0"/>
                <wp:positionH relativeFrom="margin">
                  <wp:align>right</wp:align>
                </wp:positionH>
                <wp:positionV relativeFrom="paragraph">
                  <wp:posOffset>480695</wp:posOffset>
                </wp:positionV>
                <wp:extent cx="5724525" cy="1081405"/>
                <wp:effectExtent l="0" t="0" r="9525" b="444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24525" cy="108140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9561D" id="Rectangle 14" o:spid="_x0000_s1026" alt="&quot;&quot;" style="position:absolute;margin-left:399.55pt;margin-top:37.85pt;width:450.75pt;height:85.15pt;z-index:-25165822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" fillcolor="#bfd4f2 [660]" stroked="f" strokeweight="1pt">
                <w10:wrap anchorx="margin"/>
              </v:rect>
            </w:pict>
          </mc:Fallback>
        </mc:AlternateContent>
      </w:r>
      <w:r w:rsidR="003E145F" w:rsidRPr="00C35BE4">
        <w:t>Chapter 5.3: The need for regular reassessment of health technologies</w:t>
      </w:r>
      <w:bookmarkEnd w:id="74"/>
      <w:bookmarkEnd w:id="75"/>
      <w:bookmarkEnd w:id="76"/>
      <w:bookmarkEnd w:id="77"/>
      <w:bookmarkEnd w:id="78"/>
      <w:bookmarkEnd w:id="79"/>
      <w:bookmarkEnd w:id="80"/>
      <w:bookmarkEnd w:id="81"/>
      <w:bookmarkEnd w:id="82"/>
    </w:p>
    <w:p w14:paraId="71D9131F" w14:textId="10C94690" w:rsidR="00DA414C" w:rsidRDefault="00DA414C" w:rsidP="00522E8B">
      <w:pPr>
        <w:pStyle w:val="Subheading1"/>
        <w:ind w:left="113" w:right="113"/>
        <w:rPr>
          <w:lang w:eastAsia="en-AU"/>
        </w:rPr>
      </w:pPr>
      <w:r>
        <w:rPr>
          <w:lang w:eastAsia="en-AU"/>
        </w:rPr>
        <w:t>Objectives</w:t>
      </w:r>
    </w:p>
    <w:p w14:paraId="5C317EC4" w14:textId="076880CA" w:rsidR="00DA414C" w:rsidRPr="00DA414C" w:rsidRDefault="00127766" w:rsidP="00522E8B">
      <w:pPr>
        <w:ind w:left="113" w:right="113"/>
      </w:pPr>
      <w:r>
        <w:t xml:space="preserve">The recommendations in this chapter </w:t>
      </w:r>
      <w:r w:rsidRPr="00216891">
        <w:t xml:space="preserve">are </w:t>
      </w:r>
      <w:r>
        <w:t xml:space="preserve">intended to </w:t>
      </w:r>
      <w:r w:rsidR="00352508" w:rsidRPr="00352508">
        <w:rPr>
          <w:rFonts w:cs="Segoe UI"/>
          <w:kern w:val="2"/>
          <w14:ligatures w14:val="standardContextual"/>
        </w:rPr>
        <w:t>supplement the existing purposes and principles of the reassessment programs and improve decision-making relating to ongoing access to and subsidisation of health technologies.</w:t>
      </w:r>
      <w:r w:rsidR="00352508">
        <w:rPr>
          <w:rFonts w:cs="Segoe UI"/>
          <w:kern w:val="2"/>
          <w14:ligatures w14:val="standardContextual"/>
        </w:rPr>
        <w:t xml:space="preserve"> </w:t>
      </w:r>
    </w:p>
    <w:p w14:paraId="671226FD" w14:textId="332BF385" w:rsidR="006F191F" w:rsidRPr="009B510C" w:rsidRDefault="006F191F" w:rsidP="009B510C">
      <w:pPr>
        <w:pStyle w:val="Recommendationheading"/>
        <w:ind w:left="0" w:firstLine="0"/>
      </w:pPr>
      <w:r w:rsidRPr="009B510C">
        <w:t>Updated post-review framework</w:t>
      </w:r>
    </w:p>
    <w:p w14:paraId="3E6EB4D1" w14:textId="37335F80" w:rsidR="006F191F" w:rsidRDefault="007102CE" w:rsidP="006F191F">
      <w:pPr>
        <w:snapToGrid w:val="0"/>
        <w:spacing w:after="120" w:line="22" w:lineRule="atLeast"/>
        <w:rPr>
          <w:rFonts w:eastAsia="Times New Roman" w:cs="Segoe UI"/>
          <w:lang w:eastAsia="en-AU"/>
        </w:rPr>
      </w:pPr>
      <w:r w:rsidRPr="007102CE">
        <w:rPr>
          <w:rFonts w:eastAsia="Calibri" w:cs="Segoe UI"/>
        </w:rPr>
        <w:t>Build on existing health technology review and evaluation arrangements to support regular and periodic examination of the performance, utilisation, displacement, and clinical place of health technologies and include activities supporting reviews throughout a health technology’s post-listing utilisation lifecycle</w:t>
      </w:r>
      <w:r w:rsidR="006F191F" w:rsidRPr="006F191F">
        <w:rPr>
          <w:rFonts w:eastAsia="Times New Roman" w:cs="Segoe UI"/>
          <w:lang w:eastAsia="en-AU"/>
        </w:rPr>
        <w:t xml:space="preserve">. </w:t>
      </w:r>
    </w:p>
    <w:bookmarkStart w:id="83" w:name="_Toc164685825"/>
    <w:bookmarkStart w:id="84" w:name="_Toc164691413"/>
    <w:bookmarkStart w:id="85" w:name="_Toc164696211"/>
    <w:bookmarkStart w:id="86" w:name="_Toc164696357"/>
    <w:bookmarkStart w:id="87" w:name="_Toc164767746"/>
    <w:bookmarkStart w:id="88" w:name="_Toc165473683"/>
    <w:bookmarkStart w:id="89" w:name="_Toc167970521"/>
    <w:bookmarkStart w:id="90" w:name="_Toc170210025"/>
    <w:bookmarkStart w:id="91" w:name="_Toc170238475"/>
    <w:p w14:paraId="29946ED9" w14:textId="14B99F75" w:rsidR="00AC0C4E" w:rsidRDefault="00232E93" w:rsidP="00111447">
      <w:pPr>
        <w:pStyle w:val="Heading3"/>
        <w:spacing w:before="240"/>
      </w:pPr>
      <w:r>
        <w:rPr>
          <w:noProof/>
          <w14:ligatures w14:val="standardContextual"/>
        </w:rPr>
        <w:lastRenderedPageBreak/>
        <mc:AlternateContent>
          <mc:Choice Requires="wps">
            <w:drawing>
              <wp:anchor distT="0" distB="0" distL="114300" distR="114300" simplePos="0" relativeHeight="251658255" behindDoc="1" locked="0" layoutInCell="1" allowOverlap="1" wp14:anchorId="4D9820E9" wp14:editId="1666D0A7">
                <wp:simplePos x="0" y="0"/>
                <wp:positionH relativeFrom="margin">
                  <wp:align>right</wp:align>
                </wp:positionH>
                <wp:positionV relativeFrom="paragraph">
                  <wp:posOffset>605155</wp:posOffset>
                </wp:positionV>
                <wp:extent cx="5743575" cy="1304925"/>
                <wp:effectExtent l="0" t="0" r="9525" b="9525"/>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30492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7BB63" id="Rectangle 15" o:spid="_x0000_s1026" alt="&quot;&quot;" style="position:absolute;margin-left:401.05pt;margin-top:47.65pt;width:452.25pt;height:102.75pt;z-index:-25165822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" fillcolor="#bfd4f2 [660]" stroked="f" strokeweight="1pt">
                <w10:wrap anchorx="margin"/>
              </v:rect>
            </w:pict>
          </mc:Fallback>
        </mc:AlternateContent>
      </w:r>
      <w:r w:rsidR="00AC0C4E" w:rsidRPr="00C35BE4">
        <w:t>Chapter 5.4: Practical approaches to managing uncertainty and risk, while supporting patient access to health technologies</w:t>
      </w:r>
      <w:bookmarkEnd w:id="83"/>
      <w:bookmarkEnd w:id="84"/>
      <w:bookmarkEnd w:id="85"/>
      <w:bookmarkEnd w:id="86"/>
      <w:bookmarkEnd w:id="87"/>
      <w:bookmarkEnd w:id="88"/>
      <w:bookmarkEnd w:id="89"/>
      <w:bookmarkEnd w:id="90"/>
      <w:bookmarkEnd w:id="91"/>
    </w:p>
    <w:p w14:paraId="382D5D8B" w14:textId="0E34A564" w:rsidR="008F2C89" w:rsidRDefault="008F2C89" w:rsidP="00522E8B">
      <w:pPr>
        <w:pStyle w:val="Subheading1"/>
        <w:ind w:left="113" w:right="113"/>
      </w:pPr>
      <w:r>
        <w:t>Objectives</w:t>
      </w:r>
    </w:p>
    <w:p w14:paraId="3D4C6E39" w14:textId="4F21775C" w:rsidR="008F2C89" w:rsidRPr="008F2C89" w:rsidRDefault="00127766" w:rsidP="00522E8B">
      <w:pPr>
        <w:keepNext/>
        <w:ind w:left="113" w:right="113"/>
        <w:rPr>
          <w:rFonts w:eastAsiaTheme="majorEastAsia" w:cs="Segoe UI"/>
        </w:rPr>
      </w:pPr>
      <w:r>
        <w:t xml:space="preserve">The recommendations in this chapter </w:t>
      </w:r>
      <w:r w:rsidR="008F2C89" w:rsidRPr="008F2C89">
        <w:rPr>
          <w:rFonts w:cs="Segoe UI"/>
          <w:kern w:val="2"/>
          <w14:ligatures w14:val="standardContextual"/>
        </w:rPr>
        <w:t>are intended to support stakeholders engaging with, and managing, uncertainty and risk differently in health technology negotiations and access, so that the process and approach is not a barrier to more timely patient access to important health technologies</w:t>
      </w:r>
      <w:r w:rsidR="008F2C89">
        <w:rPr>
          <w:rFonts w:cs="Segoe UI"/>
          <w:kern w:val="2"/>
          <w14:ligatures w14:val="standardContextual"/>
        </w:rPr>
        <w:t>.</w:t>
      </w:r>
      <w:r w:rsidR="008F2C89" w:rsidRPr="00A40CA6">
        <w:rPr>
          <w:rFonts w:eastAsiaTheme="majorEastAsia" w:cs="Segoe UI"/>
        </w:rPr>
        <w:t xml:space="preserve"> </w:t>
      </w:r>
    </w:p>
    <w:p w14:paraId="381B87E6" w14:textId="77777777" w:rsidR="006F191F" w:rsidRPr="009B510C" w:rsidRDefault="006F191F" w:rsidP="009B510C">
      <w:pPr>
        <w:pStyle w:val="Recommendationheading"/>
        <w:ind w:left="0" w:firstLine="0"/>
      </w:pPr>
      <w:r w:rsidRPr="009B510C">
        <w:t xml:space="preserve">Managed entry agreements </w:t>
      </w:r>
    </w:p>
    <w:p w14:paraId="13395175" w14:textId="3727A98A" w:rsidR="006F191F" w:rsidRDefault="00394B21" w:rsidP="006F191F">
      <w:pPr>
        <w:snapToGrid w:val="0"/>
        <w:spacing w:after="120" w:line="22" w:lineRule="atLeast"/>
        <w:rPr>
          <w:rFonts w:eastAsia="Calibri" w:cs="Segoe UI"/>
        </w:rPr>
      </w:pPr>
      <w:r w:rsidRPr="00394B21">
        <w:rPr>
          <w:rFonts w:eastAsia="Calibri" w:cs="Segoe UI"/>
        </w:rPr>
        <w:t>Revise the policy and guidance framework of managed entry agreements, to provide more flexibility for sponsors and the Commonwealth to address identified uncertainties while better supporting timely access to health technologies for patients</w:t>
      </w:r>
      <w:r w:rsidR="006F191F" w:rsidRPr="006F191F">
        <w:rPr>
          <w:rFonts w:eastAsia="Calibri" w:cs="Segoe UI"/>
        </w:rPr>
        <w:t xml:space="preserve">. </w:t>
      </w:r>
    </w:p>
    <w:p w14:paraId="18F6B33F" w14:textId="77777777" w:rsidR="006F191F" w:rsidRPr="009B510C" w:rsidRDefault="006F191F" w:rsidP="009B510C">
      <w:pPr>
        <w:pStyle w:val="Recommendationheading"/>
        <w:ind w:left="0" w:firstLine="0"/>
      </w:pPr>
      <w:r w:rsidRPr="009B510C">
        <w:t>Bridging funding program</w:t>
      </w:r>
    </w:p>
    <w:p w14:paraId="4B474523" w14:textId="14176EA8" w:rsidR="006F191F" w:rsidRDefault="00452737" w:rsidP="006F191F">
      <w:pPr>
        <w:snapToGrid w:val="0"/>
        <w:spacing w:after="120" w:line="22" w:lineRule="atLeast"/>
        <w:rPr>
          <w:rFonts w:eastAsia="Times New Roman" w:cs="Segoe UI"/>
          <w:lang w:eastAsia="en-AU"/>
        </w:rPr>
      </w:pPr>
      <w:r w:rsidRPr="00452737">
        <w:rPr>
          <w:rFonts w:eastAsia="Times New Roman" w:cs="Segoe UI"/>
          <w:lang w:eastAsia="en-AU"/>
        </w:rPr>
        <w:t>Establish a bridging fund to facilitate earlier, temporary subsidised access to eligible therapies of high added therapeutic value that address high unmet clinical need for patients</w:t>
      </w:r>
      <w:r>
        <w:rPr>
          <w:rFonts w:eastAsia="Times New Roman" w:cs="Segoe UI"/>
          <w:lang w:eastAsia="en-AU"/>
        </w:rPr>
        <w:t xml:space="preserve">. </w:t>
      </w:r>
    </w:p>
    <w:bookmarkStart w:id="92" w:name="_Toc165473689"/>
    <w:bookmarkStart w:id="93" w:name="_Toc167970522"/>
    <w:bookmarkStart w:id="94" w:name="_Toc170210026"/>
    <w:bookmarkStart w:id="95" w:name="_Toc170238476"/>
    <w:p w14:paraId="1E383830" w14:textId="614DE148" w:rsidR="00765665" w:rsidRDefault="00232E93" w:rsidP="00111447">
      <w:pPr>
        <w:pStyle w:val="Heading3"/>
        <w:spacing w:before="240"/>
      </w:pPr>
      <w:r>
        <w:rPr>
          <w:noProof/>
          <w14:ligatures w14:val="standardContextual"/>
        </w:rPr>
        <mc:AlternateContent>
          <mc:Choice Requires="wps">
            <w:drawing>
              <wp:anchor distT="0" distB="0" distL="114300" distR="114300" simplePos="0" relativeHeight="251658256" behindDoc="1" locked="0" layoutInCell="1" allowOverlap="1" wp14:anchorId="5AB7055D" wp14:editId="015F438E">
                <wp:simplePos x="0" y="0"/>
                <wp:positionH relativeFrom="margin">
                  <wp:align>right</wp:align>
                </wp:positionH>
                <wp:positionV relativeFrom="paragraph">
                  <wp:posOffset>944245</wp:posOffset>
                </wp:positionV>
                <wp:extent cx="5724525" cy="1538605"/>
                <wp:effectExtent l="0" t="0" r="9525" b="4445"/>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24525" cy="153860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DABE8" id="Rectangle 16" o:spid="_x0000_s1026" alt="&quot;&quot;" style="position:absolute;margin-left:399.55pt;margin-top:74.35pt;width:450.75pt;height:121.15pt;z-index:-25165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" fillcolor="#bfd4f2 [660]" stroked="f" strokeweight="1pt">
                <w10:wrap anchorx="margin"/>
              </v:rect>
            </w:pict>
          </mc:Fallback>
        </mc:AlternateContent>
      </w:r>
      <w:r w:rsidR="00765665" w:rsidRPr="00C35BE4">
        <w:t>Chapter 5.5: Antimicrobial health technologies – a multifaceted approach to funding, purchasing and managing uncertainty to improve patient access and availability</w:t>
      </w:r>
      <w:bookmarkEnd w:id="92"/>
      <w:bookmarkEnd w:id="93"/>
      <w:bookmarkEnd w:id="94"/>
      <w:bookmarkEnd w:id="95"/>
    </w:p>
    <w:p w14:paraId="7F7736A9" w14:textId="55EC322E" w:rsidR="009828CB" w:rsidRDefault="009828CB" w:rsidP="00522E8B">
      <w:pPr>
        <w:pStyle w:val="Subheading1"/>
        <w:ind w:left="113" w:right="113"/>
      </w:pPr>
      <w:r>
        <w:t>Objectives</w:t>
      </w:r>
    </w:p>
    <w:p w14:paraId="174CFC49" w14:textId="07FA97CC" w:rsidR="009828CB" w:rsidRPr="009828CB" w:rsidRDefault="00127766" w:rsidP="00522E8B">
      <w:pPr>
        <w:ind w:left="113" w:right="113"/>
        <w:rPr>
          <w:rFonts w:eastAsia="Calibri" w:cs="Segoe UI"/>
          <w:kern w:val="2"/>
          <w14:ligatures w14:val="standardContextual"/>
        </w:rPr>
      </w:pPr>
      <w:r>
        <w:t xml:space="preserve">The recommendations in this chapter seek </w:t>
      </w:r>
      <w:r w:rsidR="009828CB" w:rsidRPr="009828CB">
        <w:rPr>
          <w:rFonts w:cs="Segoe UI"/>
          <w:kern w:val="2"/>
          <w14:ligatures w14:val="standardContextual"/>
        </w:rPr>
        <w:t>implement</w:t>
      </w:r>
      <w:r>
        <w:rPr>
          <w:rFonts w:cs="Segoe UI"/>
          <w:kern w:val="2"/>
          <w14:ligatures w14:val="standardContextual"/>
        </w:rPr>
        <w:t>ation of</w:t>
      </w:r>
      <w:r w:rsidR="009828CB" w:rsidRPr="009828CB">
        <w:rPr>
          <w:rFonts w:cs="Segoe UI"/>
          <w:kern w:val="2"/>
          <w14:ligatures w14:val="standardContextual"/>
        </w:rPr>
        <w:t xml:space="preserve"> practical changes and investments that improve incentives to develop new antimicrobials and contribute to the global fight against AMR. It recognises that addressing the need for health technologies to fight AMR is an exceptionally complex multifaceted issue that requires a multifaceted approach</w:t>
      </w:r>
      <w:r w:rsidR="009828CB">
        <w:rPr>
          <w:rFonts w:cs="Segoe UI"/>
          <w:kern w:val="2"/>
          <w14:ligatures w14:val="standardContextual"/>
        </w:rPr>
        <w:t>.</w:t>
      </w:r>
    </w:p>
    <w:p w14:paraId="083433F9" w14:textId="5252C0E7" w:rsidR="006F191F" w:rsidRPr="009B510C" w:rsidRDefault="006F191F" w:rsidP="009B510C">
      <w:pPr>
        <w:pStyle w:val="Recommendationheading"/>
        <w:ind w:left="0" w:firstLine="0"/>
      </w:pPr>
      <w:r w:rsidRPr="009B510C">
        <w:t xml:space="preserve">Approaches to incentivise development of health technologies that address antimicrobial resistance </w:t>
      </w:r>
    </w:p>
    <w:p w14:paraId="707600D7" w14:textId="77777777" w:rsidR="00054D32" w:rsidRPr="00054D32" w:rsidRDefault="00054D32" w:rsidP="00054D32">
      <w:pPr>
        <w:snapToGrid w:val="0"/>
        <w:spacing w:after="120" w:line="22" w:lineRule="atLeast"/>
        <w:rPr>
          <w:rFonts w:eastAsia="Calibri" w:cs="Segoe UI"/>
          <w:kern w:val="2"/>
          <w14:ligatures w14:val="standardContextual"/>
        </w:rPr>
      </w:pPr>
      <w:r w:rsidRPr="00054D32">
        <w:rPr>
          <w:rFonts w:eastAsia="Calibri" w:cs="Segoe UI"/>
          <w:kern w:val="2"/>
          <w14:ligatures w14:val="standardContextual"/>
        </w:rPr>
        <w:t>Implement measures to incentivise the development of antimicrobials including:</w:t>
      </w:r>
    </w:p>
    <w:p w14:paraId="7A0B251F" w14:textId="5650376D" w:rsidR="00054D32" w:rsidRPr="00054D32" w:rsidRDefault="00054D32" w:rsidP="00D30EB9">
      <w:pPr>
        <w:numPr>
          <w:ilvl w:val="0"/>
          <w:numId w:val="2"/>
        </w:numPr>
        <w:snapToGrid w:val="0"/>
        <w:spacing w:line="22" w:lineRule="atLeast"/>
        <w:ind w:left="714" w:hanging="357"/>
        <w:contextualSpacing/>
        <w:rPr>
          <w:rFonts w:eastAsia="Calibri" w:cs="Segoe UI"/>
          <w:kern w:val="2"/>
          <w14:ligatures w14:val="standardContextual"/>
        </w:rPr>
      </w:pPr>
      <w:r w:rsidRPr="00054D32">
        <w:rPr>
          <w:rFonts w:eastAsia="Calibri" w:cs="Segoe UI"/>
          <w:kern w:val="2"/>
          <w14:ligatures w14:val="standardContextual"/>
        </w:rPr>
        <w:t xml:space="preserve">exempting them from HTA fee requirements </w:t>
      </w:r>
    </w:p>
    <w:p w14:paraId="189C218E" w14:textId="5E6B37B3" w:rsidR="00054D32" w:rsidRPr="00054D32" w:rsidRDefault="00054D32" w:rsidP="00D30EB9">
      <w:pPr>
        <w:numPr>
          <w:ilvl w:val="0"/>
          <w:numId w:val="2"/>
        </w:numPr>
        <w:snapToGrid w:val="0"/>
        <w:spacing w:line="22" w:lineRule="atLeast"/>
        <w:ind w:left="714" w:hanging="357"/>
        <w:contextualSpacing/>
        <w:rPr>
          <w:rFonts w:eastAsia="Calibri" w:cs="Segoe UI"/>
          <w:kern w:val="2"/>
          <w14:ligatures w14:val="standardContextual"/>
        </w:rPr>
      </w:pPr>
      <w:r w:rsidRPr="00054D32">
        <w:rPr>
          <w:rFonts w:eastAsia="Calibri" w:cs="Segoe UI"/>
          <w:kern w:val="2"/>
          <w14:ligatures w14:val="standardContextual"/>
        </w:rPr>
        <w:tab/>
        <w:t>developing a framework to inform changes to HTA policy and methods for antimicrobials</w:t>
      </w:r>
    </w:p>
    <w:p w14:paraId="5719C26E" w14:textId="1533F7A7" w:rsidR="00054D32" w:rsidRDefault="00054D32" w:rsidP="00D30EB9">
      <w:pPr>
        <w:numPr>
          <w:ilvl w:val="0"/>
          <w:numId w:val="2"/>
        </w:numPr>
        <w:snapToGrid w:val="0"/>
        <w:spacing w:line="22" w:lineRule="atLeast"/>
        <w:ind w:left="714" w:hanging="357"/>
        <w:contextualSpacing/>
        <w:rPr>
          <w:rFonts w:eastAsia="Calibri" w:cs="Segoe UI"/>
          <w:kern w:val="2"/>
          <w14:ligatures w14:val="standardContextual"/>
        </w:rPr>
      </w:pPr>
      <w:r w:rsidRPr="00054D32">
        <w:rPr>
          <w:rFonts w:eastAsia="Calibri" w:cs="Segoe UI"/>
          <w:kern w:val="2"/>
          <w14:ligatures w14:val="standardContextual"/>
        </w:rPr>
        <w:tab/>
        <w:t>designing a flexible reimbursement policy for antimicrobials, including examining and testing multiple payment and incentive models including establishing a subscription model to fund novel antimicrobials in the short term</w:t>
      </w:r>
      <w:r>
        <w:rPr>
          <w:rFonts w:eastAsia="Calibri" w:cs="Segoe UI"/>
          <w:kern w:val="2"/>
          <w14:ligatures w14:val="standardContextual"/>
        </w:rPr>
        <w:t>.</w:t>
      </w:r>
    </w:p>
    <w:p w14:paraId="6037E968" w14:textId="3C8193D2" w:rsidR="006F191F" w:rsidRPr="00C35BE4" w:rsidRDefault="006F191F" w:rsidP="00053079">
      <w:pPr>
        <w:pStyle w:val="Heading2"/>
      </w:pPr>
      <w:bookmarkStart w:id="96" w:name="_Toc170210027"/>
      <w:bookmarkStart w:id="97" w:name="_Toc170238477"/>
      <w:bookmarkStart w:id="98" w:name="_Toc172030763"/>
      <w:r w:rsidRPr="006F191F">
        <w:lastRenderedPageBreak/>
        <w:t>C</w:t>
      </w:r>
      <w:r w:rsidR="00802012">
        <w:t>hapter</w:t>
      </w:r>
      <w:r w:rsidRPr="006F191F">
        <w:t xml:space="preserve"> 6: Transparency and stakeholder involvement</w:t>
      </w:r>
      <w:bookmarkEnd w:id="96"/>
      <w:bookmarkEnd w:id="97"/>
      <w:bookmarkEnd w:id="98"/>
    </w:p>
    <w:bookmarkStart w:id="99" w:name="_Toc164685831"/>
    <w:bookmarkStart w:id="100" w:name="_Toc164691434"/>
    <w:bookmarkStart w:id="101" w:name="_Toc164696232"/>
    <w:bookmarkStart w:id="102" w:name="_Toc164696378"/>
    <w:bookmarkStart w:id="103" w:name="_Toc164767768"/>
    <w:bookmarkStart w:id="104" w:name="_Toc165473698"/>
    <w:bookmarkStart w:id="105" w:name="_Toc167970525"/>
    <w:bookmarkStart w:id="106" w:name="_Toc170210028"/>
    <w:bookmarkStart w:id="107" w:name="_Toc170238478"/>
    <w:p w14:paraId="4BEE4E2A" w14:textId="6849BD73" w:rsidR="00AC086A" w:rsidRDefault="00E20049" w:rsidP="002E38CE">
      <w:pPr>
        <w:pStyle w:val="Heading3"/>
      </w:pPr>
      <w:r>
        <w:rPr>
          <w:noProof/>
          <w14:ligatures w14:val="standardContextual"/>
        </w:rPr>
        <mc:AlternateContent>
          <mc:Choice Requires="wps">
            <w:drawing>
              <wp:anchor distT="0" distB="0" distL="114300" distR="114300" simplePos="0" relativeHeight="251658257" behindDoc="1" locked="0" layoutInCell="1" allowOverlap="1" wp14:anchorId="41F974A7" wp14:editId="3EAF4A7F">
                <wp:simplePos x="0" y="0"/>
                <wp:positionH relativeFrom="margin">
                  <wp:align>right</wp:align>
                </wp:positionH>
                <wp:positionV relativeFrom="paragraph">
                  <wp:posOffset>608331</wp:posOffset>
                </wp:positionV>
                <wp:extent cx="5724525" cy="2628900"/>
                <wp:effectExtent l="0" t="0" r="9525"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24525" cy="262890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6154B" id="Rectangle 17" o:spid="_x0000_s1026" alt="&quot;&quot;" style="position:absolute;margin-left:399.55pt;margin-top:47.9pt;width:450.75pt;height:207pt;z-index:-25165822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" fillcolor="#bfd4f2 [660]" stroked="f" strokeweight="1pt">
                <w10:wrap anchorx="margin"/>
              </v:rect>
            </w:pict>
          </mc:Fallback>
        </mc:AlternateContent>
      </w:r>
      <w:r w:rsidR="00AC086A" w:rsidRPr="00C35BE4">
        <w:t>Chapter 6.1: Transparency and communication of HTA pathways, processes and decisions</w:t>
      </w:r>
      <w:bookmarkEnd w:id="99"/>
      <w:bookmarkEnd w:id="100"/>
      <w:bookmarkEnd w:id="101"/>
      <w:bookmarkEnd w:id="102"/>
      <w:bookmarkEnd w:id="103"/>
      <w:bookmarkEnd w:id="104"/>
      <w:bookmarkEnd w:id="105"/>
      <w:bookmarkEnd w:id="106"/>
      <w:bookmarkEnd w:id="107"/>
    </w:p>
    <w:p w14:paraId="18F81852" w14:textId="2D95D644" w:rsidR="005A21FA" w:rsidRDefault="005A21FA" w:rsidP="00522E8B">
      <w:pPr>
        <w:pStyle w:val="Subheading1"/>
        <w:ind w:left="113" w:right="113"/>
      </w:pPr>
      <w:r>
        <w:t>Objectives</w:t>
      </w:r>
    </w:p>
    <w:p w14:paraId="490D2959" w14:textId="339E33D8" w:rsidR="005A21FA" w:rsidRPr="005A21FA" w:rsidRDefault="00127766" w:rsidP="00522E8B">
      <w:pPr>
        <w:ind w:left="113" w:right="113"/>
        <w:rPr>
          <w:rFonts w:eastAsia="Calibri" w:cs="Segoe UI"/>
          <w:kern w:val="2"/>
          <w14:ligatures w14:val="standardContextual"/>
        </w:rPr>
      </w:pPr>
      <w:r>
        <w:t xml:space="preserve">The recommendations in this chapter are intended to </w:t>
      </w:r>
      <w:r w:rsidR="005A21FA" w:rsidRPr="005A21FA">
        <w:rPr>
          <w:rFonts w:cs="Segoe UI"/>
          <w:kern w:val="2"/>
          <w14:ligatures w14:val="standardContextual"/>
        </w:rPr>
        <w:t>improve communication and transparency by providing relevant, accessible information about HTA policy, processes, submissions and outcomes. This will enable the diverse range of stakeholders with differing perspectives and knowledge of the HTA system to fully participate and understand decisions that impact them. This is intended not only to improve HTA outcomes but also enable consumers to have more realistic expectation of the proposed treatment benefits and populations of a proposed therapy to make informed decisions. The recommendations will also improve transparency on the progress of individual health technologies through the HTA system and overall system performance</w:t>
      </w:r>
      <w:r w:rsidR="005A21FA">
        <w:rPr>
          <w:rFonts w:cs="Segoe UI"/>
          <w:kern w:val="2"/>
          <w14:ligatures w14:val="standardContextual"/>
        </w:rPr>
        <w:t xml:space="preserve">. </w:t>
      </w:r>
    </w:p>
    <w:p w14:paraId="5C021658" w14:textId="77777777" w:rsidR="006F191F" w:rsidRPr="009B510C" w:rsidRDefault="006F191F" w:rsidP="009B510C">
      <w:pPr>
        <w:pStyle w:val="Recommendationheading"/>
        <w:ind w:left="0" w:firstLine="0"/>
      </w:pPr>
      <w:r w:rsidRPr="009B510C">
        <w:t>Publishing plain language summaries</w:t>
      </w:r>
    </w:p>
    <w:p w14:paraId="57200675" w14:textId="1BB1B0A0" w:rsidR="006F191F" w:rsidRPr="006F191F" w:rsidRDefault="004D5BB4" w:rsidP="006F191F">
      <w:pPr>
        <w:snapToGrid w:val="0"/>
        <w:spacing w:after="120" w:line="22" w:lineRule="atLeast"/>
        <w:rPr>
          <w:rFonts w:eastAsia="Calibri" w:cs="Segoe UI"/>
        </w:rPr>
      </w:pPr>
      <w:r w:rsidRPr="004D5BB4">
        <w:rPr>
          <w:rFonts w:eastAsia="Calibri" w:cs="Segoe UI"/>
        </w:rPr>
        <w:t>Provide plain language summaries of Pharmaceutical Benefits Advisory Committee submissions (developed by each submission’s sponsor and the Department of Health and Aged Care in collaboration) at the time of publishing the P</w:t>
      </w:r>
      <w:r w:rsidR="00D24602">
        <w:rPr>
          <w:rFonts w:eastAsia="Calibri" w:cs="Segoe UI"/>
        </w:rPr>
        <w:t xml:space="preserve">harmaceutical </w:t>
      </w:r>
      <w:r w:rsidRPr="004D5BB4">
        <w:rPr>
          <w:rFonts w:eastAsia="Calibri" w:cs="Segoe UI"/>
        </w:rPr>
        <w:t>B</w:t>
      </w:r>
      <w:r w:rsidR="00D24602">
        <w:rPr>
          <w:rFonts w:eastAsia="Calibri" w:cs="Segoe UI"/>
        </w:rPr>
        <w:t xml:space="preserve">enefits </w:t>
      </w:r>
      <w:r w:rsidRPr="004D5BB4">
        <w:rPr>
          <w:rFonts w:eastAsia="Calibri" w:cs="Segoe UI"/>
        </w:rPr>
        <w:t>A</w:t>
      </w:r>
      <w:r w:rsidR="00D24602">
        <w:rPr>
          <w:rFonts w:eastAsia="Calibri" w:cs="Segoe UI"/>
        </w:rPr>
        <w:t xml:space="preserve">dvisory </w:t>
      </w:r>
      <w:r w:rsidRPr="004D5BB4">
        <w:rPr>
          <w:rFonts w:eastAsia="Calibri" w:cs="Segoe UI"/>
        </w:rPr>
        <w:t>C</w:t>
      </w:r>
      <w:r w:rsidR="00D24602">
        <w:rPr>
          <w:rFonts w:eastAsia="Calibri" w:cs="Segoe UI"/>
        </w:rPr>
        <w:t>ommittee</w:t>
      </w:r>
      <w:r w:rsidRPr="004D5BB4">
        <w:rPr>
          <w:rFonts w:eastAsia="Calibri" w:cs="Segoe UI"/>
        </w:rPr>
        <w:t xml:space="preserve"> agenda so that consumers have enough information to participate in the HTA and understand the expected benefit of the therapy and the proposed population, without ambiguity</w:t>
      </w:r>
      <w:r w:rsidR="006F191F" w:rsidRPr="006F191F">
        <w:rPr>
          <w:rFonts w:eastAsia="Calibri" w:cs="Segoe UI"/>
        </w:rPr>
        <w:t>.</w:t>
      </w:r>
    </w:p>
    <w:p w14:paraId="02A4A434" w14:textId="473B706E" w:rsidR="006F191F" w:rsidRPr="009B510C" w:rsidRDefault="00E64479" w:rsidP="009B510C">
      <w:pPr>
        <w:pStyle w:val="Recommendationheading"/>
        <w:ind w:left="0" w:firstLine="0"/>
      </w:pPr>
      <w:r w:rsidRPr="00E64479">
        <w:t xml:space="preserve">Improving the HTA website including the development of a dashboard </w:t>
      </w:r>
    </w:p>
    <w:p w14:paraId="0CA1EEDD" w14:textId="77777777" w:rsidR="001C5910" w:rsidRPr="001C5910" w:rsidRDefault="001C5910" w:rsidP="001C5910">
      <w:pPr>
        <w:snapToGrid w:val="0"/>
        <w:spacing w:after="120" w:line="22" w:lineRule="atLeast"/>
        <w:rPr>
          <w:rFonts w:eastAsia="Calibri" w:cs="Segoe UI"/>
        </w:rPr>
      </w:pPr>
      <w:r w:rsidRPr="001C5910">
        <w:rPr>
          <w:rFonts w:eastAsia="Calibri" w:cs="Segoe UI"/>
        </w:rPr>
        <w:t>Enhance the HTA website by improving navigation, using accessible language and tailored information for stakeholders with differing levels of HTA experience, and providing information in a range of formats such as examples and case studies.</w:t>
      </w:r>
    </w:p>
    <w:p w14:paraId="782676FE" w14:textId="0C5A887B" w:rsidR="006F191F" w:rsidRDefault="001C5910" w:rsidP="001C5910">
      <w:pPr>
        <w:snapToGrid w:val="0"/>
        <w:spacing w:after="120" w:line="22" w:lineRule="atLeast"/>
        <w:rPr>
          <w:rFonts w:eastAsia="Calibri" w:cs="Segoe UI"/>
        </w:rPr>
      </w:pPr>
      <w:r w:rsidRPr="001C5910">
        <w:rPr>
          <w:rFonts w:eastAsia="Calibri" w:cs="Segoe UI"/>
        </w:rPr>
        <w:t>Develop a user-friendly data-driven dashboard that makes it easier to find out about HTA processes, outcomes and performance</w:t>
      </w:r>
      <w:r>
        <w:rPr>
          <w:rFonts w:eastAsia="Calibri" w:cs="Segoe UI"/>
        </w:rPr>
        <w:t xml:space="preserve">. </w:t>
      </w:r>
    </w:p>
    <w:bookmarkStart w:id="108" w:name="_Toc164685832"/>
    <w:bookmarkStart w:id="109" w:name="_Toc164691441"/>
    <w:bookmarkStart w:id="110" w:name="_Toc164696238"/>
    <w:bookmarkStart w:id="111" w:name="_Toc164696384"/>
    <w:bookmarkStart w:id="112" w:name="_Toc164767773"/>
    <w:bookmarkStart w:id="113" w:name="_Toc165473704"/>
    <w:bookmarkStart w:id="114" w:name="_Toc167970526"/>
    <w:bookmarkStart w:id="115" w:name="_Toc170210029"/>
    <w:bookmarkStart w:id="116" w:name="_Toc170238479"/>
    <w:p w14:paraId="2025287F" w14:textId="58918D36" w:rsidR="00126F8B" w:rsidRDefault="00232E93" w:rsidP="00111447">
      <w:pPr>
        <w:pStyle w:val="Heading3"/>
        <w:spacing w:before="240"/>
      </w:pPr>
      <w:r>
        <w:rPr>
          <w:noProof/>
          <w14:ligatures w14:val="standardContextual"/>
        </w:rPr>
        <mc:AlternateContent>
          <mc:Choice Requires="wps">
            <w:drawing>
              <wp:anchor distT="0" distB="0" distL="114300" distR="114300" simplePos="0" relativeHeight="251658258" behindDoc="1" locked="0" layoutInCell="1" allowOverlap="1" wp14:anchorId="01B55DC8" wp14:editId="65C9AE8C">
                <wp:simplePos x="0" y="0"/>
                <wp:positionH relativeFrom="margin">
                  <wp:align>right</wp:align>
                </wp:positionH>
                <wp:positionV relativeFrom="paragraph">
                  <wp:posOffset>688976</wp:posOffset>
                </wp:positionV>
                <wp:extent cx="5743575" cy="1504950"/>
                <wp:effectExtent l="0" t="0" r="9525"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50495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79328" id="Rectangle 18" o:spid="_x0000_s1026" alt="&quot;&quot;" style="position:absolute;margin-left:401.05pt;margin-top:54.25pt;width:452.25pt;height:118.5pt;z-index:-25165822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" fillcolor="#bfd4f2 [660]" stroked="f" strokeweight="1pt">
                <w10:wrap anchorx="margin"/>
              </v:rect>
            </w:pict>
          </mc:Fallback>
        </mc:AlternateContent>
      </w:r>
      <w:r w:rsidR="00126F8B" w:rsidRPr="00C35BE4">
        <w:t>Chapter 6.2: Consumer, clinical and other stakeholder involvement and consideration in HTA</w:t>
      </w:r>
      <w:bookmarkEnd w:id="108"/>
      <w:bookmarkEnd w:id="109"/>
      <w:bookmarkEnd w:id="110"/>
      <w:bookmarkEnd w:id="111"/>
      <w:bookmarkEnd w:id="112"/>
      <w:bookmarkEnd w:id="113"/>
      <w:r w:rsidR="00126F8B" w:rsidRPr="00C35BE4">
        <w:t>s</w:t>
      </w:r>
      <w:bookmarkEnd w:id="114"/>
      <w:bookmarkEnd w:id="115"/>
      <w:bookmarkEnd w:id="116"/>
    </w:p>
    <w:p w14:paraId="64BB51A5" w14:textId="5865E867" w:rsidR="00765585" w:rsidRDefault="00765585" w:rsidP="00522E8B">
      <w:pPr>
        <w:pStyle w:val="Subheading1"/>
        <w:ind w:left="113" w:right="113"/>
      </w:pPr>
      <w:r>
        <w:t>Objectives</w:t>
      </w:r>
    </w:p>
    <w:p w14:paraId="69866AC7" w14:textId="5737AAED" w:rsidR="00765585" w:rsidRPr="00765585" w:rsidRDefault="00127766" w:rsidP="00522E8B">
      <w:pPr>
        <w:ind w:left="113" w:right="113"/>
      </w:pPr>
      <w:r>
        <w:t>The recommendations in this chapter are intended</w:t>
      </w:r>
      <w:r w:rsidRPr="00765585" w:rsidDel="00127766">
        <w:rPr>
          <w:rFonts w:cs="Segoe UI"/>
          <w:kern w:val="2"/>
          <w14:ligatures w14:val="standardContextual"/>
        </w:rPr>
        <w:t xml:space="preserve"> </w:t>
      </w:r>
      <w:r w:rsidR="00765585" w:rsidRPr="00765585">
        <w:rPr>
          <w:rFonts w:cs="Segoe UI"/>
          <w:kern w:val="2"/>
          <w14:ligatures w14:val="standardContextual"/>
        </w:rPr>
        <w:t>to improve communication,</w:t>
      </w:r>
      <w:r>
        <w:rPr>
          <w:rFonts w:cs="Segoe UI"/>
          <w:kern w:val="2"/>
          <w14:ligatures w14:val="standardContextual"/>
        </w:rPr>
        <w:t xml:space="preserve"> ensure</w:t>
      </w:r>
      <w:r w:rsidR="00765585" w:rsidRPr="00765585">
        <w:rPr>
          <w:rFonts w:cs="Segoe UI"/>
          <w:kern w:val="2"/>
          <w14:ligatures w14:val="standardContextual"/>
        </w:rPr>
        <w:t xml:space="preserve"> transparency and stakeholder engagement are multifaceted and person-centred, and include short-, medium- and long-term initiatives. They aim to optimise timely and meaningful engagement by individuals and organisations across the HTA </w:t>
      </w:r>
      <w:r w:rsidR="00232E93">
        <w:rPr>
          <w:noProof/>
          <w14:ligatures w14:val="standardContextual"/>
        </w:rPr>
        <w:lastRenderedPageBreak/>
        <mc:AlternateContent>
          <mc:Choice Requires="wps">
            <w:drawing>
              <wp:anchor distT="0" distB="0" distL="114300" distR="114300" simplePos="0" relativeHeight="251660319" behindDoc="1" locked="0" layoutInCell="1" allowOverlap="1" wp14:anchorId="24643F5F" wp14:editId="053A0FF3">
                <wp:simplePos x="0" y="0"/>
                <wp:positionH relativeFrom="margin">
                  <wp:align>right</wp:align>
                </wp:positionH>
                <wp:positionV relativeFrom="paragraph">
                  <wp:posOffset>-4445</wp:posOffset>
                </wp:positionV>
                <wp:extent cx="5734050" cy="533400"/>
                <wp:effectExtent l="0" t="0" r="0" b="0"/>
                <wp:wrapNone/>
                <wp:docPr id="1141312529" name="Rectangle 11413125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53340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F9718" id="Rectangle 1141312529" o:spid="_x0000_s1026" alt="&quot;&quot;" style="position:absolute;margin-left:400.3pt;margin-top:-.35pt;width:451.5pt;height:42pt;z-index:-25165616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" fillcolor="#bfd4f2 [660]" stroked="f" strokeweight="1pt">
                <w10:wrap anchorx="margin"/>
              </v:rect>
            </w:pict>
          </mc:Fallback>
        </mc:AlternateContent>
      </w:r>
      <w:r w:rsidR="00765585" w:rsidRPr="00765585">
        <w:rPr>
          <w:rFonts w:cs="Segoe UI"/>
          <w:kern w:val="2"/>
          <w14:ligatures w14:val="standardContextual"/>
        </w:rPr>
        <w:t xml:space="preserve">continuum </w:t>
      </w:r>
      <w:proofErr w:type="gramStart"/>
      <w:r w:rsidR="00765585" w:rsidRPr="00765585">
        <w:rPr>
          <w:rFonts w:cs="Segoe UI"/>
          <w:kern w:val="2"/>
          <w14:ligatures w14:val="standardContextual"/>
        </w:rPr>
        <w:t>through the use of</w:t>
      </w:r>
      <w:proofErr w:type="gramEnd"/>
      <w:r w:rsidR="00765585" w:rsidRPr="00765585">
        <w:rPr>
          <w:rFonts w:cs="Segoe UI"/>
          <w:kern w:val="2"/>
          <w14:ligatures w14:val="standardContextual"/>
        </w:rPr>
        <w:t xml:space="preserve"> plain language communications, an end-to-end engagement framework and improved data to monitor progress and performance</w:t>
      </w:r>
      <w:r w:rsidR="00765585">
        <w:rPr>
          <w:rFonts w:cs="Segoe UI"/>
          <w:kern w:val="2"/>
          <w14:ligatures w14:val="standardContextual"/>
        </w:rPr>
        <w:t>.</w:t>
      </w:r>
    </w:p>
    <w:p w14:paraId="76AFEA0C" w14:textId="4BBF4073" w:rsidR="006F191F" w:rsidRPr="009B510C" w:rsidRDefault="006F191F" w:rsidP="009B510C">
      <w:pPr>
        <w:pStyle w:val="Recommendationheading"/>
        <w:ind w:left="0" w:firstLine="0"/>
      </w:pPr>
      <w:r w:rsidRPr="009B510C">
        <w:t>Developing a stakeholder engagement framework</w:t>
      </w:r>
    </w:p>
    <w:p w14:paraId="55B2BE3A" w14:textId="76716B24" w:rsidR="006F191F" w:rsidRPr="006F191F" w:rsidRDefault="00242B53" w:rsidP="006F191F">
      <w:pPr>
        <w:snapToGrid w:val="0"/>
        <w:spacing w:after="120" w:line="22" w:lineRule="atLeast"/>
        <w:rPr>
          <w:rFonts w:eastAsia="Calibri" w:cs="Segoe UI"/>
          <w:b/>
          <w:bCs/>
        </w:rPr>
      </w:pPr>
      <w:r w:rsidRPr="00242B53">
        <w:rPr>
          <w:rFonts w:eastAsia="Calibri" w:cs="Segoe UI"/>
        </w:rPr>
        <w:t>Co-design a stakeholder engagement framework to describe how and why engagement with stakeholders is used across all HTA processes, from horizon scanning to post-market reviews</w:t>
      </w:r>
      <w:r>
        <w:rPr>
          <w:rFonts w:eastAsia="Calibri" w:cs="Segoe UI"/>
        </w:rPr>
        <w:t xml:space="preserve">. </w:t>
      </w:r>
    </w:p>
    <w:p w14:paraId="45389841" w14:textId="77777777" w:rsidR="006F191F" w:rsidRPr="009B510C" w:rsidRDefault="006F191F" w:rsidP="009B510C">
      <w:pPr>
        <w:pStyle w:val="Recommendationheading"/>
        <w:ind w:left="0" w:firstLine="0"/>
      </w:pPr>
      <w:r w:rsidRPr="009B510C">
        <w:t>Improving the involvement of consumers in HTAs</w:t>
      </w:r>
    </w:p>
    <w:p w14:paraId="569479AE" w14:textId="77777777" w:rsidR="00DC17F2" w:rsidRPr="00DC17F2" w:rsidRDefault="00DC17F2" w:rsidP="00DC17F2">
      <w:pPr>
        <w:snapToGrid w:val="0"/>
        <w:spacing w:after="120" w:line="22" w:lineRule="atLeast"/>
        <w:rPr>
          <w:rFonts w:eastAsia="Calibri" w:cs="Segoe UI"/>
        </w:rPr>
      </w:pPr>
      <w:r w:rsidRPr="00DC17F2">
        <w:rPr>
          <w:rFonts w:eastAsia="Calibri" w:cs="Segoe UI"/>
        </w:rPr>
        <w:t xml:space="preserve">Actively engage consumers across the HTA continuum, including by offering support and training. </w:t>
      </w:r>
    </w:p>
    <w:p w14:paraId="135158D1" w14:textId="63E24FE5" w:rsidR="008E4B6C" w:rsidRPr="00765585" w:rsidRDefault="00DC17F2" w:rsidP="00765585">
      <w:pPr>
        <w:snapToGrid w:val="0"/>
        <w:spacing w:after="120" w:line="22" w:lineRule="atLeast"/>
        <w:rPr>
          <w:rFonts w:eastAsia="Calibri" w:cs="Segoe UI"/>
        </w:rPr>
      </w:pPr>
      <w:r w:rsidRPr="00DC17F2">
        <w:rPr>
          <w:rFonts w:eastAsia="Calibri" w:cs="Segoe UI"/>
        </w:rPr>
        <w:t>Update the Pharmaceutical Benefits Advisory Committee Guidelines to request information from sponsors of HTAs about how they engaged with consumers during pre-HTA processes including clinical trial design</w:t>
      </w:r>
      <w:r>
        <w:rPr>
          <w:rFonts w:eastAsia="Calibri" w:cs="Segoe UI"/>
        </w:rPr>
        <w:t xml:space="preserve">. </w:t>
      </w:r>
      <w:r w:rsidR="00765585">
        <w:rPr>
          <w:rFonts w:cs="Segoe UI"/>
          <w:kern w:val="2"/>
          <w14:ligatures w14:val="standardContextual"/>
        </w:rPr>
        <w:t xml:space="preserve"> </w:t>
      </w:r>
    </w:p>
    <w:bookmarkStart w:id="117" w:name="_Toc167970527"/>
    <w:bookmarkStart w:id="118" w:name="_Toc170210030"/>
    <w:bookmarkStart w:id="119" w:name="_Toc170238480"/>
    <w:bookmarkStart w:id="120" w:name="_Toc164767779"/>
    <w:bookmarkStart w:id="121" w:name="_Toc165473710"/>
    <w:bookmarkStart w:id="122" w:name="_Toc164685833"/>
    <w:bookmarkStart w:id="123" w:name="_Toc164691447"/>
    <w:bookmarkStart w:id="124" w:name="_Toc164696244"/>
    <w:bookmarkStart w:id="125" w:name="_Toc164696390"/>
    <w:p w14:paraId="51F8F652" w14:textId="6E496EA9" w:rsidR="002E2B8C" w:rsidRDefault="00994E45" w:rsidP="002E38CE">
      <w:pPr>
        <w:pStyle w:val="Heading3"/>
      </w:pPr>
      <w:r>
        <w:rPr>
          <w:noProof/>
          <w14:ligatures w14:val="standardContextual"/>
        </w:rPr>
        <mc:AlternateContent>
          <mc:Choice Requires="wps">
            <w:drawing>
              <wp:anchor distT="0" distB="0" distL="114300" distR="114300" simplePos="0" relativeHeight="251658259" behindDoc="1" locked="0" layoutInCell="1" allowOverlap="1" wp14:anchorId="5E4ABFFD" wp14:editId="1F827DA6">
                <wp:simplePos x="0" y="0"/>
                <wp:positionH relativeFrom="margin">
                  <wp:align>right</wp:align>
                </wp:positionH>
                <wp:positionV relativeFrom="paragraph">
                  <wp:posOffset>368935</wp:posOffset>
                </wp:positionV>
                <wp:extent cx="5734050" cy="1525905"/>
                <wp:effectExtent l="0" t="0" r="0"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152590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3529D" id="Rectangle 19" o:spid="_x0000_s1026" alt="&quot;&quot;" style="position:absolute;margin-left:400.3pt;margin-top:29.05pt;width:451.5pt;height:120.15pt;z-index:-25165822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" fillcolor="#bfd4f2 [660]" stroked="f" strokeweight="1pt">
                <w10:wrap anchorx="margin"/>
              </v:rect>
            </w:pict>
          </mc:Fallback>
        </mc:AlternateContent>
      </w:r>
      <w:r w:rsidR="002E2B8C" w:rsidRPr="00C35BE4">
        <w:t>Chapter 6.3: Development of an explicit qualitative value</w:t>
      </w:r>
      <w:r w:rsidR="006F127A">
        <w:t>s</w:t>
      </w:r>
      <w:r w:rsidR="002E2B8C" w:rsidRPr="00C35BE4">
        <w:t xml:space="preserve"> framework</w:t>
      </w:r>
      <w:bookmarkEnd w:id="117"/>
      <w:bookmarkEnd w:id="118"/>
      <w:bookmarkEnd w:id="119"/>
      <w:bookmarkEnd w:id="120"/>
      <w:bookmarkEnd w:id="121"/>
      <w:r w:rsidR="002E2B8C" w:rsidRPr="00C35BE4">
        <w:t xml:space="preserve"> </w:t>
      </w:r>
      <w:bookmarkEnd w:id="122"/>
      <w:bookmarkEnd w:id="123"/>
      <w:bookmarkEnd w:id="124"/>
      <w:bookmarkEnd w:id="125"/>
    </w:p>
    <w:p w14:paraId="1BBC1C77" w14:textId="58BD393B" w:rsidR="005977E1" w:rsidRDefault="005977E1" w:rsidP="00522E8B">
      <w:pPr>
        <w:pStyle w:val="Subheading1"/>
        <w:ind w:left="113" w:right="113"/>
      </w:pPr>
      <w:r>
        <w:t>Objectives</w:t>
      </w:r>
    </w:p>
    <w:p w14:paraId="094AF595" w14:textId="0DA52E8D" w:rsidR="005977E1" w:rsidRPr="005977E1" w:rsidRDefault="00127766" w:rsidP="00522E8B">
      <w:pPr>
        <w:keepNext/>
        <w:ind w:left="113" w:right="113"/>
        <w:rPr>
          <w:rFonts w:eastAsia="Calibri" w:cs="Segoe UI"/>
          <w:kern w:val="2"/>
          <w14:ligatures w14:val="standardContextual"/>
        </w:rPr>
      </w:pPr>
      <w:r>
        <w:t>The recommendations in this chapter are intended</w:t>
      </w:r>
      <w:r w:rsidRPr="00765585" w:rsidDel="00127766">
        <w:rPr>
          <w:rFonts w:cs="Segoe UI"/>
          <w:kern w:val="2"/>
          <w14:ligatures w14:val="standardContextual"/>
        </w:rPr>
        <w:t xml:space="preserve"> </w:t>
      </w:r>
      <w:r w:rsidR="005977E1" w:rsidRPr="005977E1">
        <w:rPr>
          <w:rFonts w:cs="Segoe UI"/>
          <w:kern w:val="2"/>
          <w14:ligatures w14:val="standardContextual"/>
        </w:rPr>
        <w:t xml:space="preserve">to ensure that the wider elements HTA advisory committees </w:t>
      </w:r>
      <w:proofErr w:type="gramStart"/>
      <w:r w:rsidR="005977E1" w:rsidRPr="005977E1">
        <w:rPr>
          <w:rFonts w:cs="Segoe UI"/>
          <w:kern w:val="2"/>
          <w14:ligatures w14:val="standardContextual"/>
        </w:rPr>
        <w:t>take into account</w:t>
      </w:r>
      <w:proofErr w:type="gramEnd"/>
      <w:r w:rsidR="005977E1" w:rsidRPr="005977E1">
        <w:rPr>
          <w:rFonts w:cs="Segoe UI"/>
          <w:kern w:val="2"/>
          <w14:ligatures w14:val="standardContextual"/>
        </w:rPr>
        <w:t xml:space="preserve"> in deciding whether a health technology should be funded are visible and applied consistently. The influence of wider elements in committee deliberations should be transparent and clearly described in plain language</w:t>
      </w:r>
      <w:r w:rsidR="005977E1">
        <w:rPr>
          <w:rFonts w:cs="Segoe UI"/>
          <w:kern w:val="2"/>
          <w14:ligatures w14:val="standardContextual"/>
        </w:rPr>
        <w:t xml:space="preserve">. </w:t>
      </w:r>
    </w:p>
    <w:p w14:paraId="00BFCC07" w14:textId="6D955176" w:rsidR="006F191F" w:rsidRPr="009B510C" w:rsidRDefault="006F191F" w:rsidP="009B510C">
      <w:pPr>
        <w:pStyle w:val="Recommendationheading"/>
        <w:ind w:left="0" w:firstLine="0"/>
      </w:pPr>
      <w:r w:rsidRPr="009B510C">
        <w:t xml:space="preserve">Developing an explicit qualitative values framework </w:t>
      </w:r>
    </w:p>
    <w:p w14:paraId="5902CE15" w14:textId="0DCE5F87" w:rsidR="006F191F" w:rsidRDefault="00D86067" w:rsidP="006F191F">
      <w:pPr>
        <w:snapToGrid w:val="0"/>
        <w:spacing w:after="120" w:line="22" w:lineRule="atLeast"/>
        <w:rPr>
          <w:rFonts w:eastAsia="Calibri" w:cs="Segoe UI"/>
        </w:rPr>
      </w:pPr>
      <w:r w:rsidRPr="00D86067">
        <w:rPr>
          <w:rFonts w:eastAsia="Calibri" w:cs="Segoe UI"/>
        </w:rPr>
        <w:t>Support HTA committees to develop, in consultation with stakeholders, explicit guidelines and communications on the elements (beyond clinical effectiveness, cost-effectiveness and financial impact) they consider.</w:t>
      </w:r>
      <w:r>
        <w:rPr>
          <w:rFonts w:eastAsia="Calibri" w:cs="Segoe UI"/>
        </w:rPr>
        <w:t xml:space="preserve"> </w:t>
      </w:r>
    </w:p>
    <w:p w14:paraId="5BA8D58B" w14:textId="2EEC9A23" w:rsidR="006F191F" w:rsidRPr="00C35BE4" w:rsidRDefault="006F191F" w:rsidP="00053079">
      <w:pPr>
        <w:pStyle w:val="Heading2"/>
      </w:pPr>
      <w:bookmarkStart w:id="126" w:name="_Toc170210031"/>
      <w:bookmarkStart w:id="127" w:name="_Toc170238481"/>
      <w:bookmarkStart w:id="128" w:name="_Toc172030764"/>
      <w:r w:rsidRPr="006F191F">
        <w:t>C</w:t>
      </w:r>
      <w:r w:rsidR="00802012">
        <w:t>hapter</w:t>
      </w:r>
      <w:r w:rsidRPr="006F191F">
        <w:t xml:space="preserve"> 7: E</w:t>
      </w:r>
      <w:r w:rsidR="00802012">
        <w:t>nhancing real-world data and real-world evidence for </w:t>
      </w:r>
      <w:r w:rsidRPr="006F191F">
        <w:t>HTA</w:t>
      </w:r>
      <w:bookmarkEnd w:id="126"/>
      <w:r w:rsidR="00802012">
        <w:t>s</w:t>
      </w:r>
      <w:bookmarkEnd w:id="127"/>
      <w:bookmarkEnd w:id="128"/>
    </w:p>
    <w:bookmarkStart w:id="129" w:name="_Toc164685836"/>
    <w:bookmarkStart w:id="130" w:name="_Toc164691454"/>
    <w:bookmarkStart w:id="131" w:name="_Toc164696251"/>
    <w:bookmarkStart w:id="132" w:name="_Toc164696397"/>
    <w:bookmarkStart w:id="133" w:name="_Toc164767786"/>
    <w:bookmarkStart w:id="134" w:name="_Toc165473717"/>
    <w:bookmarkStart w:id="135" w:name="_Toc167970530"/>
    <w:bookmarkStart w:id="136" w:name="_Toc170210032"/>
    <w:bookmarkStart w:id="137" w:name="_Toc170238482"/>
    <w:p w14:paraId="21EE78D1" w14:textId="0B07B02E" w:rsidR="002E1FF4" w:rsidRDefault="00994E45" w:rsidP="002E38CE">
      <w:pPr>
        <w:pStyle w:val="Heading3"/>
      </w:pPr>
      <w:r>
        <w:rPr>
          <w:noProof/>
          <w14:ligatures w14:val="standardContextual"/>
        </w:rPr>
        <mc:AlternateContent>
          <mc:Choice Requires="wps">
            <w:drawing>
              <wp:anchor distT="0" distB="0" distL="114300" distR="114300" simplePos="0" relativeHeight="251658260" behindDoc="1" locked="0" layoutInCell="1" allowOverlap="1" wp14:anchorId="7C2C969F" wp14:editId="6C1B0EC3">
                <wp:simplePos x="0" y="0"/>
                <wp:positionH relativeFrom="margin">
                  <wp:align>right</wp:align>
                </wp:positionH>
                <wp:positionV relativeFrom="paragraph">
                  <wp:posOffset>340360</wp:posOffset>
                </wp:positionV>
                <wp:extent cx="5734050" cy="1828800"/>
                <wp:effectExtent l="0" t="0" r="0" b="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182880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C76AA" id="Rectangle 20" o:spid="_x0000_s1026" alt="&quot;&quot;" style="position:absolute;margin-left:400.3pt;margin-top:26.8pt;width:451.5pt;height:2in;z-index:-2516582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" fillcolor="#bfd4f2 [660]" stroked="f" strokeweight="1pt">
                <w10:wrap anchorx="margin"/>
              </v:rect>
            </w:pict>
          </mc:Fallback>
        </mc:AlternateContent>
      </w:r>
      <w:r w:rsidR="002E1FF4" w:rsidRPr="00C35BE4">
        <w:t>Chapter 7.1: Optimising real-wor</w:t>
      </w:r>
      <w:r w:rsidR="00955510">
        <w:t>l</w:t>
      </w:r>
      <w:r w:rsidR="002E1FF4" w:rsidRPr="00C35BE4">
        <w:t>d data and real</w:t>
      </w:r>
      <w:r w:rsidR="002E1FF4" w:rsidRPr="00C35BE4">
        <w:noBreakHyphen/>
        <w:t>world evidence for HTA</w:t>
      </w:r>
      <w:bookmarkEnd w:id="129"/>
      <w:bookmarkEnd w:id="130"/>
      <w:bookmarkEnd w:id="131"/>
      <w:bookmarkEnd w:id="132"/>
      <w:bookmarkEnd w:id="133"/>
      <w:bookmarkEnd w:id="134"/>
      <w:bookmarkEnd w:id="135"/>
      <w:bookmarkEnd w:id="136"/>
      <w:r w:rsidR="00802012">
        <w:t>s</w:t>
      </w:r>
      <w:bookmarkEnd w:id="137"/>
    </w:p>
    <w:p w14:paraId="23D077CB" w14:textId="30B3C0A2" w:rsidR="000625FD" w:rsidRDefault="000625FD" w:rsidP="00522E8B">
      <w:pPr>
        <w:pStyle w:val="Subheading1"/>
        <w:ind w:left="113" w:right="113"/>
      </w:pPr>
      <w:r>
        <w:t>Objectives</w:t>
      </w:r>
    </w:p>
    <w:p w14:paraId="0F9068E9" w14:textId="14F792A5" w:rsidR="000625FD" w:rsidRPr="005D7271" w:rsidRDefault="00127766" w:rsidP="00522E8B">
      <w:pPr>
        <w:ind w:left="113" w:right="113"/>
        <w:rPr>
          <w:rFonts w:cs="Segoe UI"/>
          <w:kern w:val="2"/>
          <w14:ligatures w14:val="standardContextual"/>
        </w:rPr>
      </w:pPr>
      <w:r>
        <w:t>The recommendations in this chapter are intended</w:t>
      </w:r>
      <w:r w:rsidRPr="00765585" w:rsidDel="00127766">
        <w:rPr>
          <w:rFonts w:cs="Segoe UI"/>
          <w:kern w:val="2"/>
          <w14:ligatures w14:val="standardContextual"/>
        </w:rPr>
        <w:t xml:space="preserve"> </w:t>
      </w:r>
      <w:r w:rsidR="000625FD" w:rsidRPr="005D7271">
        <w:rPr>
          <w:rFonts w:cs="Segoe UI"/>
          <w:kern w:val="2"/>
          <w14:ligatures w14:val="standardContextual"/>
        </w:rPr>
        <w:t xml:space="preserve">to enhance timely access to relevant, quality </w:t>
      </w:r>
      <w:r w:rsidR="004D6E82">
        <w:rPr>
          <w:rFonts w:cs="Segoe UI"/>
          <w:kern w:val="2"/>
          <w14:ligatures w14:val="standardContextual"/>
        </w:rPr>
        <w:t>real-world</w:t>
      </w:r>
      <w:r w:rsidR="0006459B">
        <w:rPr>
          <w:rFonts w:cs="Segoe UI"/>
          <w:kern w:val="2"/>
          <w14:ligatures w14:val="standardContextual"/>
        </w:rPr>
        <w:t xml:space="preserve"> data</w:t>
      </w:r>
      <w:r w:rsidR="000625FD" w:rsidRPr="005D7271">
        <w:rPr>
          <w:rFonts w:cs="Segoe UI"/>
          <w:kern w:val="2"/>
          <w14:ligatures w14:val="standardContextual"/>
        </w:rPr>
        <w:t xml:space="preserve"> and </w:t>
      </w:r>
      <w:r w:rsidR="0006459B">
        <w:rPr>
          <w:rFonts w:cs="Segoe UI"/>
          <w:kern w:val="2"/>
          <w14:ligatures w14:val="standardContextual"/>
        </w:rPr>
        <w:t>real-world evidence</w:t>
      </w:r>
      <w:r w:rsidR="000625FD" w:rsidRPr="005D7271">
        <w:rPr>
          <w:rFonts w:cs="Segoe UI"/>
          <w:kern w:val="2"/>
          <w14:ligatures w14:val="standardContextual"/>
        </w:rPr>
        <w:t xml:space="preserve"> to support:</w:t>
      </w:r>
    </w:p>
    <w:p w14:paraId="32157508" w14:textId="77777777" w:rsidR="000625FD" w:rsidRPr="000625FD" w:rsidRDefault="000625FD" w:rsidP="00522E8B">
      <w:pPr>
        <w:numPr>
          <w:ilvl w:val="0"/>
          <w:numId w:val="2"/>
        </w:numPr>
        <w:snapToGrid w:val="0"/>
        <w:spacing w:line="22" w:lineRule="atLeast"/>
        <w:ind w:left="714" w:right="113" w:hanging="357"/>
        <w:contextualSpacing/>
        <w:rPr>
          <w:rFonts w:eastAsia="Calibri" w:cs="Segoe UI"/>
          <w:kern w:val="2"/>
          <w14:ligatures w14:val="standardContextual"/>
        </w:rPr>
      </w:pPr>
      <w:r w:rsidRPr="000625FD">
        <w:rPr>
          <w:rFonts w:eastAsia="Calibri" w:cs="Segoe UI"/>
          <w:kern w:val="2"/>
          <w14:ligatures w14:val="standardContextual"/>
        </w:rPr>
        <w:t>epidemiological modelling to understand the size and characteristics of the intended treatment population, and current and intended treatment pathway, and to inform the economic model, and overall costs associated with the therapy</w:t>
      </w:r>
    </w:p>
    <w:p w14:paraId="7C378B32" w14:textId="586FA1DC" w:rsidR="000625FD" w:rsidRPr="000625FD" w:rsidRDefault="00127766" w:rsidP="00522E8B">
      <w:pPr>
        <w:numPr>
          <w:ilvl w:val="0"/>
          <w:numId w:val="2"/>
        </w:numPr>
        <w:snapToGrid w:val="0"/>
        <w:spacing w:line="22" w:lineRule="atLeast"/>
        <w:ind w:left="714" w:right="113" w:hanging="357"/>
        <w:contextualSpacing/>
        <w:rPr>
          <w:rFonts w:eastAsia="Calibri" w:cs="Segoe UI"/>
          <w:kern w:val="2"/>
          <w14:ligatures w14:val="standardContextual"/>
        </w:rPr>
      </w:pPr>
      <w:r>
        <w:rPr>
          <w:noProof/>
          <w14:ligatures w14:val="standardContextual"/>
        </w:rPr>
        <w:lastRenderedPageBreak/>
        <mc:AlternateContent>
          <mc:Choice Requires="wps">
            <w:drawing>
              <wp:anchor distT="0" distB="0" distL="114300" distR="114300" simplePos="0" relativeHeight="251658261" behindDoc="1" locked="0" layoutInCell="1" allowOverlap="1" wp14:anchorId="18ACB340" wp14:editId="6512374A">
                <wp:simplePos x="0" y="0"/>
                <wp:positionH relativeFrom="margin">
                  <wp:posOffset>9525</wp:posOffset>
                </wp:positionH>
                <wp:positionV relativeFrom="paragraph">
                  <wp:posOffset>14605</wp:posOffset>
                </wp:positionV>
                <wp:extent cx="5724525" cy="1485900"/>
                <wp:effectExtent l="0" t="0" r="9525" b="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24525" cy="148590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E4425" id="Rectangle 21" o:spid="_x0000_s1026" alt="&quot;&quot;" style="position:absolute;margin-left:.75pt;margin-top:1.15pt;width:450.75pt;height:117pt;z-index:-2516582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" fillcolor="#bfd4f2 [660]" stroked="f" strokeweight="1pt">
                <w10:wrap anchorx="margin"/>
              </v:rect>
            </w:pict>
          </mc:Fallback>
        </mc:AlternateContent>
      </w:r>
      <w:r w:rsidR="000625FD" w:rsidRPr="000625FD">
        <w:rPr>
          <w:rFonts w:eastAsia="Calibri" w:cs="Segoe UI"/>
          <w:kern w:val="2"/>
          <w14:ligatures w14:val="standardContextual"/>
        </w:rPr>
        <w:t xml:space="preserve">assessment of the comparative effectiveness of health technologies proposed for use in Australia, as a supplement to available </w:t>
      </w:r>
      <w:r w:rsidR="00FB466C">
        <w:rPr>
          <w:rFonts w:eastAsia="Calibri" w:cs="Segoe UI"/>
          <w:kern w:val="2"/>
          <w14:ligatures w14:val="standardContextual"/>
        </w:rPr>
        <w:t>random</w:t>
      </w:r>
      <w:r w:rsidR="00020B0F">
        <w:rPr>
          <w:rFonts w:eastAsia="Calibri" w:cs="Segoe UI"/>
          <w:kern w:val="2"/>
          <w14:ligatures w14:val="standardContextual"/>
        </w:rPr>
        <w:t>ised</w:t>
      </w:r>
      <w:r w:rsidR="00FB466C">
        <w:rPr>
          <w:rFonts w:eastAsia="Calibri" w:cs="Segoe UI"/>
          <w:kern w:val="2"/>
          <w14:ligatures w14:val="standardContextual"/>
        </w:rPr>
        <w:t xml:space="preserve"> control</w:t>
      </w:r>
      <w:r w:rsidR="00020B0F">
        <w:rPr>
          <w:rFonts w:eastAsia="Calibri" w:cs="Segoe UI"/>
          <w:kern w:val="2"/>
          <w14:ligatures w14:val="standardContextual"/>
        </w:rPr>
        <w:t>led</w:t>
      </w:r>
      <w:r w:rsidR="00FB466C">
        <w:rPr>
          <w:rFonts w:eastAsia="Calibri" w:cs="Segoe UI"/>
          <w:kern w:val="2"/>
          <w14:ligatures w14:val="standardContextual"/>
        </w:rPr>
        <w:t xml:space="preserve"> trial</w:t>
      </w:r>
      <w:r w:rsidR="000625FD" w:rsidRPr="000625FD">
        <w:rPr>
          <w:rFonts w:eastAsia="Calibri" w:cs="Segoe UI"/>
          <w:kern w:val="2"/>
          <w14:ligatures w14:val="standardContextual"/>
        </w:rPr>
        <w:t xml:space="preserve"> evidence, to assist with resolving uncertainty</w:t>
      </w:r>
    </w:p>
    <w:p w14:paraId="7CC81B69" w14:textId="270726FE" w:rsidR="000625FD" w:rsidRPr="000625FD" w:rsidRDefault="000625FD" w:rsidP="00522E8B">
      <w:pPr>
        <w:numPr>
          <w:ilvl w:val="0"/>
          <w:numId w:val="2"/>
        </w:numPr>
        <w:snapToGrid w:val="0"/>
        <w:spacing w:line="22" w:lineRule="atLeast"/>
        <w:ind w:left="714" w:right="113" w:hanging="357"/>
        <w:contextualSpacing/>
        <w:rPr>
          <w:rFonts w:eastAsia="Calibri" w:cs="Segoe UI"/>
          <w:kern w:val="2"/>
          <w14:ligatures w14:val="standardContextual"/>
        </w:rPr>
      </w:pPr>
      <w:r w:rsidRPr="000625FD">
        <w:rPr>
          <w:rFonts w:eastAsia="Calibri" w:cs="Segoe UI"/>
          <w:kern w:val="2"/>
          <w14:ligatures w14:val="standardContextual"/>
        </w:rPr>
        <w:t xml:space="preserve">review of the usage and performance of health technologies in Australia to ensure that subsidised health technologies are the most appropriate, safe, clinically effective and cost-effective option for their funded indication, and potential suitability for other indications. </w:t>
      </w:r>
    </w:p>
    <w:p w14:paraId="77151999" w14:textId="547F3F7F" w:rsidR="006F191F" w:rsidRPr="009B510C" w:rsidRDefault="006F191F" w:rsidP="00111447">
      <w:pPr>
        <w:pStyle w:val="Recommendationheading"/>
        <w:keepNext/>
        <w:keepLines/>
        <w:ind w:left="0" w:firstLine="0"/>
      </w:pPr>
      <w:r w:rsidRPr="009B510C">
        <w:t>Governance and strategic oversight of real-world data to support HTAs</w:t>
      </w:r>
    </w:p>
    <w:p w14:paraId="257441BB" w14:textId="23EF229B" w:rsidR="00CA596F" w:rsidRPr="00CA596F" w:rsidRDefault="00CA596F" w:rsidP="00111447">
      <w:pPr>
        <w:keepNext/>
        <w:keepLines/>
        <w:snapToGrid w:val="0"/>
        <w:spacing w:after="120" w:line="22" w:lineRule="atLeast"/>
        <w:rPr>
          <w:rFonts w:eastAsia="Calibri" w:cs="Segoe UI"/>
        </w:rPr>
      </w:pPr>
      <w:r w:rsidRPr="00CA596F">
        <w:rPr>
          <w:rFonts w:eastAsia="Calibri" w:cs="Segoe UI"/>
        </w:rPr>
        <w:t xml:space="preserve">Develop an Australian framework to optimise timely access to relevant real-world </w:t>
      </w:r>
      <w:proofErr w:type="gramStart"/>
      <w:r w:rsidRPr="00CA596F">
        <w:rPr>
          <w:rFonts w:eastAsia="Calibri" w:cs="Segoe UI"/>
        </w:rPr>
        <w:t>data  for</w:t>
      </w:r>
      <w:proofErr w:type="gramEnd"/>
      <w:r w:rsidRPr="00CA596F">
        <w:rPr>
          <w:rFonts w:eastAsia="Calibri" w:cs="Segoe UI"/>
        </w:rPr>
        <w:t xml:space="preserve"> HTA, covering enabling systems, pathways and evaluations, and research the collection and use of </w:t>
      </w:r>
      <w:r w:rsidR="0006459B">
        <w:rPr>
          <w:rFonts w:eastAsia="Calibri" w:cs="Segoe UI"/>
        </w:rPr>
        <w:t>real world data</w:t>
      </w:r>
      <w:r w:rsidRPr="00CA596F">
        <w:rPr>
          <w:rFonts w:eastAsia="Calibri" w:cs="Segoe UI"/>
        </w:rPr>
        <w:t xml:space="preserve"> for HTA. This framework should:</w:t>
      </w:r>
    </w:p>
    <w:p w14:paraId="780A6B63" w14:textId="4F1FFB99" w:rsidR="00CA596F" w:rsidRPr="00CA596F" w:rsidRDefault="00CA596F" w:rsidP="00885C78">
      <w:pPr>
        <w:keepNext/>
        <w:keepLines/>
        <w:numPr>
          <w:ilvl w:val="0"/>
          <w:numId w:val="2"/>
        </w:numPr>
        <w:snapToGrid w:val="0"/>
        <w:spacing w:line="22" w:lineRule="atLeast"/>
        <w:ind w:left="714" w:hanging="357"/>
        <w:contextualSpacing/>
        <w:rPr>
          <w:rFonts w:eastAsia="Calibri" w:cs="Segoe UI"/>
          <w:kern w:val="2"/>
          <w14:ligatures w14:val="standardContextual"/>
        </w:rPr>
      </w:pPr>
      <w:proofErr w:type="gramStart"/>
      <w:r w:rsidRPr="00CA596F">
        <w:rPr>
          <w:rFonts w:eastAsia="Calibri" w:cs="Segoe UI"/>
          <w:kern w:val="2"/>
          <w14:ligatures w14:val="standardContextual"/>
        </w:rPr>
        <w:t>be</w:t>
      </w:r>
      <w:proofErr w:type="gramEnd"/>
      <w:r w:rsidRPr="00CA596F">
        <w:rPr>
          <w:rFonts w:eastAsia="Calibri" w:cs="Segoe UI"/>
          <w:kern w:val="2"/>
          <w14:ligatures w14:val="standardContextual"/>
        </w:rPr>
        <w:t xml:space="preserve"> co-designed by a multi-stakeholder advisory group that reports to the Australian Government, and oversees the implementation of the framework and related activities</w:t>
      </w:r>
    </w:p>
    <w:p w14:paraId="0D4D8402" w14:textId="0284B939" w:rsidR="006F191F" w:rsidRPr="00936468" w:rsidRDefault="00CA596F" w:rsidP="00885C78">
      <w:pPr>
        <w:keepNext/>
        <w:keepLines/>
        <w:numPr>
          <w:ilvl w:val="0"/>
          <w:numId w:val="2"/>
        </w:numPr>
        <w:snapToGrid w:val="0"/>
        <w:spacing w:line="22" w:lineRule="atLeast"/>
        <w:ind w:left="714" w:hanging="357"/>
        <w:contextualSpacing/>
        <w:rPr>
          <w:rFonts w:eastAsia="Calibri" w:cs="Segoe UI"/>
          <w:kern w:val="2"/>
          <w14:ligatures w14:val="standardContextual"/>
        </w:rPr>
      </w:pPr>
      <w:r w:rsidRPr="00CA596F">
        <w:rPr>
          <w:rFonts w:eastAsia="Calibri" w:cs="Segoe UI"/>
          <w:kern w:val="2"/>
          <w14:ligatures w14:val="standardContextual"/>
        </w:rPr>
        <w:t xml:space="preserve">include a strategy to increase confidence, awareness and acceptance of cross-jurisdictional and cross-sectoral </w:t>
      </w:r>
      <w:r w:rsidR="001A7AFD" w:rsidRPr="00CA596F">
        <w:rPr>
          <w:rFonts w:eastAsia="Calibri" w:cs="Segoe UI"/>
        </w:rPr>
        <w:t xml:space="preserve">real-world data </w:t>
      </w:r>
      <w:r w:rsidRPr="00CA596F">
        <w:rPr>
          <w:rFonts w:eastAsia="Calibri" w:cs="Segoe UI"/>
          <w:kern w:val="2"/>
          <w14:ligatures w14:val="standardContextual"/>
        </w:rPr>
        <w:t xml:space="preserve">access and use in HTA. </w:t>
      </w:r>
    </w:p>
    <w:p w14:paraId="71CDF938" w14:textId="447B89FF" w:rsidR="006F191F" w:rsidRPr="009B510C" w:rsidRDefault="006F191F" w:rsidP="009B510C">
      <w:pPr>
        <w:pStyle w:val="Recommendationheading"/>
        <w:ind w:left="0" w:firstLine="0"/>
      </w:pPr>
      <w:r w:rsidRPr="009B510C">
        <w:t>Data infrastructure to support HTAs</w:t>
      </w:r>
    </w:p>
    <w:p w14:paraId="05DED7E7" w14:textId="1CD13814" w:rsidR="006F191F" w:rsidRPr="006F191F" w:rsidRDefault="006F191F" w:rsidP="006F191F">
      <w:pPr>
        <w:snapToGrid w:val="0"/>
        <w:spacing w:after="120" w:line="22" w:lineRule="atLeast"/>
        <w:rPr>
          <w:rFonts w:eastAsia="Calibri" w:cs="Segoe UI"/>
          <w:b/>
          <w:bCs/>
        </w:rPr>
      </w:pPr>
      <w:r w:rsidRPr="006F191F">
        <w:rPr>
          <w:rFonts w:eastAsia="Calibri" w:cs="Segoe UI"/>
        </w:rPr>
        <w:t>Develop a dynamic, enduring whole-of-government data infrastructure that:</w:t>
      </w:r>
    </w:p>
    <w:p w14:paraId="510D6473" w14:textId="2F43A15C" w:rsidR="006F191F" w:rsidRPr="005537D6" w:rsidRDefault="006F191F" w:rsidP="00885C78">
      <w:pPr>
        <w:numPr>
          <w:ilvl w:val="0"/>
          <w:numId w:val="2"/>
        </w:numPr>
        <w:snapToGrid w:val="0"/>
        <w:spacing w:line="22" w:lineRule="atLeast"/>
        <w:ind w:left="714" w:hanging="357"/>
        <w:contextualSpacing/>
        <w:rPr>
          <w:rFonts w:eastAsia="Calibri" w:cs="Segoe UI"/>
          <w:kern w:val="2"/>
          <w14:ligatures w14:val="standardContextual"/>
        </w:rPr>
      </w:pPr>
      <w:r w:rsidRPr="005537D6">
        <w:rPr>
          <w:rFonts w:eastAsia="Calibri" w:cs="Segoe UI"/>
          <w:kern w:val="2"/>
          <w14:ligatures w14:val="standardContextual"/>
        </w:rPr>
        <w:t>evolves over time, based on needs</w:t>
      </w:r>
    </w:p>
    <w:p w14:paraId="09D37E13" w14:textId="216116A8" w:rsidR="006F191F" w:rsidRPr="005537D6" w:rsidRDefault="006F191F" w:rsidP="00885C78">
      <w:pPr>
        <w:numPr>
          <w:ilvl w:val="0"/>
          <w:numId w:val="2"/>
        </w:numPr>
        <w:snapToGrid w:val="0"/>
        <w:spacing w:line="22" w:lineRule="atLeast"/>
        <w:ind w:left="714" w:hanging="357"/>
        <w:rPr>
          <w:rFonts w:eastAsia="Calibri" w:cs="Segoe UI"/>
          <w:kern w:val="2"/>
          <w14:ligatures w14:val="standardContextual"/>
        </w:rPr>
      </w:pPr>
      <w:r w:rsidRPr="005537D6">
        <w:rPr>
          <w:rFonts w:eastAsia="Calibri" w:cs="Segoe UI"/>
          <w:kern w:val="2"/>
          <w14:ligatures w14:val="standardContextual"/>
        </w:rPr>
        <w:t>is internationally harmonised, flexible, scalable and transparent</w:t>
      </w:r>
      <w:r w:rsidR="00802012" w:rsidRPr="005537D6">
        <w:rPr>
          <w:rFonts w:eastAsia="Calibri" w:cs="Segoe UI"/>
          <w:kern w:val="2"/>
          <w14:ligatures w14:val="standardContextual"/>
        </w:rPr>
        <w:t>.</w:t>
      </w:r>
      <w:r w:rsidRPr="005537D6">
        <w:rPr>
          <w:rFonts w:eastAsia="Calibri" w:cs="Segoe UI"/>
          <w:kern w:val="2"/>
          <w14:ligatures w14:val="standardContextual"/>
        </w:rPr>
        <w:t xml:space="preserve"> </w:t>
      </w:r>
    </w:p>
    <w:p w14:paraId="119860C4" w14:textId="246445E4" w:rsidR="006F191F" w:rsidRPr="006F191F" w:rsidRDefault="006F191F" w:rsidP="006F191F">
      <w:pPr>
        <w:snapToGrid w:val="0"/>
        <w:spacing w:after="120" w:line="22" w:lineRule="atLeast"/>
        <w:rPr>
          <w:rFonts w:eastAsia="Calibri" w:cs="Segoe UI"/>
        </w:rPr>
      </w:pPr>
      <w:r w:rsidRPr="006F191F">
        <w:rPr>
          <w:rFonts w:eastAsia="Calibri" w:cs="Segoe UI"/>
        </w:rPr>
        <w:t xml:space="preserve">As an initial step, prioritise mapping Australian </w:t>
      </w:r>
      <w:r w:rsidR="001A7AFD" w:rsidRPr="00CA596F">
        <w:rPr>
          <w:rFonts w:eastAsia="Calibri" w:cs="Segoe UI"/>
        </w:rPr>
        <w:t xml:space="preserve">real-world data </w:t>
      </w:r>
      <w:r w:rsidRPr="006F191F">
        <w:rPr>
          <w:rFonts w:eastAsia="Calibri" w:cs="Segoe UI"/>
        </w:rPr>
        <w:t xml:space="preserve">collections that could meet HTA needs, and facilitate access for relevant stakeholders. </w:t>
      </w:r>
    </w:p>
    <w:p w14:paraId="1DC50C15" w14:textId="677206AB" w:rsidR="006F191F" w:rsidRPr="009B510C" w:rsidRDefault="006F191F" w:rsidP="009B510C">
      <w:pPr>
        <w:pStyle w:val="Recommendationheading"/>
        <w:ind w:left="0" w:firstLine="0"/>
      </w:pPr>
      <w:r w:rsidRPr="009B510C">
        <w:t>Inter-governmental data collaboration in standardised collection and sharing of health technology–related data</w:t>
      </w:r>
    </w:p>
    <w:p w14:paraId="453495F7" w14:textId="56A0834E" w:rsidR="00992636" w:rsidRDefault="00EA7A35" w:rsidP="00E2167A">
      <w:pPr>
        <w:snapToGrid w:val="0"/>
        <w:spacing w:after="120" w:line="22" w:lineRule="atLeast"/>
        <w:rPr>
          <w:rFonts w:eastAsia="Times New Roman" w:cs="Segoe UI"/>
          <w:lang w:eastAsia="en-AU"/>
        </w:rPr>
      </w:pPr>
      <w:r w:rsidRPr="00EA7A35">
        <w:rPr>
          <w:rFonts w:eastAsia="Times New Roman" w:cs="Segoe UI"/>
          <w:lang w:eastAsia="en-AU"/>
        </w:rPr>
        <w:t xml:space="preserve">Promote state and territory government collaboration and participation in cross-jurisdictional data sharing to support nationally cohesive HTA. This should be facilitated by centralised data-sharing infrastructure and harmonisation of access to existing government-held real-world data collections. </w:t>
      </w:r>
    </w:p>
    <w:p w14:paraId="19B1C66E" w14:textId="1C76B18E" w:rsidR="006F191F" w:rsidRPr="009B510C" w:rsidRDefault="006F191F" w:rsidP="009B510C">
      <w:pPr>
        <w:pStyle w:val="Recommendationheading"/>
        <w:ind w:left="0" w:firstLine="0"/>
      </w:pPr>
      <w:r w:rsidRPr="009B510C">
        <w:t xml:space="preserve">Real-world data and real-world evidence methods development </w:t>
      </w:r>
    </w:p>
    <w:p w14:paraId="54161DBC" w14:textId="39BBF6B4" w:rsidR="006F191F" w:rsidRPr="006F191F" w:rsidRDefault="00B547B3" w:rsidP="006F191F">
      <w:pPr>
        <w:snapToGrid w:val="0"/>
        <w:spacing w:after="120" w:line="22" w:lineRule="atLeast"/>
        <w:ind w:left="-45"/>
        <w:rPr>
          <w:rFonts w:eastAsia="Calibri" w:cs="Segoe UI"/>
          <w:b/>
          <w:bCs/>
        </w:rPr>
      </w:pPr>
      <w:r w:rsidRPr="00B547B3">
        <w:rPr>
          <w:rFonts w:eastAsia="Calibri" w:cs="Segoe UI"/>
        </w:rPr>
        <w:t>With oversight by the multi-stakeholder advisory group, establish a multi-stakeholder coordinated approach to developing transparent evidence for HTA using best practice methods that span data standardisation, standardised analytics and reporting</w:t>
      </w:r>
      <w:r>
        <w:rPr>
          <w:rFonts w:eastAsia="Calibri" w:cs="Segoe UI"/>
        </w:rPr>
        <w:t xml:space="preserve">. </w:t>
      </w:r>
    </w:p>
    <w:p w14:paraId="6F7FA2D7" w14:textId="77777777" w:rsidR="006F191F" w:rsidRPr="009B510C" w:rsidRDefault="006F191F" w:rsidP="009B510C">
      <w:pPr>
        <w:pStyle w:val="Recommendationheading"/>
        <w:ind w:left="0" w:firstLine="0"/>
      </w:pPr>
      <w:r w:rsidRPr="009B510C">
        <w:t>Collecting and using real-world data to resolve uncertainty</w:t>
      </w:r>
    </w:p>
    <w:p w14:paraId="4F15B7DC" w14:textId="77777777" w:rsidR="00CE2482" w:rsidRPr="00CE2482" w:rsidRDefault="00CE2482" w:rsidP="00CE2482">
      <w:pPr>
        <w:snapToGrid w:val="0"/>
        <w:spacing w:after="120" w:line="22" w:lineRule="atLeast"/>
        <w:rPr>
          <w:rFonts w:eastAsia="Calibri" w:cs="Segoe UI"/>
        </w:rPr>
      </w:pPr>
      <w:r w:rsidRPr="00CE2482">
        <w:rPr>
          <w:rFonts w:eastAsia="Calibri" w:cs="Segoe UI"/>
        </w:rPr>
        <w:t>Ensure early identification and/or configuration of data collections that could help resolve uncertainties when it is expected that an application is likely to result in a managed entry agreement.</w:t>
      </w:r>
    </w:p>
    <w:p w14:paraId="521C8FAC" w14:textId="36AF5F07" w:rsidR="006F191F" w:rsidRDefault="00CE2482" w:rsidP="00CE2482">
      <w:pPr>
        <w:snapToGrid w:val="0"/>
        <w:spacing w:after="120" w:line="22" w:lineRule="atLeast"/>
        <w:rPr>
          <w:rFonts w:eastAsia="Calibri"/>
        </w:rPr>
      </w:pPr>
      <w:r w:rsidRPr="00CE2482">
        <w:rPr>
          <w:rFonts w:eastAsia="Calibri" w:cs="Segoe UI"/>
        </w:rPr>
        <w:lastRenderedPageBreak/>
        <w:t xml:space="preserve">Begin early exploration and negotiation to determine feasibility and resourcing requirements that would meet the intended purpose. Resourcing should be jointly funded by relevant parties, with all details resolved before entering into </w:t>
      </w:r>
      <w:r w:rsidR="003C7FAC" w:rsidRPr="00CE2482">
        <w:rPr>
          <w:rFonts w:eastAsia="Calibri" w:cs="Segoe UI"/>
        </w:rPr>
        <w:t>a</w:t>
      </w:r>
      <w:r w:rsidRPr="00CE2482">
        <w:rPr>
          <w:rFonts w:eastAsia="Calibri" w:cs="Segoe UI"/>
        </w:rPr>
        <w:t xml:space="preserve"> </w:t>
      </w:r>
      <w:r w:rsidR="00674332">
        <w:rPr>
          <w:rFonts w:cs="Segoe UI"/>
        </w:rPr>
        <w:t>managed entry agreement</w:t>
      </w:r>
      <w:r w:rsidRPr="00CE2482">
        <w:rPr>
          <w:rFonts w:eastAsia="Calibri" w:cs="Segoe UI"/>
        </w:rPr>
        <w:t>. In the case of ultra-rare diseases and other small populations, international collaboration in the collection of patient-level data should be undertaken, where possible.</w:t>
      </w:r>
      <w:r>
        <w:rPr>
          <w:rFonts w:eastAsia="Calibri" w:cs="Segoe UI"/>
        </w:rPr>
        <w:t xml:space="preserve"> </w:t>
      </w:r>
    </w:p>
    <w:p w14:paraId="2CC0A47C" w14:textId="77777777" w:rsidR="006F191F" w:rsidRPr="00C35BE4" w:rsidRDefault="006F191F" w:rsidP="009B510C">
      <w:pPr>
        <w:pStyle w:val="Heading2"/>
      </w:pPr>
      <w:bookmarkStart w:id="138" w:name="_Toc170210033"/>
      <w:bookmarkStart w:id="139" w:name="_Toc170238483"/>
      <w:bookmarkStart w:id="140" w:name="_Toc172030765"/>
      <w:r w:rsidRPr="006F191F">
        <w:t>Chapter 8: Methods for confident decisions</w:t>
      </w:r>
      <w:bookmarkEnd w:id="138"/>
      <w:bookmarkEnd w:id="139"/>
      <w:bookmarkEnd w:id="140"/>
      <w:r w:rsidRPr="006F191F">
        <w:t xml:space="preserve"> </w:t>
      </w:r>
    </w:p>
    <w:bookmarkStart w:id="141" w:name="_Toc164685851"/>
    <w:bookmarkStart w:id="142" w:name="_Toc164691473"/>
    <w:bookmarkStart w:id="143" w:name="_Toc164696267"/>
    <w:bookmarkStart w:id="144" w:name="_Toc164696413"/>
    <w:bookmarkStart w:id="145" w:name="_Toc164767794"/>
    <w:bookmarkStart w:id="146" w:name="_Toc165473725"/>
    <w:bookmarkStart w:id="147" w:name="_Toc167970533"/>
    <w:bookmarkStart w:id="148" w:name="_Toc170210034"/>
    <w:bookmarkStart w:id="149" w:name="_Toc170238484"/>
    <w:p w14:paraId="71516DD8" w14:textId="39BD1668" w:rsidR="004A250D" w:rsidRDefault="00994E45" w:rsidP="002E38CE">
      <w:pPr>
        <w:pStyle w:val="Heading3"/>
      </w:pPr>
      <w:r>
        <w:rPr>
          <w:noProof/>
          <w14:ligatures w14:val="standardContextual"/>
        </w:rPr>
        <mc:AlternateContent>
          <mc:Choice Requires="wps">
            <w:drawing>
              <wp:anchor distT="0" distB="0" distL="114300" distR="114300" simplePos="0" relativeHeight="251658262" behindDoc="1" locked="0" layoutInCell="1" allowOverlap="1" wp14:anchorId="35C9C7AD" wp14:editId="06DFF3D1">
                <wp:simplePos x="0" y="0"/>
                <wp:positionH relativeFrom="margin">
                  <wp:align>right</wp:align>
                </wp:positionH>
                <wp:positionV relativeFrom="paragraph">
                  <wp:posOffset>344805</wp:posOffset>
                </wp:positionV>
                <wp:extent cx="5734050" cy="2635885"/>
                <wp:effectExtent l="0" t="0"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263588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65657" id="Rectangle 22" o:spid="_x0000_s1026" alt="&quot;&quot;" style="position:absolute;margin-left:400.3pt;margin-top:27.15pt;width:451.5pt;height:207.55pt;z-index:-25165821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" fillcolor="#bfd4f2 [660]" stroked="f" strokeweight="1pt">
                <w10:wrap anchorx="margin"/>
              </v:rect>
            </w:pict>
          </mc:Fallback>
        </mc:AlternateContent>
      </w:r>
      <w:r w:rsidR="004A250D" w:rsidRPr="00C35BE4">
        <w:t>Chapter 8.1: Population, Intervention, Comparator, and Outcome</w:t>
      </w:r>
      <w:bookmarkEnd w:id="141"/>
      <w:bookmarkEnd w:id="142"/>
      <w:bookmarkEnd w:id="143"/>
      <w:bookmarkEnd w:id="144"/>
      <w:bookmarkEnd w:id="145"/>
      <w:bookmarkEnd w:id="146"/>
      <w:bookmarkEnd w:id="147"/>
      <w:bookmarkEnd w:id="148"/>
      <w:bookmarkEnd w:id="149"/>
    </w:p>
    <w:p w14:paraId="707F38FF" w14:textId="1F667C59" w:rsidR="00173E99" w:rsidRDefault="00173E99" w:rsidP="00522E8B">
      <w:pPr>
        <w:pStyle w:val="Subheading1"/>
        <w:ind w:left="113" w:right="113"/>
      </w:pPr>
      <w:r w:rsidRPr="00832526">
        <w:t>Objectives</w:t>
      </w:r>
    </w:p>
    <w:p w14:paraId="290CF0D1" w14:textId="78C178FD" w:rsidR="00173E99" w:rsidRPr="00173E99" w:rsidRDefault="00127766" w:rsidP="00522E8B">
      <w:pPr>
        <w:ind w:left="113" w:right="113"/>
      </w:pPr>
      <w:r>
        <w:t>The recommendations in this chapter are intended</w:t>
      </w:r>
      <w:r w:rsidRPr="00765585" w:rsidDel="00127766">
        <w:rPr>
          <w:rFonts w:cs="Segoe UI"/>
          <w:kern w:val="2"/>
          <w14:ligatures w14:val="standardContextual"/>
        </w:rPr>
        <w:t xml:space="preserve"> </w:t>
      </w:r>
      <w:r w:rsidRPr="005977E1">
        <w:rPr>
          <w:rFonts w:cs="Segoe UI"/>
          <w:kern w:val="2"/>
          <w14:ligatures w14:val="standardContextual"/>
        </w:rPr>
        <w:t xml:space="preserve">to </w:t>
      </w:r>
      <w:r w:rsidR="00173E99" w:rsidRPr="00173E99">
        <w:rPr>
          <w:rFonts w:cs="Segoe UI"/>
          <w:kern w:val="2"/>
          <w14:ligatures w14:val="standardContextual"/>
        </w:rPr>
        <w:t xml:space="preserve">put patients at the centre of the development of the </w:t>
      </w:r>
      <w:r w:rsidR="00173E99" w:rsidRPr="00CC2A53">
        <w:rPr>
          <w:rFonts w:eastAsia="Calibri" w:cs="Segoe UI"/>
        </w:rPr>
        <w:t xml:space="preserve">Population, Intervention, Comparator, and Outcome </w:t>
      </w:r>
      <w:r w:rsidR="00173E99">
        <w:rPr>
          <w:rFonts w:eastAsia="Calibri" w:cs="Segoe UI"/>
        </w:rPr>
        <w:t>(</w:t>
      </w:r>
      <w:r w:rsidR="00173E99" w:rsidRPr="00173E99">
        <w:rPr>
          <w:rFonts w:cs="Segoe UI"/>
          <w:kern w:val="2"/>
          <w14:ligatures w14:val="standardContextual"/>
        </w:rPr>
        <w:t>PICO</w:t>
      </w:r>
      <w:r w:rsidR="00173E99">
        <w:rPr>
          <w:rFonts w:cs="Segoe UI"/>
          <w:kern w:val="2"/>
          <w14:ligatures w14:val="standardContextual"/>
        </w:rPr>
        <w:t>)</w:t>
      </w:r>
      <w:r w:rsidR="00173E99" w:rsidRPr="00173E99">
        <w:rPr>
          <w:rFonts w:cs="Segoe UI"/>
          <w:kern w:val="2"/>
          <w14:ligatures w14:val="standardContextual"/>
        </w:rPr>
        <w:t>. The recommendations intend to increase transparency for, and involvement of, patients and clinicians in the development of PICOs, particularly for submissions to the PBAC. They are intended to ensure that patient populations that could potentially benefit from access are not excluded and that outcomes that are most relevant to patients are captured. Recognising the potential for additional consultation to increase the time and complexity, the recommendations seek to ensure that consultation is used only where it is likely to facilitate decision-making in the interests of patients and avoids adding time or complexity to the HTA.</w:t>
      </w:r>
    </w:p>
    <w:p w14:paraId="7572EB35" w14:textId="0ABDFD08" w:rsidR="006F191F" w:rsidRPr="009B510C" w:rsidRDefault="006F191F" w:rsidP="009B510C">
      <w:pPr>
        <w:pStyle w:val="Recommendationheading"/>
        <w:ind w:left="0" w:firstLine="0"/>
      </w:pPr>
      <w:r w:rsidRPr="009B510C">
        <w:t>Creating a framework for Population, Intervention, Comparator, and Outcome – or PICO – scoping to support HTA submissions</w:t>
      </w:r>
    </w:p>
    <w:p w14:paraId="3C65D9C8" w14:textId="62121EC3" w:rsidR="00173E99" w:rsidRPr="00195842" w:rsidRDefault="00CC2A53" w:rsidP="00195842">
      <w:pPr>
        <w:snapToGrid w:val="0"/>
        <w:spacing w:after="120" w:line="22" w:lineRule="atLeast"/>
        <w:rPr>
          <w:rFonts w:eastAsia="Calibri" w:cs="Segoe UI"/>
        </w:rPr>
      </w:pPr>
      <w:r w:rsidRPr="00CC2A53">
        <w:rPr>
          <w:rFonts w:eastAsia="Calibri" w:cs="Segoe UI"/>
        </w:rPr>
        <w:t>Establish a framework to govern how Population, Intervention, Comparator, and Outcome (PICO) scoping and engagement occurs (the Australian Government should work with stakeholders to achieve this). The framework should establish circumstances where comprehensive PICO scoping would add value to HTA processes. The framework should ensure that criteria that are important to patients and clinicians are appropriately considered while also avoiding adding time or complexity to the HTA</w:t>
      </w:r>
      <w:r>
        <w:rPr>
          <w:rFonts w:eastAsia="Calibri" w:cs="Segoe UI"/>
        </w:rPr>
        <w:t xml:space="preserve">. </w:t>
      </w:r>
    </w:p>
    <w:p w14:paraId="5EC8D1E0" w14:textId="35A0CD5C" w:rsidR="00DD25BB" w:rsidRDefault="00DD25BB" w:rsidP="00111447">
      <w:pPr>
        <w:pStyle w:val="Heading3"/>
        <w:spacing w:before="240"/>
      </w:pPr>
      <w:bookmarkStart w:id="150" w:name="_Toc164767800"/>
      <w:bookmarkStart w:id="151" w:name="_Toc165473731"/>
      <w:bookmarkStart w:id="152" w:name="_Toc167970534"/>
      <w:bookmarkStart w:id="153" w:name="_Toc170210035"/>
      <w:bookmarkStart w:id="154" w:name="_Toc170238485"/>
      <w:r w:rsidRPr="00822B1B">
        <w:t>Chapter 8.2: Use of consumer evidence and input</w:t>
      </w:r>
      <w:bookmarkEnd w:id="150"/>
      <w:bookmarkEnd w:id="151"/>
      <w:bookmarkEnd w:id="152"/>
      <w:bookmarkEnd w:id="153"/>
      <w:bookmarkEnd w:id="154"/>
    </w:p>
    <w:p w14:paraId="00229E71" w14:textId="77777777" w:rsidR="00A25177" w:rsidRDefault="00A25177" w:rsidP="005971E4">
      <w:pPr>
        <w:pStyle w:val="Subheading1"/>
      </w:pPr>
      <w:r w:rsidRPr="00A25177">
        <w:t>Objectives</w:t>
      </w:r>
    </w:p>
    <w:p w14:paraId="7656EF2E" w14:textId="09D82E02" w:rsidR="00A25177" w:rsidRPr="00A25177" w:rsidRDefault="00A25177" w:rsidP="00A25177">
      <w:pPr>
        <w:rPr>
          <w:rFonts w:eastAsia="Calibri" w:cs="Segoe UI"/>
          <w:b/>
          <w:bCs/>
        </w:rPr>
      </w:pPr>
      <w:r w:rsidRPr="00C67A37">
        <w:rPr>
          <w:rFonts w:cs="Segoe UI"/>
          <w:kern w:val="2"/>
          <w14:ligatures w14:val="standardContextual"/>
        </w:rPr>
        <w:t>The Review’s recommendations are intended to ensure that sponsors and consumers understand how to prepare consumer evidence and input about patient experiences and perspectives so that it can inform the HTA decision-making process</w:t>
      </w:r>
      <w:r w:rsidRPr="005F5F55">
        <w:rPr>
          <w:rFonts w:eastAsiaTheme="minorEastAsia"/>
        </w:rPr>
        <w:t>.</w:t>
      </w:r>
    </w:p>
    <w:p w14:paraId="6DB5B2CD" w14:textId="42D3FDB9" w:rsidR="006F191F" w:rsidRPr="009B510C" w:rsidRDefault="006F191F" w:rsidP="009B510C">
      <w:pPr>
        <w:pStyle w:val="Recommendationheading"/>
        <w:ind w:left="0" w:firstLine="0"/>
      </w:pPr>
      <w:r w:rsidRPr="009B510C">
        <w:t>Methods for assessing consumer evidence</w:t>
      </w:r>
    </w:p>
    <w:p w14:paraId="6E9961B3" w14:textId="5BB88B52" w:rsidR="006F191F" w:rsidRDefault="00582FA8" w:rsidP="003A147D">
      <w:pPr>
        <w:rPr>
          <w:rFonts w:eastAsia="Calibri" w:cs="Segoe UI"/>
        </w:rPr>
      </w:pPr>
      <w:r w:rsidRPr="00582FA8">
        <w:rPr>
          <w:rFonts w:eastAsia="Calibri" w:cs="Segoe UI"/>
        </w:rPr>
        <w:t xml:space="preserve">Support the development of updates to the Pharmaceutical Benefits Advisory </w:t>
      </w:r>
      <w:r w:rsidRPr="003A147D">
        <w:rPr>
          <w:rFonts w:cs="Segoe UI"/>
          <w:kern w:val="2"/>
          <w14:ligatures w14:val="standardContextual"/>
        </w:rPr>
        <w:t>Committee’s</w:t>
      </w:r>
      <w:r w:rsidRPr="00582FA8">
        <w:rPr>
          <w:rFonts w:eastAsia="Calibri" w:cs="Segoe UI"/>
        </w:rPr>
        <w:t xml:space="preserve"> and Medical Services Advisory Committee’s guidelines, assessment methods, public summaries and other explanatory materials. Updates should be clear </w:t>
      </w:r>
      <w:r w:rsidRPr="00582FA8">
        <w:rPr>
          <w:rFonts w:eastAsia="Calibri" w:cs="Segoe UI"/>
        </w:rPr>
        <w:lastRenderedPageBreak/>
        <w:t>about how to integrate consumer evidence (research into patients’ needs, preferences, experiences and perspectives) and consumer inputs arising from engagement processes (see Chapter 6</w:t>
      </w:r>
      <w:r w:rsidR="00EB39FD">
        <w:rPr>
          <w:rFonts w:eastAsia="Calibri" w:cs="Segoe UI"/>
        </w:rPr>
        <w:t>: Transparency and stakeholder involvement</w:t>
      </w:r>
      <w:r w:rsidRPr="00582FA8">
        <w:rPr>
          <w:rFonts w:eastAsia="Calibri" w:cs="Segoe UI"/>
        </w:rPr>
        <w:t>) into HTA processes</w:t>
      </w:r>
      <w:r w:rsidR="006F191F" w:rsidRPr="00BF02AF">
        <w:rPr>
          <w:rFonts w:eastAsia="Calibri" w:cs="Segoe UI"/>
        </w:rPr>
        <w:t>.</w:t>
      </w:r>
    </w:p>
    <w:bookmarkStart w:id="155" w:name="_Toc164685852"/>
    <w:bookmarkStart w:id="156" w:name="_Toc164691478"/>
    <w:bookmarkStart w:id="157" w:name="_Toc164696272"/>
    <w:bookmarkStart w:id="158" w:name="_Toc164696418"/>
    <w:bookmarkStart w:id="159" w:name="_Toc164767805"/>
    <w:bookmarkStart w:id="160" w:name="_Toc165473736"/>
    <w:bookmarkStart w:id="161" w:name="_Toc167970535"/>
    <w:bookmarkStart w:id="162" w:name="_Toc170210036"/>
    <w:bookmarkStart w:id="163" w:name="_Toc170238486"/>
    <w:p w14:paraId="220557BF" w14:textId="09ABEFEF" w:rsidR="005F3406" w:rsidRDefault="00994E45" w:rsidP="002E38CE">
      <w:pPr>
        <w:pStyle w:val="Heading3"/>
      </w:pPr>
      <w:r>
        <w:rPr>
          <w:noProof/>
          <w14:ligatures w14:val="standardContextual"/>
        </w:rPr>
        <mc:AlternateContent>
          <mc:Choice Requires="wps">
            <w:drawing>
              <wp:anchor distT="0" distB="0" distL="114300" distR="114300" simplePos="0" relativeHeight="251658263" behindDoc="1" locked="0" layoutInCell="1" allowOverlap="1" wp14:anchorId="436F7455" wp14:editId="58995BE9">
                <wp:simplePos x="0" y="0"/>
                <wp:positionH relativeFrom="margin">
                  <wp:align>right</wp:align>
                </wp:positionH>
                <wp:positionV relativeFrom="paragraph">
                  <wp:posOffset>352425</wp:posOffset>
                </wp:positionV>
                <wp:extent cx="5724525" cy="2619375"/>
                <wp:effectExtent l="0" t="0" r="9525" b="9525"/>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24525" cy="261937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E7994" id="Rectangle 23" o:spid="_x0000_s1026" alt="&quot;&quot;" style="position:absolute;margin-left:399.55pt;margin-top:27.75pt;width:450.75pt;height:206.25pt;z-index:-25165821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" fillcolor="#bfd4f2 [660]" stroked="f" strokeweight="1pt">
                <w10:wrap anchorx="margin"/>
              </v:rect>
            </w:pict>
          </mc:Fallback>
        </mc:AlternateContent>
      </w:r>
      <w:r w:rsidR="005F3406" w:rsidRPr="00C35BE4">
        <w:t>Chapter 8.3: Clinical evaluation</w:t>
      </w:r>
      <w:bookmarkEnd w:id="155"/>
      <w:bookmarkEnd w:id="156"/>
      <w:bookmarkEnd w:id="157"/>
      <w:bookmarkEnd w:id="158"/>
      <w:bookmarkEnd w:id="159"/>
      <w:bookmarkEnd w:id="160"/>
      <w:bookmarkEnd w:id="161"/>
      <w:bookmarkEnd w:id="162"/>
      <w:bookmarkEnd w:id="163"/>
    </w:p>
    <w:p w14:paraId="31436212" w14:textId="09512959" w:rsidR="00E76EBA" w:rsidRDefault="00E76EBA" w:rsidP="00522E8B">
      <w:pPr>
        <w:pStyle w:val="Subheading1"/>
        <w:ind w:left="113" w:right="113"/>
      </w:pPr>
      <w:r>
        <w:t>Objectives</w:t>
      </w:r>
    </w:p>
    <w:p w14:paraId="289D2FE6" w14:textId="314B72D4" w:rsidR="00E76EBA" w:rsidRPr="00E76EBA" w:rsidRDefault="00127766" w:rsidP="00522E8B">
      <w:pPr>
        <w:ind w:left="113" w:right="113"/>
        <w:rPr>
          <w:rFonts w:eastAsia="Calibri" w:cs="Segoe UI"/>
          <w:b/>
          <w:bCs/>
        </w:rPr>
      </w:pPr>
      <w:r>
        <w:t>The recommendations in this chapter are intended</w:t>
      </w:r>
      <w:r w:rsidRPr="00765585" w:rsidDel="00127766">
        <w:rPr>
          <w:rFonts w:cs="Segoe UI"/>
          <w:kern w:val="2"/>
          <w14:ligatures w14:val="standardContextual"/>
        </w:rPr>
        <w:t xml:space="preserve"> </w:t>
      </w:r>
      <w:r w:rsidRPr="005977E1">
        <w:rPr>
          <w:rFonts w:cs="Segoe UI"/>
          <w:kern w:val="2"/>
          <w14:ligatures w14:val="standardContextual"/>
        </w:rPr>
        <w:t xml:space="preserve">to </w:t>
      </w:r>
      <w:r w:rsidR="00E76EBA">
        <w:t>ensure that decision-makers have the best possible evidence available when deciding whether to recommend funding of health technologies through Australia’s universal access schemes. To that end, recommendations propose further and updated guidance to ensure that sponsors understand HTA advisory committees’ preferred methodologies and approaches. This includes for use of non-randomised and observational evidence, surrogate end points and therapies that target biomarkers. The Review also seeks to ensure guideline updates, and additional guidance, continue to adhere to principles that require evidence to be sufficiently rigorous to support confidence in decision-making.</w:t>
      </w:r>
    </w:p>
    <w:p w14:paraId="0D45FA5B" w14:textId="77777777" w:rsidR="006F191F" w:rsidRPr="009B510C" w:rsidRDefault="006F191F" w:rsidP="009B510C">
      <w:pPr>
        <w:pStyle w:val="Recommendationheading"/>
        <w:ind w:left="0" w:firstLine="0"/>
      </w:pPr>
      <w:r w:rsidRPr="009B510C">
        <w:t>Overarching principles for adopting methods in Australian HTAs</w:t>
      </w:r>
    </w:p>
    <w:p w14:paraId="50A21EF1" w14:textId="703D3C07" w:rsidR="006F191F" w:rsidRPr="006F191F" w:rsidRDefault="00CF5441" w:rsidP="006F191F">
      <w:pPr>
        <w:snapToGrid w:val="0"/>
        <w:spacing w:after="120" w:line="22" w:lineRule="atLeast"/>
        <w:rPr>
          <w:rFonts w:eastAsia="Calibri" w:cs="Segoe UI"/>
          <w:b/>
          <w:bCs/>
        </w:rPr>
      </w:pPr>
      <w:r w:rsidRPr="00CF5441">
        <w:rPr>
          <w:rFonts w:eastAsia="Calibri" w:cs="Segoe UI"/>
        </w:rPr>
        <w:t>Support the adoption of overarching principles for the methods used in Australian HTAs to ensure that decision-makers have the best possible evidence available and sponsors and evaluators understand preferred methods and approaches</w:t>
      </w:r>
      <w:r w:rsidR="006F191F" w:rsidRPr="006F191F">
        <w:rPr>
          <w:rFonts w:eastAsia="Calibri" w:cs="Segoe UI"/>
        </w:rPr>
        <w:t>.</w:t>
      </w:r>
    </w:p>
    <w:p w14:paraId="7689F1FE" w14:textId="77777777" w:rsidR="006F191F" w:rsidRPr="009B510C" w:rsidRDefault="006F191F" w:rsidP="009B510C">
      <w:pPr>
        <w:pStyle w:val="Recommendationheading"/>
        <w:ind w:left="0" w:firstLine="0"/>
      </w:pPr>
      <w:r w:rsidRPr="009B510C">
        <w:t>Methods for assessing non-randomised and observational evidence</w:t>
      </w:r>
    </w:p>
    <w:p w14:paraId="25159370" w14:textId="1AEC1D3C" w:rsidR="006F191F" w:rsidRPr="006F191F" w:rsidRDefault="00EF503F" w:rsidP="006F191F">
      <w:pPr>
        <w:snapToGrid w:val="0"/>
        <w:spacing w:after="120" w:line="22" w:lineRule="atLeast"/>
        <w:ind w:left="-45"/>
        <w:rPr>
          <w:rFonts w:eastAsia="Calibri" w:cs="Segoe UI"/>
          <w:b/>
          <w:color w:val="00808A"/>
        </w:rPr>
      </w:pPr>
      <w:r w:rsidRPr="00EF503F">
        <w:rPr>
          <w:rFonts w:eastAsia="Calibri" w:cs="Segoe UI"/>
        </w:rPr>
        <w:t>Support the development of updates to methods for using non-randomised and observational evidence that are in line with the overarching principles for adopting methods in Australian HTAs</w:t>
      </w:r>
      <w:r w:rsidR="006F191F" w:rsidRPr="006F191F">
        <w:rPr>
          <w:rFonts w:eastAsia="Calibri" w:cs="Segoe UI"/>
        </w:rPr>
        <w:t>.</w:t>
      </w:r>
    </w:p>
    <w:p w14:paraId="47C5F466" w14:textId="77777777" w:rsidR="006F191F" w:rsidRPr="009B510C" w:rsidRDefault="006F191F" w:rsidP="009B510C">
      <w:pPr>
        <w:pStyle w:val="Recommendationheading"/>
        <w:ind w:left="0" w:firstLine="0"/>
      </w:pPr>
      <w:r w:rsidRPr="009B510C">
        <w:t>Methods for assessing surrogate end points</w:t>
      </w:r>
    </w:p>
    <w:p w14:paraId="103DB630" w14:textId="4B1A571D" w:rsidR="006F191F" w:rsidRPr="006F191F" w:rsidRDefault="007E30A6" w:rsidP="006F191F">
      <w:pPr>
        <w:snapToGrid w:val="0"/>
        <w:spacing w:after="120" w:line="22" w:lineRule="atLeast"/>
        <w:rPr>
          <w:rFonts w:eastAsia="Calibri" w:cs="Segoe UI"/>
          <w:lang w:eastAsia="en-AU"/>
        </w:rPr>
      </w:pPr>
      <w:r w:rsidRPr="007E30A6">
        <w:rPr>
          <w:rFonts w:eastAsia="Calibri" w:cs="Segoe UI"/>
        </w:rPr>
        <w:t>Support the development of additional methods for using surrogate end points in HTAs that align with the overarching principles</w:t>
      </w:r>
      <w:r w:rsidR="006F191F" w:rsidRPr="006F191F">
        <w:rPr>
          <w:rFonts w:eastAsia="Calibri" w:cs="Segoe UI"/>
          <w:lang w:eastAsia="en-AU"/>
        </w:rPr>
        <w:t>.</w:t>
      </w:r>
    </w:p>
    <w:p w14:paraId="2A830DB4" w14:textId="77777777" w:rsidR="006F191F" w:rsidRPr="009B510C" w:rsidRDefault="006F191F" w:rsidP="009B510C">
      <w:pPr>
        <w:pStyle w:val="Recommendationheading"/>
        <w:ind w:left="0" w:firstLine="0"/>
      </w:pPr>
      <w:r w:rsidRPr="009B510C">
        <w:t>Methods preferred by decision-makers</w:t>
      </w:r>
    </w:p>
    <w:p w14:paraId="00B18A10" w14:textId="595DC78D" w:rsidR="006F191F" w:rsidRPr="006F191F" w:rsidRDefault="00826C4F" w:rsidP="006F191F">
      <w:pPr>
        <w:snapToGrid w:val="0"/>
        <w:spacing w:after="120" w:line="22" w:lineRule="atLeast"/>
        <w:rPr>
          <w:rFonts w:eastAsia="Calibri" w:cs="Segoe UI"/>
          <w:b/>
          <w:lang w:val="en-GB" w:eastAsia="ja-JP"/>
        </w:rPr>
      </w:pPr>
      <w:r w:rsidRPr="00826C4F">
        <w:rPr>
          <w:rFonts w:eastAsia="Calibri" w:cs="Segoe UI"/>
        </w:rPr>
        <w:t>Support the generation of a curated list of methodologies preferred by decision-makers</w:t>
      </w:r>
      <w:r w:rsidR="006F191F" w:rsidRPr="006F191F">
        <w:rPr>
          <w:rFonts w:eastAsia="Calibri" w:cs="Segoe UI"/>
        </w:rPr>
        <w:t xml:space="preserve">. </w:t>
      </w:r>
    </w:p>
    <w:p w14:paraId="360A28DB" w14:textId="77777777" w:rsidR="006F191F" w:rsidRPr="009B510C" w:rsidRDefault="006F191F" w:rsidP="009B510C">
      <w:pPr>
        <w:pStyle w:val="Recommendationheading"/>
        <w:ind w:left="0" w:firstLine="0"/>
      </w:pPr>
      <w:r w:rsidRPr="009B510C">
        <w:t>Therapies that target biomarkers (e.g. tumour-agnostic cancer therapies and therapies that target cells with particular gene alterations)</w:t>
      </w:r>
    </w:p>
    <w:p w14:paraId="3ECE375F" w14:textId="6B4B9A57" w:rsidR="006F191F" w:rsidRDefault="004A6BF7" w:rsidP="006F191F">
      <w:pPr>
        <w:snapToGrid w:val="0"/>
        <w:spacing w:after="120" w:line="22" w:lineRule="atLeast"/>
        <w:rPr>
          <w:rFonts w:eastAsia="Calibri" w:cs="Segoe UI"/>
          <w:lang w:eastAsia="en-AU"/>
        </w:rPr>
      </w:pPr>
      <w:r w:rsidRPr="004A6BF7">
        <w:rPr>
          <w:rFonts w:eastAsia="Calibri" w:cs="Segoe UI"/>
          <w:lang w:eastAsia="en-AU"/>
        </w:rPr>
        <w:t>Support the development of further guidance on methods for assessing tumour-agnostic therapies, genomic technologies and gene therapies</w:t>
      </w:r>
      <w:r w:rsidR="006F191F" w:rsidRPr="006F191F">
        <w:rPr>
          <w:rFonts w:eastAsia="Calibri" w:cs="Segoe UI"/>
          <w:lang w:eastAsia="en-AU"/>
        </w:rPr>
        <w:t xml:space="preserve">. </w:t>
      </w:r>
    </w:p>
    <w:bookmarkStart w:id="164" w:name="_Toc164685853"/>
    <w:bookmarkStart w:id="165" w:name="_Toc164691483"/>
    <w:bookmarkStart w:id="166" w:name="_Toc164696277"/>
    <w:bookmarkStart w:id="167" w:name="_Toc164696423"/>
    <w:bookmarkStart w:id="168" w:name="_Toc164767811"/>
    <w:bookmarkStart w:id="169" w:name="_Toc165473742"/>
    <w:bookmarkStart w:id="170" w:name="_Toc167970536"/>
    <w:bookmarkStart w:id="171" w:name="_Toc170210037"/>
    <w:bookmarkStart w:id="172" w:name="_Toc170238487"/>
    <w:p w14:paraId="3FAFAD78" w14:textId="3D7510F1" w:rsidR="00DE689A" w:rsidRDefault="00232E93" w:rsidP="00111447">
      <w:pPr>
        <w:pStyle w:val="Heading3"/>
        <w:spacing w:before="240"/>
      </w:pPr>
      <w:r>
        <w:rPr>
          <w:noProof/>
          <w14:ligatures w14:val="standardContextual"/>
        </w:rPr>
        <w:lastRenderedPageBreak/>
        <mc:AlternateContent>
          <mc:Choice Requires="wps">
            <w:drawing>
              <wp:anchor distT="0" distB="0" distL="114300" distR="114300" simplePos="0" relativeHeight="251658264" behindDoc="1" locked="0" layoutInCell="1" allowOverlap="1" wp14:anchorId="5EDFCAED" wp14:editId="0E67E253">
                <wp:simplePos x="0" y="0"/>
                <wp:positionH relativeFrom="margin">
                  <wp:align>right</wp:align>
                </wp:positionH>
                <wp:positionV relativeFrom="paragraph">
                  <wp:posOffset>338455</wp:posOffset>
                </wp:positionV>
                <wp:extent cx="5724525" cy="2847975"/>
                <wp:effectExtent l="0" t="0" r="9525" b="9525"/>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24525" cy="284797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CD359" id="Rectangle 24" o:spid="_x0000_s1026" alt="&quot;&quot;" style="position:absolute;margin-left:399.55pt;margin-top:26.65pt;width:450.75pt;height:224.25pt;z-index:-251658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" fillcolor="#bfd4f2 [660]" stroked="f" strokeweight="1pt">
                <w10:wrap anchorx="margin"/>
              </v:rect>
            </w:pict>
          </mc:Fallback>
        </mc:AlternateContent>
      </w:r>
      <w:r w:rsidR="00DE689A" w:rsidRPr="00C35BE4">
        <w:t>Chapter 8.4: Economic evaluation</w:t>
      </w:r>
      <w:bookmarkEnd w:id="164"/>
      <w:bookmarkEnd w:id="165"/>
      <w:bookmarkEnd w:id="166"/>
      <w:bookmarkEnd w:id="167"/>
      <w:bookmarkEnd w:id="168"/>
      <w:bookmarkEnd w:id="169"/>
      <w:bookmarkEnd w:id="170"/>
      <w:bookmarkEnd w:id="171"/>
      <w:bookmarkEnd w:id="172"/>
    </w:p>
    <w:p w14:paraId="5A917822" w14:textId="630E7A42" w:rsidR="00D20B18" w:rsidRDefault="00D20B18" w:rsidP="00522E8B">
      <w:pPr>
        <w:pStyle w:val="Subheading1"/>
        <w:ind w:left="113" w:right="113"/>
      </w:pPr>
      <w:r>
        <w:t>Objectives</w:t>
      </w:r>
    </w:p>
    <w:p w14:paraId="0A041B21" w14:textId="31AAEEB2" w:rsidR="00D20B18" w:rsidRPr="00D20B18" w:rsidRDefault="00127766" w:rsidP="00522E8B">
      <w:pPr>
        <w:ind w:left="113" w:right="113"/>
        <w:rPr>
          <w:rFonts w:eastAsia="Calibri" w:cs="Segoe UI"/>
          <w:kern w:val="2"/>
          <w14:ligatures w14:val="standardContextual"/>
        </w:rPr>
      </w:pPr>
      <w:r>
        <w:t>The recommendations in this chapter</w:t>
      </w:r>
      <w:r w:rsidR="00D20B18" w:rsidRPr="004E568F">
        <w:rPr>
          <w:rFonts w:cs="Segoe UI"/>
          <w:kern w:val="2"/>
          <w14:ligatures w14:val="standardContextual"/>
        </w:rPr>
        <w:t xml:space="preserve"> seek to ensure that economic evaluation methods don’t do not cause estimates of cost-effectiveness to vary inappropriately. It also seeks to ensure that sponsors understand the types of evidence required to satisfy the P</w:t>
      </w:r>
      <w:r w:rsidR="004A68C0">
        <w:rPr>
          <w:rFonts w:cs="Segoe UI"/>
          <w:kern w:val="2"/>
          <w14:ligatures w14:val="standardContextual"/>
        </w:rPr>
        <w:t xml:space="preserve">harmaceutical </w:t>
      </w:r>
      <w:r w:rsidR="00D20B18" w:rsidRPr="004E568F">
        <w:rPr>
          <w:rFonts w:cs="Segoe UI"/>
          <w:kern w:val="2"/>
          <w14:ligatures w14:val="standardContextual"/>
        </w:rPr>
        <w:t>B</w:t>
      </w:r>
      <w:r w:rsidR="004A68C0">
        <w:rPr>
          <w:rFonts w:cs="Segoe UI"/>
          <w:kern w:val="2"/>
          <w14:ligatures w14:val="standardContextual"/>
        </w:rPr>
        <w:t xml:space="preserve">enefits </w:t>
      </w:r>
      <w:r w:rsidR="00D20B18" w:rsidRPr="004E568F">
        <w:rPr>
          <w:rFonts w:cs="Segoe UI"/>
          <w:kern w:val="2"/>
          <w14:ligatures w14:val="standardContextual"/>
        </w:rPr>
        <w:t>A</w:t>
      </w:r>
      <w:r w:rsidR="004A68C0">
        <w:rPr>
          <w:rFonts w:cs="Segoe UI"/>
          <w:kern w:val="2"/>
          <w14:ligatures w14:val="standardContextual"/>
        </w:rPr>
        <w:t xml:space="preserve">dvisory </w:t>
      </w:r>
      <w:r w:rsidR="00D20B18" w:rsidRPr="004E568F">
        <w:rPr>
          <w:rFonts w:cs="Segoe UI"/>
          <w:kern w:val="2"/>
          <w14:ligatures w14:val="standardContextual"/>
        </w:rPr>
        <w:t>C</w:t>
      </w:r>
      <w:r w:rsidR="004A68C0">
        <w:rPr>
          <w:rFonts w:cs="Segoe UI"/>
          <w:kern w:val="2"/>
          <w14:ligatures w14:val="standardContextual"/>
        </w:rPr>
        <w:t>ommittee</w:t>
      </w:r>
      <w:r w:rsidR="00D20B18" w:rsidRPr="004E568F">
        <w:rPr>
          <w:rFonts w:cs="Segoe UI"/>
          <w:kern w:val="2"/>
          <w14:ligatures w14:val="standardContextual"/>
        </w:rPr>
        <w:t xml:space="preserve"> that health technologies claiming non-inferiority to the main comparator can cost more than other lower-cost alternative therapies. To the extent that updates to the </w:t>
      </w:r>
      <w:r w:rsidR="004A68C0" w:rsidRPr="004E568F">
        <w:rPr>
          <w:rFonts w:cs="Segoe UI"/>
          <w:kern w:val="2"/>
          <w14:ligatures w14:val="standardContextual"/>
        </w:rPr>
        <w:t>P</w:t>
      </w:r>
      <w:r w:rsidR="004A68C0">
        <w:rPr>
          <w:rFonts w:cs="Segoe UI"/>
          <w:kern w:val="2"/>
          <w14:ligatures w14:val="standardContextual"/>
        </w:rPr>
        <w:t xml:space="preserve">harmaceutical </w:t>
      </w:r>
      <w:r w:rsidR="004A68C0" w:rsidRPr="004E568F">
        <w:rPr>
          <w:rFonts w:cs="Segoe UI"/>
          <w:kern w:val="2"/>
          <w14:ligatures w14:val="standardContextual"/>
        </w:rPr>
        <w:t>B</w:t>
      </w:r>
      <w:r w:rsidR="004A68C0">
        <w:rPr>
          <w:rFonts w:cs="Segoe UI"/>
          <w:kern w:val="2"/>
          <w14:ligatures w14:val="standardContextual"/>
        </w:rPr>
        <w:t xml:space="preserve">enefits </w:t>
      </w:r>
      <w:r w:rsidR="004A68C0" w:rsidRPr="004E568F">
        <w:rPr>
          <w:rFonts w:cs="Segoe UI"/>
          <w:kern w:val="2"/>
          <w14:ligatures w14:val="standardContextual"/>
        </w:rPr>
        <w:t>A</w:t>
      </w:r>
      <w:r w:rsidR="004A68C0">
        <w:rPr>
          <w:rFonts w:cs="Segoe UI"/>
          <w:kern w:val="2"/>
          <w14:ligatures w14:val="standardContextual"/>
        </w:rPr>
        <w:t xml:space="preserve">dvisory </w:t>
      </w:r>
      <w:r w:rsidR="004A68C0" w:rsidRPr="004E568F">
        <w:rPr>
          <w:rFonts w:cs="Segoe UI"/>
          <w:kern w:val="2"/>
          <w14:ligatures w14:val="standardContextual"/>
        </w:rPr>
        <w:t>C</w:t>
      </w:r>
      <w:r w:rsidR="004A68C0">
        <w:rPr>
          <w:rFonts w:cs="Segoe UI"/>
          <w:kern w:val="2"/>
          <w14:ligatures w14:val="standardContextual"/>
        </w:rPr>
        <w:t>ommittee</w:t>
      </w:r>
      <w:r w:rsidR="004A68C0" w:rsidRPr="004E568F">
        <w:rPr>
          <w:rFonts w:cs="Segoe UI"/>
          <w:kern w:val="2"/>
          <w14:ligatures w14:val="standardContextual"/>
        </w:rPr>
        <w:t xml:space="preserve"> </w:t>
      </w:r>
      <w:r w:rsidR="00D20B18" w:rsidRPr="004E568F">
        <w:rPr>
          <w:rFonts w:cs="Segoe UI"/>
          <w:kern w:val="2"/>
          <w14:ligatures w14:val="standardContextual"/>
        </w:rPr>
        <w:t>and M</w:t>
      </w:r>
      <w:r w:rsidR="004A68C0">
        <w:rPr>
          <w:rFonts w:cs="Segoe UI"/>
          <w:kern w:val="2"/>
          <w14:ligatures w14:val="standardContextual"/>
        </w:rPr>
        <w:t xml:space="preserve">edical </w:t>
      </w:r>
      <w:r w:rsidR="00D20B18" w:rsidRPr="004E568F">
        <w:rPr>
          <w:rFonts w:cs="Segoe UI"/>
          <w:kern w:val="2"/>
          <w14:ligatures w14:val="standardContextual"/>
        </w:rPr>
        <w:t>S</w:t>
      </w:r>
      <w:r w:rsidR="004A68C0">
        <w:rPr>
          <w:rFonts w:cs="Segoe UI"/>
          <w:kern w:val="2"/>
          <w14:ligatures w14:val="standardContextual"/>
        </w:rPr>
        <w:t xml:space="preserve">ervices </w:t>
      </w:r>
      <w:r w:rsidR="00D20B18" w:rsidRPr="004E568F">
        <w:rPr>
          <w:rFonts w:cs="Segoe UI"/>
          <w:kern w:val="2"/>
          <w14:ligatures w14:val="standardContextual"/>
        </w:rPr>
        <w:t>A</w:t>
      </w:r>
      <w:r w:rsidR="004A68C0">
        <w:rPr>
          <w:rFonts w:cs="Segoe UI"/>
          <w:kern w:val="2"/>
          <w14:ligatures w14:val="standardContextual"/>
        </w:rPr>
        <w:t xml:space="preserve">dvisory </w:t>
      </w:r>
      <w:r w:rsidR="00D20B18" w:rsidRPr="004E568F">
        <w:rPr>
          <w:rFonts w:cs="Segoe UI"/>
          <w:kern w:val="2"/>
          <w14:ligatures w14:val="standardContextual"/>
        </w:rPr>
        <w:t>C</w:t>
      </w:r>
      <w:r w:rsidR="004A68C0">
        <w:rPr>
          <w:rFonts w:cs="Segoe UI"/>
          <w:kern w:val="2"/>
          <w14:ligatures w14:val="standardContextual"/>
        </w:rPr>
        <w:t>ommittee</w:t>
      </w:r>
      <w:r w:rsidR="00D20B18" w:rsidRPr="004E568F">
        <w:rPr>
          <w:rFonts w:cs="Segoe UI"/>
          <w:kern w:val="2"/>
          <w14:ligatures w14:val="standardContextual"/>
        </w:rPr>
        <w:t xml:space="preserve"> guidelines have downstream financial impacts, these will need to be costed and considered in a budget context before being implemented. The Review also seeks to ensure that Australia’s HTA processes are informed by Australian citizens’ expectations for pricing of new health technologies</w:t>
      </w:r>
      <w:r w:rsidR="00D20B18">
        <w:rPr>
          <w:rFonts w:cs="Segoe UI"/>
          <w:kern w:val="2"/>
          <w14:ligatures w14:val="standardContextual"/>
        </w:rPr>
        <w:t xml:space="preserve">. </w:t>
      </w:r>
    </w:p>
    <w:p w14:paraId="082F0657" w14:textId="77777777" w:rsidR="006F191F" w:rsidRPr="009B510C" w:rsidRDefault="006F191F" w:rsidP="009B510C">
      <w:pPr>
        <w:pStyle w:val="Recommendationheading"/>
        <w:ind w:left="0" w:firstLine="0"/>
      </w:pPr>
      <w:r w:rsidRPr="009B510C">
        <w:t>Discount rate</w:t>
      </w:r>
    </w:p>
    <w:p w14:paraId="4B168AAF" w14:textId="77777777" w:rsidR="00F52F81" w:rsidRPr="00F52F81" w:rsidRDefault="00F52F81" w:rsidP="00F52F81">
      <w:pPr>
        <w:keepNext/>
        <w:keepLines/>
        <w:snapToGrid w:val="0"/>
        <w:spacing w:after="120" w:line="22" w:lineRule="atLeast"/>
        <w:rPr>
          <w:rFonts w:eastAsia="Calibri" w:cs="Segoe UI"/>
        </w:rPr>
      </w:pPr>
      <w:r w:rsidRPr="00F52F81">
        <w:rPr>
          <w:rFonts w:eastAsia="Calibri" w:cs="Segoe UI"/>
        </w:rPr>
        <w:t xml:space="preserve">Support reduction of the base case discount rate to no lower than 3.5% for health technologies that have upfront costs and benefits that are claimed to accrue over a long period (such as gene therapies and some vaccines). </w:t>
      </w:r>
    </w:p>
    <w:p w14:paraId="14FDCDF9" w14:textId="35A28F24" w:rsidR="003874CA" w:rsidRPr="00F52F81" w:rsidRDefault="00F52F81" w:rsidP="00F52F81">
      <w:pPr>
        <w:keepNext/>
        <w:keepLines/>
        <w:snapToGrid w:val="0"/>
        <w:spacing w:after="120" w:line="22" w:lineRule="atLeast"/>
        <w:rPr>
          <w:rFonts w:eastAsia="Calibri" w:cs="Segoe UI"/>
        </w:rPr>
      </w:pPr>
      <w:r w:rsidRPr="00F52F81">
        <w:rPr>
          <w:rFonts w:eastAsia="Calibri" w:cs="Segoe UI"/>
        </w:rPr>
        <w:t xml:space="preserve">Comment by Ms Elizabeth de Somer, Member Nominated by Medicines Australia: ‘The industry recognises the movement in the discount rate in the recommendation and maintains that the base case discount rate should be reduced to 3.5% for all health technologies and 1.5% for those medicines where the benefits accrue over a longer time.’ </w:t>
      </w:r>
      <w:r w:rsidR="003874CA" w:rsidRPr="003874CA">
        <w:rPr>
          <w:color w:val="808080" w:themeColor="background1" w:themeShade="80"/>
        </w:rPr>
        <w:t xml:space="preserve"> </w:t>
      </w:r>
    </w:p>
    <w:p w14:paraId="6502D48D" w14:textId="77777777" w:rsidR="006F191F" w:rsidRPr="009B510C" w:rsidRDefault="006F191F" w:rsidP="009B510C">
      <w:pPr>
        <w:pStyle w:val="Recommendationheading"/>
        <w:ind w:left="0" w:firstLine="0"/>
      </w:pPr>
      <w:r w:rsidRPr="009B510C">
        <w:t>Comparator selection</w:t>
      </w:r>
    </w:p>
    <w:p w14:paraId="343583BA" w14:textId="412D9687" w:rsidR="00BC1CEE" w:rsidRPr="00BC1CEE" w:rsidRDefault="00BC1CEE" w:rsidP="00BC1CEE">
      <w:pPr>
        <w:snapToGrid w:val="0"/>
        <w:spacing w:after="120" w:line="22" w:lineRule="atLeast"/>
        <w:rPr>
          <w:rFonts w:eastAsia="Calibri" w:cs="Segoe UI"/>
        </w:rPr>
      </w:pPr>
      <w:r w:rsidRPr="00BC1CEE">
        <w:rPr>
          <w:rFonts w:eastAsia="Calibri" w:cs="Segoe UI"/>
        </w:rPr>
        <w:t xml:space="preserve">Support updates to the Pharmaceutical Benefits Advisory Committee Guidelines to clarify what alternative therapy should be selected as the main comparator in submissions for health technologies with multiple alternative therapies. The updates should make clear that health technologies claiming non-inferiority to the main comparator can be more expensive than lower-cost alternatives when those alternatives are inferior or for other clinical reasons no longer considered alternatives. </w:t>
      </w:r>
    </w:p>
    <w:p w14:paraId="00278334" w14:textId="277AF977" w:rsidR="00F40684" w:rsidRPr="00BC1CEE" w:rsidRDefault="00BC1CEE" w:rsidP="00BC1CEE">
      <w:pPr>
        <w:snapToGrid w:val="0"/>
        <w:spacing w:after="120" w:line="22" w:lineRule="atLeast"/>
        <w:rPr>
          <w:rFonts w:eastAsia="Calibri" w:cs="Segoe UI"/>
        </w:rPr>
      </w:pPr>
      <w:r w:rsidRPr="00BC1CEE">
        <w:rPr>
          <w:rFonts w:eastAsia="Calibri" w:cs="Segoe UI"/>
        </w:rPr>
        <w:t xml:space="preserve">Comment by Ms Elizabeth de Somer, Member Nominated by Medicines Australia: ‘The industry recognises the importance of the updated </w:t>
      </w:r>
      <w:r w:rsidR="007E08EA">
        <w:rPr>
          <w:rFonts w:eastAsia="Calibri" w:cs="Segoe UI"/>
        </w:rPr>
        <w:t>PBAC</w:t>
      </w:r>
      <w:r w:rsidRPr="00BC1CEE">
        <w:rPr>
          <w:rFonts w:eastAsia="Calibri" w:cs="Segoe UI"/>
        </w:rPr>
        <w:t xml:space="preserve"> Guidelines that provide clarity to the </w:t>
      </w:r>
      <w:r w:rsidR="007E08EA">
        <w:rPr>
          <w:rFonts w:eastAsia="Calibri" w:cs="Segoe UI"/>
        </w:rPr>
        <w:t>PBAC</w:t>
      </w:r>
      <w:r w:rsidRPr="00BC1CEE">
        <w:rPr>
          <w:rFonts w:eastAsia="Calibri" w:cs="Segoe UI"/>
        </w:rPr>
        <w:t xml:space="preserve"> and maintains this would be strengthened with an alternative recommendation: The National Health Act includes an additional clause to clarify that, in subsections 101(3A) and (3B), in having regard to the alternative therapy or therapies for the relevant patient population and any sub-populations, the Committee must consider the therapy or therapies most likely to be replaced in clinical practice.’</w:t>
      </w:r>
    </w:p>
    <w:p w14:paraId="455C8354" w14:textId="77777777" w:rsidR="006F191F" w:rsidRPr="009B510C" w:rsidRDefault="006F191F" w:rsidP="009B510C">
      <w:pPr>
        <w:pStyle w:val="Recommendationheading"/>
        <w:ind w:left="0" w:firstLine="0"/>
      </w:pPr>
      <w:r w:rsidRPr="009B510C">
        <w:t>Cost-minimisation submissions</w:t>
      </w:r>
    </w:p>
    <w:p w14:paraId="09271419" w14:textId="59B98988" w:rsidR="006F191F" w:rsidRPr="006F191F" w:rsidRDefault="006F191F" w:rsidP="006F191F">
      <w:pPr>
        <w:snapToGrid w:val="0"/>
        <w:spacing w:after="120" w:line="22" w:lineRule="atLeast"/>
        <w:rPr>
          <w:rFonts w:eastAsia="Calibri" w:cs="Segoe UI"/>
          <w:b/>
          <w:bCs/>
        </w:rPr>
      </w:pPr>
      <w:r w:rsidRPr="006F191F">
        <w:rPr>
          <w:rFonts w:eastAsia="Calibri" w:cs="Segoe UI"/>
        </w:rPr>
        <w:t xml:space="preserve">Investigate mechanisms to differentiate cost-minimisation submissions based on the proportionate benefit and relative cost. </w:t>
      </w:r>
    </w:p>
    <w:p w14:paraId="3B3AA9BF" w14:textId="77777777" w:rsidR="006F191F" w:rsidRPr="009B510C" w:rsidRDefault="006F191F" w:rsidP="009B510C">
      <w:pPr>
        <w:pStyle w:val="Recommendationheading"/>
        <w:ind w:left="0" w:firstLine="0"/>
      </w:pPr>
      <w:r w:rsidRPr="009B510C">
        <w:lastRenderedPageBreak/>
        <w:t>Valuing and pricing</w:t>
      </w:r>
    </w:p>
    <w:p w14:paraId="548ED3BC" w14:textId="2B4A6334" w:rsidR="006F191F" w:rsidRDefault="006A2C47" w:rsidP="006F191F">
      <w:pPr>
        <w:snapToGrid w:val="0"/>
        <w:spacing w:after="120" w:line="22" w:lineRule="atLeast"/>
        <w:rPr>
          <w:rFonts w:eastAsia="Calibri" w:cs="Segoe UI"/>
        </w:rPr>
      </w:pPr>
      <w:r w:rsidRPr="006A2C47">
        <w:rPr>
          <w:rFonts w:eastAsia="Calibri" w:cs="Segoe UI"/>
        </w:rPr>
        <w:t>Conduct research to understand if and where it may be reasonable for HTA committees to accept higher prices for health technologies than are currently accepted</w:t>
      </w:r>
      <w:r w:rsidR="006F191F" w:rsidRPr="006F191F">
        <w:rPr>
          <w:rFonts w:eastAsia="Calibri" w:cs="Segoe UI"/>
        </w:rPr>
        <w:t>.</w:t>
      </w:r>
    </w:p>
    <w:bookmarkStart w:id="173" w:name="_Toc164685854"/>
    <w:bookmarkStart w:id="174" w:name="_Toc164691488"/>
    <w:bookmarkStart w:id="175" w:name="_Toc164696282"/>
    <w:bookmarkStart w:id="176" w:name="_Toc164696428"/>
    <w:bookmarkStart w:id="177" w:name="_Toc164767816"/>
    <w:bookmarkStart w:id="178" w:name="_Toc165473748"/>
    <w:bookmarkStart w:id="179" w:name="_Toc167970537"/>
    <w:bookmarkStart w:id="180" w:name="_Toc170210038"/>
    <w:bookmarkStart w:id="181" w:name="_Toc170238488"/>
    <w:p w14:paraId="763DA8CE" w14:textId="39C933F1" w:rsidR="00CF787B" w:rsidRDefault="00994E45" w:rsidP="00111447">
      <w:pPr>
        <w:pStyle w:val="Heading3"/>
        <w:spacing w:before="240"/>
      </w:pPr>
      <w:r>
        <w:rPr>
          <w:noProof/>
          <w14:ligatures w14:val="standardContextual"/>
        </w:rPr>
        <mc:AlternateContent>
          <mc:Choice Requires="wps">
            <w:drawing>
              <wp:anchor distT="0" distB="0" distL="114300" distR="114300" simplePos="0" relativeHeight="251658266" behindDoc="1" locked="0" layoutInCell="1" allowOverlap="1" wp14:anchorId="08173BB5" wp14:editId="4262341D">
                <wp:simplePos x="0" y="0"/>
                <wp:positionH relativeFrom="margin">
                  <wp:align>right</wp:align>
                </wp:positionH>
                <wp:positionV relativeFrom="paragraph">
                  <wp:posOffset>409575</wp:posOffset>
                </wp:positionV>
                <wp:extent cx="5734050" cy="3257550"/>
                <wp:effectExtent l="0" t="0" r="0" b="0"/>
                <wp:wrapNone/>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325755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2D46F" id="Rectangle 26" o:spid="_x0000_s1026" alt="&quot;&quot;" style="position:absolute;margin-left:400.3pt;margin-top:32.25pt;width:451.5pt;height:256.5pt;z-index:-251658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" fillcolor="#bfd4f2 [660]" stroked="f" strokeweight="1pt">
                <w10:wrap anchorx="margin"/>
              </v:rect>
            </w:pict>
          </mc:Fallback>
        </mc:AlternateContent>
      </w:r>
      <w:r w:rsidR="00CF787B" w:rsidRPr="00C35BE4">
        <w:t>Chapter 8.5: Environmental considerations</w:t>
      </w:r>
      <w:bookmarkEnd w:id="173"/>
      <w:bookmarkEnd w:id="174"/>
      <w:bookmarkEnd w:id="175"/>
      <w:bookmarkEnd w:id="176"/>
      <w:bookmarkEnd w:id="177"/>
      <w:bookmarkEnd w:id="178"/>
      <w:bookmarkEnd w:id="179"/>
      <w:bookmarkEnd w:id="180"/>
      <w:bookmarkEnd w:id="181"/>
    </w:p>
    <w:p w14:paraId="428F5DBE" w14:textId="3F018E9F" w:rsidR="00B838D7" w:rsidRDefault="00B838D7" w:rsidP="00522E8B">
      <w:pPr>
        <w:pStyle w:val="Subheading1"/>
        <w:ind w:left="113" w:right="113"/>
      </w:pPr>
      <w:r>
        <w:t>Objectives</w:t>
      </w:r>
    </w:p>
    <w:p w14:paraId="163A2F7E" w14:textId="0593E44E" w:rsidR="00B838D7" w:rsidRDefault="00127766" w:rsidP="00522E8B">
      <w:pPr>
        <w:ind w:left="113" w:right="113"/>
      </w:pPr>
      <w:r>
        <w:t>The recommendations in this chapter</w:t>
      </w:r>
      <w:r w:rsidRPr="004E568F">
        <w:rPr>
          <w:rFonts w:cs="Segoe UI"/>
          <w:kern w:val="2"/>
          <w14:ligatures w14:val="standardContextual"/>
        </w:rPr>
        <w:t xml:space="preserve"> </w:t>
      </w:r>
      <w:r>
        <w:rPr>
          <w:rFonts w:cs="Segoe UI"/>
          <w:kern w:val="2"/>
          <w14:ligatures w14:val="standardContextual"/>
        </w:rPr>
        <w:t xml:space="preserve">aim to set </w:t>
      </w:r>
      <w:r w:rsidR="00B838D7">
        <w:t xml:space="preserve">out new arrangements that recognise the substantial research and consultation conducted during the development of the </w:t>
      </w:r>
      <w:r w:rsidR="00B838D7" w:rsidRPr="000D7528">
        <w:t>National Health and Climate Strategy</w:t>
      </w:r>
      <w:r w:rsidR="007D0A82">
        <w:rPr>
          <w:rStyle w:val="FootnoteReference"/>
        </w:rPr>
        <w:footnoteReference w:id="9"/>
      </w:r>
      <w:r w:rsidR="00B838D7">
        <w:t xml:space="preserve"> and align with its four core objectives:</w:t>
      </w:r>
    </w:p>
    <w:p w14:paraId="513CBC2E" w14:textId="51268CCC" w:rsidR="00B838D7" w:rsidRDefault="00B838D7" w:rsidP="00522E8B">
      <w:pPr>
        <w:numPr>
          <w:ilvl w:val="0"/>
          <w:numId w:val="2"/>
        </w:numPr>
        <w:snapToGrid w:val="0"/>
        <w:spacing w:line="22" w:lineRule="atLeast"/>
        <w:ind w:left="714" w:right="113" w:hanging="357"/>
        <w:contextualSpacing/>
      </w:pPr>
      <w:r w:rsidRPr="00B838D7">
        <w:rPr>
          <w:b/>
          <w:bCs/>
        </w:rPr>
        <w:t>Health system resilience:</w:t>
      </w:r>
      <w:r>
        <w:t xml:space="preserve"> build a climate-resilient health system and enhance its capacity to protect health and wellbeing from the impacts of climate change</w:t>
      </w:r>
    </w:p>
    <w:p w14:paraId="220C0E86" w14:textId="0D75FB92" w:rsidR="00B838D7" w:rsidRDefault="00B838D7" w:rsidP="00522E8B">
      <w:pPr>
        <w:numPr>
          <w:ilvl w:val="0"/>
          <w:numId w:val="2"/>
        </w:numPr>
        <w:snapToGrid w:val="0"/>
        <w:spacing w:line="22" w:lineRule="atLeast"/>
        <w:ind w:left="714" w:right="113" w:hanging="357"/>
        <w:contextualSpacing/>
      </w:pPr>
      <w:r w:rsidRPr="00B838D7">
        <w:rPr>
          <w:b/>
          <w:bCs/>
        </w:rPr>
        <w:t>Health system decarbonisation:</w:t>
      </w:r>
      <w:r>
        <w:t xml:space="preserve"> build a sustainable, high-quality, net zero health system</w:t>
      </w:r>
    </w:p>
    <w:p w14:paraId="4395EE0A" w14:textId="0CAD0D31" w:rsidR="00B838D7" w:rsidRDefault="00B838D7" w:rsidP="00522E8B">
      <w:pPr>
        <w:numPr>
          <w:ilvl w:val="0"/>
          <w:numId w:val="2"/>
        </w:numPr>
        <w:snapToGrid w:val="0"/>
        <w:spacing w:line="22" w:lineRule="atLeast"/>
        <w:ind w:left="714" w:right="113" w:hanging="357"/>
        <w:contextualSpacing/>
      </w:pPr>
      <w:r w:rsidRPr="00B838D7">
        <w:rPr>
          <w:b/>
          <w:bCs/>
        </w:rPr>
        <w:t>International collaboration:</w:t>
      </w:r>
      <w:r>
        <w:t xml:space="preserve"> collaborate internationally to build sustainable, climate-resilient health systems and communities</w:t>
      </w:r>
    </w:p>
    <w:p w14:paraId="2566B43E" w14:textId="57AA1BBB" w:rsidR="00B838D7" w:rsidRPr="00B838D7" w:rsidRDefault="00B838D7" w:rsidP="00522E8B">
      <w:pPr>
        <w:numPr>
          <w:ilvl w:val="0"/>
          <w:numId w:val="2"/>
        </w:numPr>
        <w:snapToGrid w:val="0"/>
        <w:spacing w:line="22" w:lineRule="atLeast"/>
        <w:ind w:left="714" w:right="113" w:hanging="357"/>
        <w:contextualSpacing/>
      </w:pPr>
      <w:r w:rsidRPr="00B838D7">
        <w:rPr>
          <w:b/>
          <w:bCs/>
        </w:rPr>
        <w:t>Health in all policies:</w:t>
      </w:r>
      <w:r>
        <w:t xml:space="preserve"> support healthy, climate-resilient and sustainable communities through whole-of-government action that recognises the relationship between health and climate outcomes.</w:t>
      </w:r>
    </w:p>
    <w:p w14:paraId="065DBADA" w14:textId="77777777" w:rsidR="006F191F" w:rsidRPr="009B510C" w:rsidRDefault="006F191F" w:rsidP="009B510C">
      <w:pPr>
        <w:pStyle w:val="Recommendationheading"/>
        <w:ind w:left="0" w:firstLine="0"/>
      </w:pPr>
      <w:r w:rsidRPr="009B510C">
        <w:t>Environmental impact reporting</w:t>
      </w:r>
    </w:p>
    <w:p w14:paraId="4D19490E" w14:textId="34F6DE40" w:rsidR="003107FD" w:rsidRPr="00B838D7" w:rsidRDefault="005D3A11" w:rsidP="00B838D7">
      <w:pPr>
        <w:rPr>
          <w:rFonts w:eastAsia="Calibri" w:cs="Segoe UI"/>
        </w:rPr>
      </w:pPr>
      <w:r w:rsidRPr="00B838D7">
        <w:t>Investigate</w:t>
      </w:r>
      <w:r w:rsidRPr="005D3A11">
        <w:rPr>
          <w:rFonts w:eastAsia="Calibri" w:cs="Segoe UI"/>
        </w:rPr>
        <w:t xml:space="preserve"> options, in consultation with industry and stakeholders, for reporting environmental impacts in the assessment of health technologies</w:t>
      </w:r>
      <w:r w:rsidR="006F191F" w:rsidRPr="006F191F">
        <w:rPr>
          <w:rFonts w:eastAsia="Calibri" w:cs="Segoe UI"/>
        </w:rPr>
        <w:t xml:space="preserve">. </w:t>
      </w:r>
    </w:p>
    <w:p w14:paraId="2EA70659" w14:textId="22D8ABD5" w:rsidR="006F191F" w:rsidRPr="00C35BE4" w:rsidRDefault="006F191F" w:rsidP="00053079">
      <w:pPr>
        <w:pStyle w:val="Heading2"/>
      </w:pPr>
      <w:bookmarkStart w:id="182" w:name="_Toc170238489"/>
      <w:bookmarkStart w:id="183" w:name="_Toc170210039"/>
      <w:bookmarkStart w:id="184" w:name="_Toc172030766"/>
      <w:r w:rsidRPr="006F191F">
        <w:t>C</w:t>
      </w:r>
      <w:r w:rsidR="00BE7D8C">
        <w:t>hapter</w:t>
      </w:r>
      <w:r w:rsidRPr="006F191F">
        <w:t xml:space="preserve"> 9: S</w:t>
      </w:r>
      <w:r w:rsidR="00BE7D8C">
        <w:t>upporting architecture for health technology assessments</w:t>
      </w:r>
      <w:bookmarkEnd w:id="182"/>
      <w:bookmarkEnd w:id="183"/>
      <w:bookmarkEnd w:id="184"/>
    </w:p>
    <w:bookmarkStart w:id="185" w:name="_Toc164767823"/>
    <w:bookmarkStart w:id="186" w:name="_Toc165473756"/>
    <w:bookmarkStart w:id="187" w:name="_Toc167970540"/>
    <w:bookmarkStart w:id="188" w:name="_Toc170210040"/>
    <w:bookmarkStart w:id="189" w:name="_Toc170238490"/>
    <w:p w14:paraId="574024AB" w14:textId="5B4CFA89" w:rsidR="005D3358" w:rsidRDefault="00994E45" w:rsidP="002E38CE">
      <w:pPr>
        <w:pStyle w:val="Heading3"/>
      </w:pPr>
      <w:r>
        <w:rPr>
          <w:noProof/>
          <w14:ligatures w14:val="standardContextual"/>
        </w:rPr>
        <mc:AlternateContent>
          <mc:Choice Requires="wps">
            <w:drawing>
              <wp:anchor distT="0" distB="0" distL="114300" distR="114300" simplePos="0" relativeHeight="251658267" behindDoc="1" locked="0" layoutInCell="1" allowOverlap="1" wp14:anchorId="6ED0C1DF" wp14:editId="4C760B96">
                <wp:simplePos x="0" y="0"/>
                <wp:positionH relativeFrom="margin">
                  <wp:align>right</wp:align>
                </wp:positionH>
                <wp:positionV relativeFrom="paragraph">
                  <wp:posOffset>368300</wp:posOffset>
                </wp:positionV>
                <wp:extent cx="5724525" cy="1062355"/>
                <wp:effectExtent l="0" t="0" r="9525" b="4445"/>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24525" cy="106235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5A794" id="Rectangle 27" o:spid="_x0000_s1026" alt="&quot;&quot;" style="position:absolute;margin-left:399.55pt;margin-top:29pt;width:450.75pt;height:83.65pt;z-index:-25165821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" fillcolor="#bfd4f2 [660]" stroked="f" strokeweight="1pt">
                <w10:wrap anchorx="margin"/>
              </v:rect>
            </w:pict>
          </mc:Fallback>
        </mc:AlternateContent>
      </w:r>
      <w:r w:rsidR="005D3358" w:rsidRPr="00C35BE4">
        <w:t>Chapter 9.1: Proactively addressing areas of unmet clinical need</w:t>
      </w:r>
      <w:bookmarkEnd w:id="185"/>
      <w:bookmarkEnd w:id="186"/>
      <w:bookmarkEnd w:id="187"/>
      <w:bookmarkEnd w:id="188"/>
      <w:bookmarkEnd w:id="189"/>
      <w:r w:rsidR="005D3358" w:rsidRPr="00C35BE4">
        <w:t xml:space="preserve"> </w:t>
      </w:r>
    </w:p>
    <w:p w14:paraId="3FB61026" w14:textId="6BDB68B6" w:rsidR="00A63892" w:rsidRDefault="00A63892" w:rsidP="00522E8B">
      <w:pPr>
        <w:pStyle w:val="Subheading1"/>
        <w:ind w:left="113" w:right="113"/>
      </w:pPr>
      <w:r>
        <w:t>Objectives</w:t>
      </w:r>
    </w:p>
    <w:p w14:paraId="4171A43A" w14:textId="105FC0A1" w:rsidR="00A63892" w:rsidRPr="00A63892" w:rsidRDefault="00127766" w:rsidP="00522E8B">
      <w:pPr>
        <w:ind w:left="113" w:right="113"/>
        <w:rPr>
          <w:rFonts w:eastAsia="Calibri"/>
          <w:b/>
          <w:bCs/>
        </w:rPr>
      </w:pPr>
      <w:r>
        <w:t>The recommendations in this chapter</w:t>
      </w:r>
      <w:r w:rsidRPr="004E568F">
        <w:rPr>
          <w:rFonts w:cs="Segoe UI"/>
          <w:kern w:val="2"/>
          <w14:ligatures w14:val="standardContextual"/>
        </w:rPr>
        <w:t xml:space="preserve"> </w:t>
      </w:r>
      <w:r>
        <w:rPr>
          <w:rFonts w:cs="Segoe UI"/>
          <w:kern w:val="2"/>
          <w14:ligatures w14:val="standardContextual"/>
        </w:rPr>
        <w:t xml:space="preserve">aim to </w:t>
      </w:r>
      <w:r w:rsidR="00A63892" w:rsidRPr="00081C10">
        <w:rPr>
          <w:rFonts w:cs="Segoe UI"/>
        </w:rPr>
        <w:t xml:space="preserve">set out new arrangements that focus on identifying, screening and inviting the submission of health technologies for public subsidy that address </w:t>
      </w:r>
      <w:r w:rsidR="00A63892">
        <w:rPr>
          <w:rFonts w:cs="Segoe UI"/>
        </w:rPr>
        <w:t xml:space="preserve">high unmet clinical need </w:t>
      </w:r>
      <w:r w:rsidR="00A63892" w:rsidRPr="00081C10">
        <w:rPr>
          <w:rFonts w:cs="Segoe UI"/>
        </w:rPr>
        <w:t>and health inequities</w:t>
      </w:r>
      <w:r w:rsidR="00A63892">
        <w:rPr>
          <w:rFonts w:cs="Segoe UI"/>
        </w:rPr>
        <w:t>.</w:t>
      </w:r>
    </w:p>
    <w:p w14:paraId="58AB4A64" w14:textId="5D56331E" w:rsidR="006F191F" w:rsidRPr="009B510C" w:rsidRDefault="006F191F" w:rsidP="009B510C">
      <w:pPr>
        <w:pStyle w:val="Recommendationheading"/>
        <w:ind w:left="0" w:firstLine="0"/>
      </w:pPr>
      <w:r w:rsidRPr="009B510C">
        <w:t xml:space="preserve">Identifying therapeutic areas of high unmet clinical need </w:t>
      </w:r>
    </w:p>
    <w:p w14:paraId="3E51B1CC" w14:textId="0B82429E" w:rsidR="006F191F" w:rsidRPr="006F191F" w:rsidRDefault="00C700F6" w:rsidP="006F191F">
      <w:pPr>
        <w:snapToGrid w:val="0"/>
        <w:spacing w:after="120" w:line="22" w:lineRule="atLeast"/>
        <w:rPr>
          <w:rFonts w:eastAsia="Calibri" w:cs="Segoe UI"/>
          <w:b/>
          <w:bCs/>
        </w:rPr>
      </w:pPr>
      <w:r w:rsidRPr="000A53B0">
        <w:rPr>
          <w:rFonts w:cs="Segoe UI"/>
        </w:rPr>
        <w:t xml:space="preserve">Develop a process and criteria to support ongoing identification of therapeutic areas of </w:t>
      </w:r>
      <w:r w:rsidRPr="00AB2BEE">
        <w:rPr>
          <w:rFonts w:cs="Segoe UI"/>
        </w:rPr>
        <w:t>high unmet clinical need</w:t>
      </w:r>
      <w:r w:rsidR="006F191F" w:rsidRPr="006F191F">
        <w:rPr>
          <w:rFonts w:eastAsia="Calibri" w:cs="Segoe UI"/>
        </w:rPr>
        <w:t xml:space="preserve">. </w:t>
      </w:r>
    </w:p>
    <w:p w14:paraId="5F1EC649" w14:textId="4EF3FDA2" w:rsidR="006F191F" w:rsidRPr="009B510C" w:rsidRDefault="006F191F" w:rsidP="009B510C">
      <w:pPr>
        <w:pStyle w:val="Recommendationheading"/>
        <w:ind w:left="0" w:firstLine="0"/>
      </w:pPr>
      <w:r w:rsidRPr="009B510C">
        <w:lastRenderedPageBreak/>
        <w:t xml:space="preserve">Identifying therapies to address therapeutic areas of high unmet clinical need </w:t>
      </w:r>
    </w:p>
    <w:p w14:paraId="3AA9BCEE" w14:textId="685C6872" w:rsidR="006F191F" w:rsidRPr="006F191F" w:rsidRDefault="006F74F3" w:rsidP="006F191F">
      <w:pPr>
        <w:snapToGrid w:val="0"/>
        <w:spacing w:after="120" w:line="22" w:lineRule="atLeast"/>
        <w:rPr>
          <w:rFonts w:eastAsia="Calibri" w:cs="Segoe UI"/>
        </w:rPr>
      </w:pPr>
      <w:r w:rsidRPr="006F74F3">
        <w:rPr>
          <w:rFonts w:eastAsia="Calibri" w:cs="Segoe UI"/>
        </w:rPr>
        <w:t>Develop a process for identifying high added therapeutic value health technologies that may address identified high unmet clinical need</w:t>
      </w:r>
      <w:r w:rsidR="006F191F" w:rsidRPr="006F191F">
        <w:rPr>
          <w:rFonts w:eastAsia="Calibri" w:cs="Segoe UI"/>
        </w:rPr>
        <w:t xml:space="preserve">. </w:t>
      </w:r>
    </w:p>
    <w:p w14:paraId="1CC1CB35" w14:textId="1F426C56" w:rsidR="006F191F" w:rsidRPr="009B510C" w:rsidRDefault="006F191F" w:rsidP="009B510C">
      <w:pPr>
        <w:pStyle w:val="Recommendationheading"/>
        <w:ind w:left="0" w:firstLine="0"/>
      </w:pPr>
      <w:r w:rsidRPr="009B510C">
        <w:t xml:space="preserve">Proactive pre-HTA processes supporting the introduction of identified health technologies for high unmet clinical need </w:t>
      </w:r>
    </w:p>
    <w:p w14:paraId="519D7470" w14:textId="443771C0" w:rsidR="006F191F" w:rsidRDefault="00C42E62" w:rsidP="006F191F">
      <w:pPr>
        <w:snapToGrid w:val="0"/>
        <w:spacing w:after="120" w:line="22" w:lineRule="atLeast"/>
        <w:rPr>
          <w:rFonts w:eastAsia="Calibri" w:cs="Segoe UI"/>
        </w:rPr>
      </w:pPr>
      <w:r w:rsidRPr="00C42E62">
        <w:rPr>
          <w:rFonts w:eastAsia="Calibri" w:cs="Segoe UI"/>
        </w:rPr>
        <w:t>Establish arrangements that bring key stakeholders together to discuss how to bring forward timely development and lodgement of HTA submissions for identified health technologies that address identified high unmet clinical need</w:t>
      </w:r>
      <w:r w:rsidR="006F191F" w:rsidRPr="006F191F">
        <w:rPr>
          <w:rFonts w:eastAsia="Calibri" w:cs="Segoe UI"/>
        </w:rPr>
        <w:t xml:space="preserve">. </w:t>
      </w:r>
    </w:p>
    <w:p w14:paraId="05E0FB1B" w14:textId="2D68C902" w:rsidR="00A91DF7" w:rsidRDefault="00994E45" w:rsidP="00111447">
      <w:pPr>
        <w:pStyle w:val="Heading3"/>
        <w:spacing w:before="240"/>
      </w:pPr>
      <w:r>
        <w:rPr>
          <w:noProof/>
          <w14:ligatures w14:val="standardContextual"/>
        </w:rPr>
        <mc:AlternateContent>
          <mc:Choice Requires="wps">
            <w:drawing>
              <wp:anchor distT="0" distB="0" distL="114300" distR="114300" simplePos="0" relativeHeight="251658268" behindDoc="1" locked="0" layoutInCell="1" allowOverlap="1" wp14:anchorId="1041D039" wp14:editId="67A7452B">
                <wp:simplePos x="0" y="0"/>
                <wp:positionH relativeFrom="margin">
                  <wp:align>right</wp:align>
                </wp:positionH>
                <wp:positionV relativeFrom="paragraph">
                  <wp:posOffset>440690</wp:posOffset>
                </wp:positionV>
                <wp:extent cx="5734050" cy="1519555"/>
                <wp:effectExtent l="0" t="0" r="0" b="4445"/>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4050" cy="151955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6692D" id="Rectangle 28" o:spid="_x0000_s1026" alt="&quot;&quot;" style="position:absolute;margin-left:400.3pt;margin-top:34.7pt;width:451.5pt;height:119.65pt;z-index:-2516582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" fillcolor="#bfd4f2 [660]" stroked="f" strokeweight="1pt">
                <w10:wrap anchorx="margin"/>
              </v:rect>
            </w:pict>
          </mc:Fallback>
        </mc:AlternateContent>
      </w:r>
      <w:r w:rsidR="00A91DF7">
        <w:t>Chapter 9.2: Horizon scanning</w:t>
      </w:r>
    </w:p>
    <w:p w14:paraId="2BB69CC6" w14:textId="5074D6FF" w:rsidR="002F627C" w:rsidRDefault="002F627C" w:rsidP="00522E8B">
      <w:pPr>
        <w:pStyle w:val="Subheading1"/>
        <w:ind w:left="113" w:right="113"/>
      </w:pPr>
      <w:r>
        <w:t>Objectives</w:t>
      </w:r>
    </w:p>
    <w:p w14:paraId="636EC634" w14:textId="446D9ED4" w:rsidR="002F627C" w:rsidRPr="002F627C" w:rsidRDefault="00127766" w:rsidP="00522E8B">
      <w:pPr>
        <w:ind w:left="113" w:right="113"/>
      </w:pPr>
      <w:r>
        <w:t>The recommendations in this chapter</w:t>
      </w:r>
      <w:r w:rsidRPr="004E568F">
        <w:rPr>
          <w:rFonts w:cs="Segoe UI"/>
          <w:kern w:val="2"/>
          <w14:ligatures w14:val="standardContextual"/>
        </w:rPr>
        <w:t xml:space="preserve"> </w:t>
      </w:r>
      <w:r>
        <w:rPr>
          <w:rFonts w:cs="Segoe UI"/>
          <w:kern w:val="2"/>
          <w14:ligatures w14:val="standardContextual"/>
        </w:rPr>
        <w:t xml:space="preserve">aim to </w:t>
      </w:r>
      <w:r w:rsidR="002F627C" w:rsidRPr="002F627C">
        <w:rPr>
          <w:rFonts w:cs="Segoe UI"/>
          <w:kern w:val="2"/>
          <w14:ligatures w14:val="standardContextual"/>
        </w:rPr>
        <w:t>set out new arrangements that focus on identifying health technologies and emerging health systems issues in a structured form. This will support efficient evaluation, resource allocation, stakeholder engagement and policy planning activities associated with using health technologies in the Australian health system</w:t>
      </w:r>
      <w:r w:rsidR="002F627C">
        <w:rPr>
          <w:rFonts w:cs="Segoe UI"/>
          <w:kern w:val="2"/>
          <w14:ligatures w14:val="standardContextual"/>
        </w:rPr>
        <w:t>.</w:t>
      </w:r>
    </w:p>
    <w:p w14:paraId="2088D1C5" w14:textId="0F2E17BC" w:rsidR="006F191F" w:rsidRPr="009B510C" w:rsidRDefault="006F191F" w:rsidP="009B510C">
      <w:pPr>
        <w:pStyle w:val="Recommendationheading"/>
        <w:ind w:left="0" w:firstLine="0"/>
      </w:pPr>
      <w:r w:rsidRPr="009B510C">
        <w:t xml:space="preserve">Horizon scanning </w:t>
      </w:r>
    </w:p>
    <w:p w14:paraId="3B0DEA5B" w14:textId="41A93B2E" w:rsidR="00F152C6" w:rsidRPr="002F627C" w:rsidRDefault="00A07452" w:rsidP="002F627C">
      <w:pPr>
        <w:snapToGrid w:val="0"/>
        <w:spacing w:after="120" w:line="22" w:lineRule="atLeast"/>
        <w:rPr>
          <w:rFonts w:eastAsia="Calibri" w:cs="Segoe UI"/>
        </w:rPr>
      </w:pPr>
      <w:r w:rsidRPr="00A07452">
        <w:rPr>
          <w:rFonts w:eastAsia="Calibri" w:cs="Segoe UI"/>
        </w:rPr>
        <w:t>Establish and resource an Australian horizon scanning function that improves stakeholder engagement in considering the implications of new and emerging health technologies and support healthcare forward planning and priority setting by healthcare payers</w:t>
      </w:r>
      <w:r w:rsidR="006F191F" w:rsidRPr="006F191F">
        <w:rPr>
          <w:rFonts w:eastAsia="Calibri" w:cs="Segoe UI"/>
        </w:rPr>
        <w:t xml:space="preserve">. </w:t>
      </w:r>
    </w:p>
    <w:bookmarkStart w:id="190" w:name="_Toc1889104278"/>
    <w:bookmarkStart w:id="191" w:name="_Toc160635081"/>
    <w:bookmarkStart w:id="192" w:name="_Toc164685860"/>
    <w:bookmarkStart w:id="193" w:name="_Toc164691508"/>
    <w:bookmarkStart w:id="194" w:name="_Toc164696301"/>
    <w:bookmarkStart w:id="195" w:name="_Toc164696447"/>
    <w:bookmarkStart w:id="196" w:name="_Toc164767835"/>
    <w:bookmarkStart w:id="197" w:name="_Toc165473768"/>
    <w:bookmarkStart w:id="198" w:name="_Toc167970542"/>
    <w:bookmarkStart w:id="199" w:name="_Toc170210041"/>
    <w:bookmarkStart w:id="200" w:name="_Toc170238491"/>
    <w:p w14:paraId="54CAD829" w14:textId="079F5246" w:rsidR="004A2B99" w:rsidRDefault="00994E45" w:rsidP="00111447">
      <w:pPr>
        <w:pStyle w:val="Heading3"/>
        <w:spacing w:before="240"/>
      </w:pPr>
      <w:r>
        <w:rPr>
          <w:noProof/>
          <w14:ligatures w14:val="standardContextual"/>
        </w:rPr>
        <mc:AlternateContent>
          <mc:Choice Requires="wps">
            <w:drawing>
              <wp:anchor distT="0" distB="0" distL="114300" distR="114300" simplePos="0" relativeHeight="251658269" behindDoc="1" locked="0" layoutInCell="1" allowOverlap="1" wp14:anchorId="39FAD756" wp14:editId="17156DFF">
                <wp:simplePos x="0" y="0"/>
                <wp:positionH relativeFrom="margin">
                  <wp:align>right</wp:align>
                </wp:positionH>
                <wp:positionV relativeFrom="paragraph">
                  <wp:posOffset>421006</wp:posOffset>
                </wp:positionV>
                <wp:extent cx="5743575" cy="1524000"/>
                <wp:effectExtent l="0" t="0" r="9525" b="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3575" cy="152400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1707F" id="Rectangle 29" o:spid="_x0000_s1026" alt="&quot;&quot;" style="position:absolute;margin-left:401.05pt;margin-top:33.15pt;width:452.25pt;height:120pt;z-index:-25165821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" fillcolor="#bfd4f2 [660]" stroked="f" strokeweight="1pt">
                <w10:wrap anchorx="margin"/>
              </v:rect>
            </w:pict>
          </mc:Fallback>
        </mc:AlternateContent>
      </w:r>
      <w:r w:rsidR="004A2B99" w:rsidRPr="00C35BE4">
        <w:t>Chapter 9.3: Mechanisms for continuous review and improvement</w:t>
      </w:r>
      <w:bookmarkEnd w:id="190"/>
      <w:bookmarkEnd w:id="191"/>
      <w:bookmarkEnd w:id="192"/>
      <w:bookmarkEnd w:id="193"/>
      <w:bookmarkEnd w:id="194"/>
      <w:bookmarkEnd w:id="195"/>
      <w:bookmarkEnd w:id="196"/>
      <w:bookmarkEnd w:id="197"/>
      <w:bookmarkEnd w:id="198"/>
      <w:bookmarkEnd w:id="199"/>
      <w:bookmarkEnd w:id="200"/>
    </w:p>
    <w:p w14:paraId="6E1CAB88" w14:textId="6111EC33" w:rsidR="00FA62F5" w:rsidRDefault="00FA62F5" w:rsidP="00522E8B">
      <w:pPr>
        <w:pStyle w:val="Subheading1"/>
        <w:ind w:left="113" w:right="113"/>
      </w:pPr>
      <w:r>
        <w:t>Objectives</w:t>
      </w:r>
    </w:p>
    <w:p w14:paraId="5D7F0CD8" w14:textId="3C7309A7" w:rsidR="00FA62F5" w:rsidRPr="00FA62F5" w:rsidRDefault="00127766" w:rsidP="00522E8B">
      <w:pPr>
        <w:ind w:left="113" w:right="113"/>
      </w:pPr>
      <w:r>
        <w:t>The recommendations in this chapter</w:t>
      </w:r>
      <w:r w:rsidRPr="004E568F">
        <w:rPr>
          <w:rFonts w:cs="Segoe UI"/>
          <w:kern w:val="2"/>
          <w14:ligatures w14:val="standardContextual"/>
        </w:rPr>
        <w:t xml:space="preserve"> </w:t>
      </w:r>
      <w:r>
        <w:rPr>
          <w:rFonts w:cs="Segoe UI"/>
          <w:kern w:val="2"/>
          <w14:ligatures w14:val="standardContextual"/>
        </w:rPr>
        <w:t xml:space="preserve">seek to </w:t>
      </w:r>
      <w:r w:rsidR="00FA62F5" w:rsidRPr="00FA62F5">
        <w:rPr>
          <w:kern w:val="2"/>
          <w14:ligatures w14:val="standardContextual"/>
        </w:rPr>
        <w:t xml:space="preserve">emphasise the need for a clear program of work that supports regularly updating and reviewing HTA policy and methods </w:t>
      </w:r>
      <w:proofErr w:type="gramStart"/>
      <w:r w:rsidR="00FA62F5" w:rsidRPr="00FA62F5">
        <w:rPr>
          <w:kern w:val="2"/>
          <w14:ligatures w14:val="standardContextual"/>
        </w:rPr>
        <w:t>in light of</w:t>
      </w:r>
      <w:proofErr w:type="gramEnd"/>
      <w:r w:rsidR="00FA62F5" w:rsidRPr="00FA62F5">
        <w:rPr>
          <w:kern w:val="2"/>
          <w14:ligatures w14:val="standardContextual"/>
        </w:rPr>
        <w:t xml:space="preserve"> new developments. This will keep Australia’s HTA process, methods and policy up to date and can support rigorous and high-quality evaluation of health technologies</w:t>
      </w:r>
      <w:r w:rsidR="00D02649">
        <w:rPr>
          <w:kern w:val="2"/>
          <w14:ligatures w14:val="standardContextual"/>
        </w:rPr>
        <w:t>.</w:t>
      </w:r>
    </w:p>
    <w:p w14:paraId="3AC52378" w14:textId="77777777" w:rsidR="006F191F" w:rsidRPr="002206BF" w:rsidRDefault="006F191F" w:rsidP="002206BF">
      <w:pPr>
        <w:pStyle w:val="Recommendationheading"/>
        <w:ind w:left="0" w:firstLine="0"/>
      </w:pPr>
      <w:r w:rsidRPr="002206BF">
        <w:t xml:space="preserve">Mechanisms for continuous review and improvement </w:t>
      </w:r>
    </w:p>
    <w:p w14:paraId="3356BE60" w14:textId="61930FFB" w:rsidR="0006795B" w:rsidRPr="00FA62F5" w:rsidRDefault="0020424E" w:rsidP="00FA62F5">
      <w:pPr>
        <w:snapToGrid w:val="0"/>
        <w:spacing w:after="120" w:line="22" w:lineRule="atLeast"/>
        <w:rPr>
          <w:rFonts w:eastAsia="Calibri" w:cs="Segoe UI"/>
        </w:rPr>
      </w:pPr>
      <w:r w:rsidRPr="0020424E">
        <w:rPr>
          <w:rFonts w:eastAsia="Calibri" w:cs="Segoe UI"/>
        </w:rPr>
        <w:t>Design and establish (in consultation with stakeholders) a program arrangement that supports the continuous review and updating of HTA policy and methods that support of the core pillars of the National Medicines Policy</w:t>
      </w:r>
      <w:r w:rsidR="002D10B8">
        <w:rPr>
          <w:rFonts w:eastAsia="Calibri" w:cs="Segoe UI"/>
        </w:rPr>
        <w:t xml:space="preserve">. </w:t>
      </w:r>
      <w:r w:rsidR="00FA62F5">
        <w:rPr>
          <w:kern w:val="2"/>
          <w14:ligatures w14:val="standardContextual"/>
        </w:rPr>
        <w:t xml:space="preserve"> </w:t>
      </w:r>
    </w:p>
    <w:bookmarkStart w:id="201" w:name="_Toc164685861"/>
    <w:bookmarkStart w:id="202" w:name="_Toc164691514"/>
    <w:bookmarkStart w:id="203" w:name="_Toc164696307"/>
    <w:bookmarkStart w:id="204" w:name="_Toc164696453"/>
    <w:bookmarkStart w:id="205" w:name="_Toc164767841"/>
    <w:bookmarkStart w:id="206" w:name="_Toc165473774"/>
    <w:bookmarkStart w:id="207" w:name="_Toc167970543"/>
    <w:bookmarkStart w:id="208" w:name="_Toc170210042"/>
    <w:bookmarkStart w:id="209" w:name="_Toc170238492"/>
    <w:p w14:paraId="1E0B29CD" w14:textId="2E8FC7FF" w:rsidR="007C3B20" w:rsidRDefault="00232E93" w:rsidP="00111447">
      <w:pPr>
        <w:pStyle w:val="Heading3"/>
        <w:spacing w:before="240"/>
      </w:pPr>
      <w:r>
        <w:rPr>
          <w:noProof/>
          <w14:ligatures w14:val="standardContextual"/>
        </w:rPr>
        <w:lastRenderedPageBreak/>
        <mc:AlternateContent>
          <mc:Choice Requires="wps">
            <w:drawing>
              <wp:anchor distT="0" distB="0" distL="114300" distR="114300" simplePos="0" relativeHeight="251658271" behindDoc="1" locked="0" layoutInCell="1" allowOverlap="1" wp14:anchorId="2D383474" wp14:editId="2C298E47">
                <wp:simplePos x="0" y="0"/>
                <wp:positionH relativeFrom="margin">
                  <wp:align>right</wp:align>
                </wp:positionH>
                <wp:positionV relativeFrom="paragraph">
                  <wp:posOffset>624205</wp:posOffset>
                </wp:positionV>
                <wp:extent cx="5772150" cy="1877695"/>
                <wp:effectExtent l="0" t="0" r="0" b="8255"/>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72150" cy="1877695"/>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EDB64" id="Rectangle 31" o:spid="_x0000_s1026" alt="&quot;&quot;" style="position:absolute;margin-left:403.3pt;margin-top:49.15pt;width:454.5pt;height:147.85pt;z-index:-25165820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" fillcolor="#bfd4f2 [660]" stroked="f" strokeweight="1pt">
                <w10:wrap anchorx="margin"/>
              </v:rect>
            </w:pict>
          </mc:Fallback>
        </mc:AlternateContent>
      </w:r>
      <w:r w:rsidR="007C3B20" w:rsidRPr="00C35BE4">
        <w:t>Chapter 9.4: Capacity and capability of the HTA system and supporting architecture</w:t>
      </w:r>
      <w:bookmarkEnd w:id="201"/>
      <w:bookmarkEnd w:id="202"/>
      <w:bookmarkEnd w:id="203"/>
      <w:bookmarkEnd w:id="204"/>
      <w:bookmarkEnd w:id="205"/>
      <w:bookmarkEnd w:id="206"/>
      <w:bookmarkEnd w:id="207"/>
      <w:bookmarkEnd w:id="208"/>
      <w:bookmarkEnd w:id="209"/>
    </w:p>
    <w:p w14:paraId="2A788B56" w14:textId="24460EF5" w:rsidR="00520D16" w:rsidRDefault="00520D16" w:rsidP="00522E8B">
      <w:pPr>
        <w:pStyle w:val="Subheading1"/>
        <w:ind w:left="113" w:right="113"/>
      </w:pPr>
      <w:r>
        <w:t>Objectives</w:t>
      </w:r>
    </w:p>
    <w:p w14:paraId="6D862D05" w14:textId="6ECD2012" w:rsidR="00520D16" w:rsidRPr="000D7528" w:rsidRDefault="00127766" w:rsidP="00522E8B">
      <w:pPr>
        <w:ind w:left="113" w:right="113"/>
        <w:rPr>
          <w:rFonts w:cs="Segoe UI"/>
          <w:kern w:val="2"/>
          <w14:ligatures w14:val="standardContextual"/>
        </w:rPr>
      </w:pPr>
      <w:r>
        <w:t>The recommendations in this chapter</w:t>
      </w:r>
      <w:r w:rsidRPr="004E568F">
        <w:rPr>
          <w:rFonts w:cs="Segoe UI"/>
          <w:kern w:val="2"/>
          <w14:ligatures w14:val="standardContextual"/>
        </w:rPr>
        <w:t xml:space="preserve"> </w:t>
      </w:r>
      <w:r>
        <w:rPr>
          <w:rFonts w:cs="Segoe UI"/>
          <w:kern w:val="2"/>
          <w14:ligatures w14:val="standardContextual"/>
        </w:rPr>
        <w:t>seek to</w:t>
      </w:r>
      <w:r w:rsidR="00520D16" w:rsidRPr="000D7528">
        <w:rPr>
          <w:rFonts w:cs="Segoe UI"/>
          <w:kern w:val="2"/>
          <w14:ligatures w14:val="standardContextual"/>
        </w:rPr>
        <w:t xml:space="preserve"> emphasise the importance of a having well-resourced and capable HTA program and architecture to support:</w:t>
      </w:r>
    </w:p>
    <w:p w14:paraId="4F79FD4B" w14:textId="77777777" w:rsidR="00520D16" w:rsidRPr="000D7528" w:rsidRDefault="00520D16" w:rsidP="00522E8B">
      <w:pPr>
        <w:numPr>
          <w:ilvl w:val="0"/>
          <w:numId w:val="2"/>
        </w:numPr>
        <w:snapToGrid w:val="0"/>
        <w:spacing w:line="22" w:lineRule="atLeast"/>
        <w:ind w:left="714" w:right="113" w:hanging="357"/>
      </w:pPr>
      <w:r w:rsidRPr="000D7528">
        <w:t xml:space="preserve">efficient and effective evaluation of health technologies </w:t>
      </w:r>
    </w:p>
    <w:p w14:paraId="15F7166B" w14:textId="4D977906" w:rsidR="00520D16" w:rsidRPr="0019054D" w:rsidRDefault="00520D16" w:rsidP="00522E8B">
      <w:pPr>
        <w:numPr>
          <w:ilvl w:val="0"/>
          <w:numId w:val="2"/>
        </w:numPr>
        <w:snapToGrid w:val="0"/>
        <w:spacing w:line="22" w:lineRule="atLeast"/>
        <w:ind w:left="714" w:right="113" w:hanging="357"/>
      </w:pPr>
      <w:r w:rsidRPr="000D7528">
        <w:t>delivery of supporting functions and activities required to facilitate access to, and understanding about, health technologies, in line with the N</w:t>
      </w:r>
      <w:r>
        <w:t xml:space="preserve">ational </w:t>
      </w:r>
      <w:r w:rsidRPr="000D7528">
        <w:t>M</w:t>
      </w:r>
      <w:r>
        <w:t xml:space="preserve">edicines </w:t>
      </w:r>
      <w:r w:rsidRPr="000D7528">
        <w:t>P</w:t>
      </w:r>
      <w:r>
        <w:t>olicy</w:t>
      </w:r>
      <w:r w:rsidRPr="000D7528">
        <w:t xml:space="preserve"> pillars and principles.</w:t>
      </w:r>
      <w:r>
        <w:rPr>
          <w:rStyle w:val="FootnoteReference"/>
        </w:rPr>
        <w:footnoteReference w:id="10"/>
      </w:r>
      <w:r w:rsidRPr="007E5BF4">
        <w:t xml:space="preserve"> </w:t>
      </w:r>
    </w:p>
    <w:p w14:paraId="567CE543" w14:textId="5242D6EA" w:rsidR="006F191F" w:rsidRPr="002206BF" w:rsidRDefault="006F191F" w:rsidP="00111447">
      <w:pPr>
        <w:pStyle w:val="Recommendationheading"/>
        <w:keepNext/>
        <w:ind w:left="0" w:firstLine="0"/>
      </w:pPr>
      <w:r w:rsidRPr="002206BF">
        <w:t>HTA evaluation workforce</w:t>
      </w:r>
    </w:p>
    <w:p w14:paraId="6CE38D4B" w14:textId="77777777" w:rsidR="00EA1C43" w:rsidRPr="00EA1C43" w:rsidRDefault="00EA1C43" w:rsidP="00111447">
      <w:pPr>
        <w:keepNext/>
        <w:snapToGrid w:val="0"/>
        <w:spacing w:after="120" w:line="22" w:lineRule="atLeast"/>
        <w:rPr>
          <w:rFonts w:eastAsia="Calibri" w:cs="Segoe UI"/>
        </w:rPr>
      </w:pPr>
      <w:r w:rsidRPr="00EA1C43">
        <w:rPr>
          <w:rFonts w:eastAsia="Calibri" w:cs="Segoe UI"/>
        </w:rPr>
        <w:t xml:space="preserve">Develop education programs and/or training activities to enhance HTA workforce competency and capability. </w:t>
      </w:r>
    </w:p>
    <w:p w14:paraId="50C7B299" w14:textId="70B065D0" w:rsidR="006F191F" w:rsidRPr="006F191F" w:rsidRDefault="00EA1C43" w:rsidP="00EA1C43">
      <w:pPr>
        <w:snapToGrid w:val="0"/>
        <w:spacing w:after="120" w:line="22" w:lineRule="atLeast"/>
        <w:rPr>
          <w:rFonts w:eastAsia="Calibri" w:cs="Segoe UI"/>
          <w:b/>
          <w:bCs/>
        </w:rPr>
      </w:pPr>
      <w:r w:rsidRPr="00EA1C43">
        <w:rPr>
          <w:rFonts w:eastAsia="Calibri" w:cs="Segoe UI"/>
        </w:rPr>
        <w:t>Progress reforms to support uptake of work-sharing arrangements</w:t>
      </w:r>
      <w:r w:rsidR="006F191F" w:rsidRPr="006F191F">
        <w:rPr>
          <w:rFonts w:eastAsia="Calibri" w:cs="Segoe UI"/>
        </w:rPr>
        <w:t xml:space="preserve">. </w:t>
      </w:r>
    </w:p>
    <w:p w14:paraId="181B71F3" w14:textId="77777777" w:rsidR="006F191F" w:rsidRPr="002206BF" w:rsidRDefault="006F191F" w:rsidP="00111447">
      <w:pPr>
        <w:pStyle w:val="Recommendationheading"/>
        <w:keepNext/>
        <w:ind w:left="0" w:firstLine="0"/>
      </w:pPr>
      <w:r w:rsidRPr="002206BF">
        <w:t>Supporting architecture resourcing</w:t>
      </w:r>
    </w:p>
    <w:p w14:paraId="6FEF2D00" w14:textId="5B30D509" w:rsidR="006F191F" w:rsidRDefault="003A255C" w:rsidP="00111447">
      <w:pPr>
        <w:keepNext/>
        <w:snapToGrid w:val="0"/>
        <w:spacing w:after="120" w:line="22" w:lineRule="atLeast"/>
        <w:rPr>
          <w:rFonts w:eastAsia="Calibri" w:cs="Segoe UI"/>
        </w:rPr>
      </w:pPr>
      <w:r w:rsidRPr="003A255C">
        <w:rPr>
          <w:rFonts w:eastAsia="Calibri" w:cs="Segoe UI"/>
        </w:rPr>
        <w:t>Appropriately resource (in quantity and alignment) the Department of Health and Aged Care to implement agreed recommendations arising from this Review, including new activities and improvements to existing functions</w:t>
      </w:r>
      <w:r w:rsidR="006F191F" w:rsidRPr="006F191F">
        <w:rPr>
          <w:rFonts w:eastAsia="Calibri" w:cs="Segoe UI"/>
        </w:rPr>
        <w:t>.</w:t>
      </w:r>
    </w:p>
    <w:p w14:paraId="0B0F5D70" w14:textId="5376A9FA" w:rsidR="00216980" w:rsidRDefault="00216980" w:rsidP="009B510C"/>
    <w:sectPr w:rsidR="00216980" w:rsidSect="008C0126">
      <w:type w:val="continuous"/>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FEDA9" w14:textId="77777777" w:rsidR="0005030E" w:rsidRDefault="0005030E" w:rsidP="006D314B">
      <w:pPr>
        <w:spacing w:after="0" w:line="240" w:lineRule="auto"/>
      </w:pPr>
      <w:r>
        <w:separator/>
      </w:r>
    </w:p>
  </w:endnote>
  <w:endnote w:type="continuationSeparator" w:id="0">
    <w:p w14:paraId="139A9CD3" w14:textId="77777777" w:rsidR="0005030E" w:rsidRDefault="0005030E" w:rsidP="006D314B">
      <w:pPr>
        <w:spacing w:after="0" w:line="240" w:lineRule="auto"/>
      </w:pPr>
      <w:r>
        <w:continuationSeparator/>
      </w:r>
    </w:p>
  </w:endnote>
  <w:endnote w:type="continuationNotice" w:id="1">
    <w:p w14:paraId="7E800BC8" w14:textId="77777777" w:rsidR="0005030E" w:rsidRDefault="00050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Arial Nova Light">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186692"/>
      <w:docPartObj>
        <w:docPartGallery w:val="Page Numbers (Bottom of Page)"/>
        <w:docPartUnique/>
      </w:docPartObj>
    </w:sdtPr>
    <w:sdtEndPr>
      <w:rPr>
        <w:noProof/>
      </w:rPr>
    </w:sdtEndPr>
    <w:sdtContent>
      <w:p w14:paraId="33D90644" w14:textId="51AAA75D" w:rsidR="00854AFF" w:rsidRDefault="00854A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B40BB2" w14:textId="77777777" w:rsidR="00854AFF" w:rsidRDefault="00854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BB431" w14:textId="77777777" w:rsidR="0005030E" w:rsidRDefault="0005030E" w:rsidP="006D314B">
      <w:pPr>
        <w:spacing w:after="0" w:line="240" w:lineRule="auto"/>
      </w:pPr>
      <w:r>
        <w:separator/>
      </w:r>
    </w:p>
  </w:footnote>
  <w:footnote w:type="continuationSeparator" w:id="0">
    <w:p w14:paraId="03677E38" w14:textId="77777777" w:rsidR="0005030E" w:rsidRDefault="0005030E" w:rsidP="006D314B">
      <w:pPr>
        <w:spacing w:after="0" w:line="240" w:lineRule="auto"/>
      </w:pPr>
      <w:r>
        <w:continuationSeparator/>
      </w:r>
    </w:p>
  </w:footnote>
  <w:footnote w:type="continuationNotice" w:id="1">
    <w:p w14:paraId="295C74E7" w14:textId="77777777" w:rsidR="0005030E" w:rsidRDefault="0005030E">
      <w:pPr>
        <w:spacing w:after="0" w:line="240" w:lineRule="auto"/>
      </w:pPr>
    </w:p>
  </w:footnote>
  <w:footnote w:id="2">
    <w:p w14:paraId="10175CB4" w14:textId="3A0B1819" w:rsidR="0017204A" w:rsidRPr="006263FC" w:rsidRDefault="0017204A" w:rsidP="0017204A">
      <w:pPr>
        <w:pStyle w:val="FootnoteText"/>
        <w:jc w:val="left"/>
      </w:pPr>
      <w:r w:rsidRPr="006263FC">
        <w:rPr>
          <w:rStyle w:val="FootnoteReference"/>
        </w:rPr>
        <w:footnoteRef/>
      </w:r>
      <w:r w:rsidRPr="006263FC">
        <w:t xml:space="preserve"> OECD (2023) </w:t>
      </w:r>
      <w:hyperlink r:id="rId1" w:history="1">
        <w:r w:rsidRPr="006263FC">
          <w:rPr>
            <w:rStyle w:val="Hyperlink"/>
            <w:i/>
            <w:iCs/>
          </w:rPr>
          <w:t>Health at a Glance</w:t>
        </w:r>
      </w:hyperlink>
      <w:r w:rsidRPr="006263FC">
        <w:t>.</w:t>
      </w:r>
    </w:p>
  </w:footnote>
  <w:footnote w:id="3">
    <w:p w14:paraId="47663BEE" w14:textId="2BC439E1" w:rsidR="00E43E1A" w:rsidRPr="00111447" w:rsidRDefault="00E43E1A" w:rsidP="00257B42">
      <w:pPr>
        <w:pStyle w:val="FootnoteText"/>
        <w:jc w:val="left"/>
      </w:pPr>
      <w:r w:rsidRPr="00111447">
        <w:rPr>
          <w:rStyle w:val="FootnoteReference"/>
        </w:rPr>
        <w:footnoteRef/>
      </w:r>
      <w:r w:rsidRPr="00111447">
        <w:t xml:space="preserve"> See p11–12 in </w:t>
      </w:r>
      <w:r w:rsidR="00FF0626" w:rsidRPr="00111447">
        <w:t>Department of Health and Aged Care (</w:t>
      </w:r>
      <w:r w:rsidRPr="00111447">
        <w:t>DHAC</w:t>
      </w:r>
      <w:r w:rsidR="00FF0626" w:rsidRPr="00111447">
        <w:t>)</w:t>
      </w:r>
      <w:r w:rsidRPr="00111447">
        <w:t xml:space="preserve"> (2023) </w:t>
      </w:r>
      <w:hyperlink r:id="rId2" w:history="1">
        <w:r w:rsidRPr="00111447">
          <w:rPr>
            <w:rStyle w:val="Hyperlink"/>
            <w:i/>
            <w:iCs/>
          </w:rPr>
          <w:t>Emerging health technologies</w:t>
        </w:r>
      </w:hyperlink>
      <w:r w:rsidRPr="00111447">
        <w:t>, Health Technology</w:t>
      </w:r>
      <w:r w:rsidR="0014506F" w:rsidRPr="00111447">
        <w:t xml:space="preserve"> Assessment</w:t>
      </w:r>
      <w:r w:rsidRPr="00111447">
        <w:t xml:space="preserve"> Policy and Methods Review. </w:t>
      </w:r>
    </w:p>
  </w:footnote>
  <w:footnote w:id="4">
    <w:p w14:paraId="24ED0F60" w14:textId="38A39E13" w:rsidR="00AB0885" w:rsidRPr="00111447" w:rsidRDefault="00AB0885" w:rsidP="00257B42">
      <w:pPr>
        <w:pStyle w:val="FootnoteText"/>
        <w:jc w:val="left"/>
        <w:rPr>
          <w:i/>
        </w:rPr>
      </w:pPr>
      <w:r w:rsidRPr="00111447">
        <w:rPr>
          <w:rStyle w:val="FootnoteReference"/>
        </w:rPr>
        <w:footnoteRef/>
      </w:r>
      <w:r w:rsidRPr="00111447">
        <w:t xml:space="preserve"> DHAC (2022)</w:t>
      </w:r>
      <w:r w:rsidRPr="00111447">
        <w:rPr>
          <w:i/>
          <w:iCs/>
        </w:rPr>
        <w:t xml:space="preserve"> </w:t>
      </w:r>
      <w:hyperlink r:id="rId3" w:history="1">
        <w:r w:rsidRPr="00111447">
          <w:rPr>
            <w:rStyle w:val="Hyperlink"/>
            <w:i/>
            <w:iCs/>
          </w:rPr>
          <w:t>Strategic Agreement between the Commonwealth of Australia and Medicines Australia 2022</w:t>
        </w:r>
        <w:r w:rsidRPr="00111447">
          <w:rPr>
            <w:rStyle w:val="Hyperlink"/>
            <w:i/>
            <w:iCs/>
          </w:rPr>
          <w:noBreakHyphen/>
          <w:t>2027</w:t>
        </w:r>
      </w:hyperlink>
      <w:r w:rsidRPr="00111447">
        <w:t>.</w:t>
      </w:r>
    </w:p>
  </w:footnote>
  <w:footnote w:id="5">
    <w:p w14:paraId="35739EDB" w14:textId="77777777" w:rsidR="00AB0885" w:rsidRPr="00111447" w:rsidRDefault="00AB0885" w:rsidP="00257B42">
      <w:pPr>
        <w:pStyle w:val="FootnoteText"/>
        <w:jc w:val="left"/>
      </w:pPr>
      <w:r w:rsidRPr="00111447">
        <w:rPr>
          <w:rStyle w:val="FootnoteReference"/>
        </w:rPr>
        <w:footnoteRef/>
      </w:r>
      <w:r w:rsidRPr="00111447">
        <w:t xml:space="preserve"> </w:t>
      </w:r>
      <w:bookmarkStart w:id="29" w:name="_Hlk166782464"/>
      <w:r w:rsidRPr="00111447">
        <w:t xml:space="preserve">DHAC (2022) </w:t>
      </w:r>
      <w:hyperlink r:id="rId4" w:history="1">
        <w:r w:rsidRPr="00111447">
          <w:rPr>
            <w:rStyle w:val="Hyperlink"/>
            <w:i/>
            <w:iCs/>
          </w:rPr>
          <w:t>National Medicines Policy - consultation on the revised NMP</w:t>
        </w:r>
      </w:hyperlink>
      <w:r w:rsidRPr="00111447">
        <w:t>, DHAC Consultation Hub DHAC website</w:t>
      </w:r>
      <w:bookmarkEnd w:id="29"/>
      <w:r w:rsidRPr="00111447">
        <w:t>.</w:t>
      </w:r>
    </w:p>
  </w:footnote>
  <w:footnote w:id="6">
    <w:p w14:paraId="2FA20E40" w14:textId="77777777" w:rsidR="00AB0885" w:rsidRPr="00ED6CD7" w:rsidRDefault="00AB0885" w:rsidP="00257B42">
      <w:pPr>
        <w:pStyle w:val="FootnoteText"/>
        <w:jc w:val="left"/>
      </w:pPr>
      <w:r w:rsidRPr="00111447">
        <w:rPr>
          <w:rStyle w:val="FootnoteReference"/>
        </w:rPr>
        <w:footnoteRef/>
      </w:r>
      <w:r w:rsidRPr="00111447">
        <w:t xml:space="preserve"> Australian Parliament House of Representatives Standing Committee on Health, Aged Care and Sport (2021) </w:t>
      </w:r>
      <w:hyperlink r:id="rId5" w:history="1">
        <w:r w:rsidRPr="00111447">
          <w:rPr>
            <w:rStyle w:val="Hyperlink"/>
            <w:i/>
            <w:iCs/>
          </w:rPr>
          <w:t>The New Frontier inquiry</w:t>
        </w:r>
      </w:hyperlink>
      <w:r w:rsidRPr="00111447">
        <w:t>.</w:t>
      </w:r>
    </w:p>
  </w:footnote>
  <w:footnote w:id="7">
    <w:p w14:paraId="00DB0B96" w14:textId="5E2A8CD4" w:rsidR="00AA055E" w:rsidRDefault="00AA055E">
      <w:pPr>
        <w:pStyle w:val="FootnoteText"/>
      </w:pPr>
      <w:r w:rsidRPr="00ED6CD7">
        <w:rPr>
          <w:rStyle w:val="FootnoteReference"/>
        </w:rPr>
        <w:footnoteRef/>
      </w:r>
      <w:r w:rsidRPr="00ED6CD7">
        <w:t xml:space="preserve"> </w:t>
      </w:r>
      <w:r w:rsidRPr="00111447">
        <w:t>DHA</w:t>
      </w:r>
      <w:r w:rsidR="005607BA" w:rsidRPr="00111447">
        <w:t>C (2022)</w:t>
      </w:r>
      <w:r w:rsidR="004065F1" w:rsidRPr="00ED6CD7">
        <w:t xml:space="preserve"> </w:t>
      </w:r>
      <w:hyperlink r:id="rId6" w:history="1">
        <w:r w:rsidR="004065F1" w:rsidRPr="00BB6634">
          <w:rPr>
            <w:rStyle w:val="Hyperlink"/>
            <w:i/>
            <w:iCs/>
          </w:rPr>
          <w:t>HTA review and chair committee</w:t>
        </w:r>
      </w:hyperlink>
      <w:r w:rsidR="005607BA" w:rsidRPr="00111447">
        <w:t xml:space="preserve"> </w:t>
      </w:r>
      <w:r w:rsidR="00B65EB9" w:rsidRPr="00111447">
        <w:t>[media release]</w:t>
      </w:r>
      <w:r w:rsidR="00BB6634">
        <w:t>.</w:t>
      </w:r>
      <w:hyperlink w:history="1"/>
    </w:p>
  </w:footnote>
  <w:footnote w:id="8">
    <w:p w14:paraId="0B443F75" w14:textId="216976F6" w:rsidR="006F191F" w:rsidRDefault="006F191F" w:rsidP="006F191F">
      <w:pPr>
        <w:pStyle w:val="FootnoteText"/>
      </w:pPr>
      <w:r>
        <w:rPr>
          <w:rStyle w:val="FootnoteReference"/>
        </w:rPr>
        <w:footnoteRef/>
      </w:r>
      <w:r>
        <w:t xml:space="preserve"> </w:t>
      </w:r>
      <w:r w:rsidR="006F492E">
        <w:t>DHAC</w:t>
      </w:r>
      <w:r w:rsidRPr="00791519">
        <w:t xml:space="preserve"> (2020) </w:t>
      </w:r>
      <w:hyperlink r:id="rId7" w:history="1">
        <w:r>
          <w:rPr>
            <w:rStyle w:val="Hyperlink"/>
            <w:i/>
            <w:iCs/>
          </w:rPr>
          <w:t>2020–25 A</w:t>
        </w:r>
        <w:r w:rsidRPr="00791519">
          <w:rPr>
            <w:rStyle w:val="Hyperlink"/>
            <w:i/>
            <w:iCs/>
          </w:rPr>
          <w:t xml:space="preserve">ddendum to </w:t>
        </w:r>
        <w:r>
          <w:rPr>
            <w:rStyle w:val="Hyperlink"/>
            <w:i/>
            <w:iCs/>
          </w:rPr>
          <w:t xml:space="preserve">the </w:t>
        </w:r>
        <w:r w:rsidRPr="00791519">
          <w:rPr>
            <w:rStyle w:val="Hyperlink"/>
            <w:i/>
            <w:iCs/>
          </w:rPr>
          <w:t>National Health Reform Agreement</w:t>
        </w:r>
      </w:hyperlink>
      <w:r>
        <w:rPr>
          <w:rFonts w:cs="Segoe UI"/>
        </w:rPr>
        <w:t>.</w:t>
      </w:r>
    </w:p>
  </w:footnote>
  <w:footnote w:id="9">
    <w:p w14:paraId="6D5BBEE3" w14:textId="058F6E8C" w:rsidR="007D0A82" w:rsidRPr="00172A71" w:rsidRDefault="007D0A82">
      <w:pPr>
        <w:pStyle w:val="FootnoteText"/>
      </w:pPr>
      <w:r w:rsidRPr="00172A71">
        <w:rPr>
          <w:rStyle w:val="FootnoteReference"/>
        </w:rPr>
        <w:footnoteRef/>
      </w:r>
      <w:r w:rsidRPr="00172A71">
        <w:t xml:space="preserve"> </w:t>
      </w:r>
      <w:r w:rsidR="003D729F" w:rsidRPr="00172A71">
        <w:t xml:space="preserve">DHAC (2023) </w:t>
      </w:r>
      <w:hyperlink r:id="rId8" w:history="1">
        <w:r w:rsidR="003D729F" w:rsidRPr="00172A71">
          <w:rPr>
            <w:rStyle w:val="Hyperlink"/>
            <w:i/>
            <w:iCs/>
          </w:rPr>
          <w:t>National Health and Climate Strategy</w:t>
        </w:r>
      </w:hyperlink>
      <w:r w:rsidR="003D729F" w:rsidRPr="00172A71">
        <w:t>.</w:t>
      </w:r>
    </w:p>
  </w:footnote>
  <w:footnote w:id="10">
    <w:p w14:paraId="4323B720" w14:textId="77777777" w:rsidR="00520D16" w:rsidRPr="00256F3B" w:rsidRDefault="00520D16" w:rsidP="00520D16">
      <w:pPr>
        <w:pStyle w:val="FootnoteText"/>
      </w:pPr>
      <w:r w:rsidRPr="00256F3B">
        <w:rPr>
          <w:rStyle w:val="FootnoteReference"/>
        </w:rPr>
        <w:footnoteRef/>
      </w:r>
      <w:r w:rsidRPr="00256F3B">
        <w:t xml:space="preserve"> DHAC (2022) </w:t>
      </w:r>
      <w:hyperlink r:id="rId9" w:history="1">
        <w:r w:rsidRPr="00256F3B">
          <w:rPr>
            <w:rStyle w:val="Hyperlink"/>
            <w:i/>
            <w:iCs/>
          </w:rPr>
          <w:t>National Medicines Policy</w:t>
        </w:r>
      </w:hyperlink>
      <w:r w:rsidRPr="00256F3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CA976" w14:textId="7081F6DB" w:rsidR="00D0620B" w:rsidRDefault="00D06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5968816"/>
    <w:lvl w:ilvl="0">
      <w:start w:val="1"/>
      <w:numFmt w:val="bullet"/>
      <w:pStyle w:val="ListBullet2"/>
      <w:lvlText w:val="o"/>
      <w:lvlJc w:val="left"/>
      <w:pPr>
        <w:ind w:left="1040" w:hanging="360"/>
      </w:pPr>
      <w:rPr>
        <w:rFonts w:ascii="Courier New" w:hAnsi="Courier New" w:cs="Courier New" w:hint="default"/>
      </w:rPr>
    </w:lvl>
  </w:abstractNum>
  <w:abstractNum w:abstractNumId="1" w15:restartNumberingAfterBreak="0">
    <w:nsid w:val="FFFFFF88"/>
    <w:multiLevelType w:val="singleLevel"/>
    <w:tmpl w:val="9662C54E"/>
    <w:lvl w:ilvl="0">
      <w:start w:val="1"/>
      <w:numFmt w:val="decimal"/>
      <w:pStyle w:val="ListNumber"/>
      <w:lvlText w:val="%1."/>
      <w:lvlJc w:val="left"/>
      <w:pPr>
        <w:tabs>
          <w:tab w:val="num" w:pos="360"/>
        </w:tabs>
        <w:ind w:left="360" w:hanging="360"/>
      </w:pPr>
    </w:lvl>
  </w:abstractNum>
  <w:abstractNum w:abstractNumId="2" w15:restartNumberingAfterBreak="0">
    <w:nsid w:val="01FF5407"/>
    <w:multiLevelType w:val="hybridMultilevel"/>
    <w:tmpl w:val="E5DCC02E"/>
    <w:lvl w:ilvl="0" w:tplc="4A029F12">
      <w:start w:val="1"/>
      <w:numFmt w:val="decimal"/>
      <w:pStyle w:val="Recommendationheading"/>
      <w:suff w:val="space"/>
      <w:lvlText w:val="Recommendation %1."/>
      <w:lvlJc w:val="left"/>
      <w:pPr>
        <w:ind w:left="1778" w:hanging="360"/>
      </w:pPr>
      <w:rPr>
        <w:rFonts w:hint="default"/>
        <w:b w:val="0"/>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9B2AB3"/>
    <w:multiLevelType w:val="hybridMultilevel"/>
    <w:tmpl w:val="95BA6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F163FC"/>
    <w:multiLevelType w:val="hybridMultilevel"/>
    <w:tmpl w:val="F7644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645FA2"/>
    <w:multiLevelType w:val="hybridMultilevel"/>
    <w:tmpl w:val="3B0CB8CA"/>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6" w15:restartNumberingAfterBreak="0">
    <w:nsid w:val="69B21F11"/>
    <w:multiLevelType w:val="hybridMultilevel"/>
    <w:tmpl w:val="00727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2162625">
    <w:abstractNumId w:val="1"/>
  </w:num>
  <w:num w:numId="2" w16cid:durableId="371614238">
    <w:abstractNumId w:val="4"/>
  </w:num>
  <w:num w:numId="3" w16cid:durableId="1929925180">
    <w:abstractNumId w:val="2"/>
  </w:num>
  <w:num w:numId="4" w16cid:durableId="2130737327">
    <w:abstractNumId w:val="0"/>
  </w:num>
  <w:num w:numId="5" w16cid:durableId="1617365738">
    <w:abstractNumId w:val="5"/>
  </w:num>
  <w:num w:numId="6" w16cid:durableId="178083237">
    <w:abstractNumId w:val="6"/>
  </w:num>
  <w:num w:numId="7" w16cid:durableId="213093110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9B"/>
    <w:rsid w:val="00001919"/>
    <w:rsid w:val="00002020"/>
    <w:rsid w:val="00003128"/>
    <w:rsid w:val="00004313"/>
    <w:rsid w:val="0000575A"/>
    <w:rsid w:val="00010037"/>
    <w:rsid w:val="00010929"/>
    <w:rsid w:val="00011054"/>
    <w:rsid w:val="000116B8"/>
    <w:rsid w:val="0001194C"/>
    <w:rsid w:val="00011ED8"/>
    <w:rsid w:val="00012287"/>
    <w:rsid w:val="00012D53"/>
    <w:rsid w:val="00012EC0"/>
    <w:rsid w:val="000135CF"/>
    <w:rsid w:val="00013DDC"/>
    <w:rsid w:val="00013FBA"/>
    <w:rsid w:val="0001438F"/>
    <w:rsid w:val="00016610"/>
    <w:rsid w:val="00020ADB"/>
    <w:rsid w:val="00020B0F"/>
    <w:rsid w:val="00020DFB"/>
    <w:rsid w:val="00020F91"/>
    <w:rsid w:val="00022202"/>
    <w:rsid w:val="0002321C"/>
    <w:rsid w:val="00025F40"/>
    <w:rsid w:val="0002653D"/>
    <w:rsid w:val="00026A0C"/>
    <w:rsid w:val="00030689"/>
    <w:rsid w:val="00030ED6"/>
    <w:rsid w:val="00031472"/>
    <w:rsid w:val="0003478E"/>
    <w:rsid w:val="00035330"/>
    <w:rsid w:val="000354A5"/>
    <w:rsid w:val="00036BE3"/>
    <w:rsid w:val="00040320"/>
    <w:rsid w:val="0004058D"/>
    <w:rsid w:val="000409A5"/>
    <w:rsid w:val="000412D8"/>
    <w:rsid w:val="00041630"/>
    <w:rsid w:val="00043207"/>
    <w:rsid w:val="00043393"/>
    <w:rsid w:val="00043A2C"/>
    <w:rsid w:val="00043A33"/>
    <w:rsid w:val="00043C11"/>
    <w:rsid w:val="00045126"/>
    <w:rsid w:val="000457BB"/>
    <w:rsid w:val="0004636E"/>
    <w:rsid w:val="00046EB9"/>
    <w:rsid w:val="00047885"/>
    <w:rsid w:val="00047CA1"/>
    <w:rsid w:val="0005030E"/>
    <w:rsid w:val="00051984"/>
    <w:rsid w:val="00051CFA"/>
    <w:rsid w:val="00052579"/>
    <w:rsid w:val="00052939"/>
    <w:rsid w:val="00052F6B"/>
    <w:rsid w:val="00053079"/>
    <w:rsid w:val="00054D32"/>
    <w:rsid w:val="00055296"/>
    <w:rsid w:val="00056106"/>
    <w:rsid w:val="0005668A"/>
    <w:rsid w:val="00056B66"/>
    <w:rsid w:val="0005719E"/>
    <w:rsid w:val="00060798"/>
    <w:rsid w:val="00061614"/>
    <w:rsid w:val="00061825"/>
    <w:rsid w:val="00061E25"/>
    <w:rsid w:val="000625FD"/>
    <w:rsid w:val="00063AD3"/>
    <w:rsid w:val="0006446D"/>
    <w:rsid w:val="0006459B"/>
    <w:rsid w:val="000649D5"/>
    <w:rsid w:val="00064C78"/>
    <w:rsid w:val="00065971"/>
    <w:rsid w:val="00066660"/>
    <w:rsid w:val="0006795B"/>
    <w:rsid w:val="000701E3"/>
    <w:rsid w:val="00070581"/>
    <w:rsid w:val="000707FE"/>
    <w:rsid w:val="000708A1"/>
    <w:rsid w:val="00071519"/>
    <w:rsid w:val="000725B7"/>
    <w:rsid w:val="00072EA5"/>
    <w:rsid w:val="000813DF"/>
    <w:rsid w:val="00081890"/>
    <w:rsid w:val="000834C5"/>
    <w:rsid w:val="00085255"/>
    <w:rsid w:val="0008604F"/>
    <w:rsid w:val="00086BCC"/>
    <w:rsid w:val="000908BF"/>
    <w:rsid w:val="00090E7B"/>
    <w:rsid w:val="0009226D"/>
    <w:rsid w:val="00093656"/>
    <w:rsid w:val="000939E0"/>
    <w:rsid w:val="00095263"/>
    <w:rsid w:val="00096082"/>
    <w:rsid w:val="000966A3"/>
    <w:rsid w:val="00096935"/>
    <w:rsid w:val="000A1748"/>
    <w:rsid w:val="000A1C90"/>
    <w:rsid w:val="000A2045"/>
    <w:rsid w:val="000A2A92"/>
    <w:rsid w:val="000A2BB6"/>
    <w:rsid w:val="000A3878"/>
    <w:rsid w:val="000A7909"/>
    <w:rsid w:val="000B2109"/>
    <w:rsid w:val="000B28AB"/>
    <w:rsid w:val="000B42A1"/>
    <w:rsid w:val="000B4A59"/>
    <w:rsid w:val="000B4FC2"/>
    <w:rsid w:val="000B5AB6"/>
    <w:rsid w:val="000B697D"/>
    <w:rsid w:val="000B6A8B"/>
    <w:rsid w:val="000C08F0"/>
    <w:rsid w:val="000C1D4F"/>
    <w:rsid w:val="000C32DC"/>
    <w:rsid w:val="000C32E6"/>
    <w:rsid w:val="000C39A8"/>
    <w:rsid w:val="000C7045"/>
    <w:rsid w:val="000C7676"/>
    <w:rsid w:val="000D03EA"/>
    <w:rsid w:val="000D1C87"/>
    <w:rsid w:val="000D1FCE"/>
    <w:rsid w:val="000D3954"/>
    <w:rsid w:val="000D550B"/>
    <w:rsid w:val="000D569E"/>
    <w:rsid w:val="000D7528"/>
    <w:rsid w:val="000D7F55"/>
    <w:rsid w:val="000E0806"/>
    <w:rsid w:val="000E0E5A"/>
    <w:rsid w:val="000E2236"/>
    <w:rsid w:val="000E2F5F"/>
    <w:rsid w:val="000E3946"/>
    <w:rsid w:val="000E7A4D"/>
    <w:rsid w:val="000E7ECB"/>
    <w:rsid w:val="000F0D7E"/>
    <w:rsid w:val="000F0EB2"/>
    <w:rsid w:val="000F2262"/>
    <w:rsid w:val="000F227C"/>
    <w:rsid w:val="000F31EA"/>
    <w:rsid w:val="000F3A26"/>
    <w:rsid w:val="000F4397"/>
    <w:rsid w:val="000F45A9"/>
    <w:rsid w:val="000F5BF3"/>
    <w:rsid w:val="000F5FEB"/>
    <w:rsid w:val="000F63C7"/>
    <w:rsid w:val="000F783B"/>
    <w:rsid w:val="000F7A2C"/>
    <w:rsid w:val="0010115C"/>
    <w:rsid w:val="0010294A"/>
    <w:rsid w:val="0010373D"/>
    <w:rsid w:val="00103A55"/>
    <w:rsid w:val="001044D5"/>
    <w:rsid w:val="001045B0"/>
    <w:rsid w:val="00105B6B"/>
    <w:rsid w:val="001070B7"/>
    <w:rsid w:val="00107124"/>
    <w:rsid w:val="00111447"/>
    <w:rsid w:val="00111C2B"/>
    <w:rsid w:val="00112AC5"/>
    <w:rsid w:val="001136A9"/>
    <w:rsid w:val="0011602D"/>
    <w:rsid w:val="001179C2"/>
    <w:rsid w:val="00117AD9"/>
    <w:rsid w:val="00117D78"/>
    <w:rsid w:val="00117E09"/>
    <w:rsid w:val="0012063D"/>
    <w:rsid w:val="00120A86"/>
    <w:rsid w:val="001217FF"/>
    <w:rsid w:val="00121EEF"/>
    <w:rsid w:val="00122090"/>
    <w:rsid w:val="00124D99"/>
    <w:rsid w:val="00124F69"/>
    <w:rsid w:val="001252C4"/>
    <w:rsid w:val="00126A25"/>
    <w:rsid w:val="00126F8B"/>
    <w:rsid w:val="00127766"/>
    <w:rsid w:val="0013001E"/>
    <w:rsid w:val="00131092"/>
    <w:rsid w:val="001317C7"/>
    <w:rsid w:val="0013289F"/>
    <w:rsid w:val="00132C36"/>
    <w:rsid w:val="00132E25"/>
    <w:rsid w:val="00133A10"/>
    <w:rsid w:val="00133A37"/>
    <w:rsid w:val="001345DF"/>
    <w:rsid w:val="0013533E"/>
    <w:rsid w:val="00135B21"/>
    <w:rsid w:val="00136015"/>
    <w:rsid w:val="0013615B"/>
    <w:rsid w:val="00136F95"/>
    <w:rsid w:val="001374DC"/>
    <w:rsid w:val="0013766F"/>
    <w:rsid w:val="00140823"/>
    <w:rsid w:val="001430E0"/>
    <w:rsid w:val="00144742"/>
    <w:rsid w:val="0014498A"/>
    <w:rsid w:val="00144C6A"/>
    <w:rsid w:val="0014506F"/>
    <w:rsid w:val="00145FF9"/>
    <w:rsid w:val="00146456"/>
    <w:rsid w:val="00146CB6"/>
    <w:rsid w:val="00147C42"/>
    <w:rsid w:val="00150E46"/>
    <w:rsid w:val="00150FD3"/>
    <w:rsid w:val="001515E2"/>
    <w:rsid w:val="00152C87"/>
    <w:rsid w:val="00152F50"/>
    <w:rsid w:val="00153022"/>
    <w:rsid w:val="001536A6"/>
    <w:rsid w:val="00154DA5"/>
    <w:rsid w:val="001558F9"/>
    <w:rsid w:val="001563CE"/>
    <w:rsid w:val="00161FCF"/>
    <w:rsid w:val="00162698"/>
    <w:rsid w:val="001635B5"/>
    <w:rsid w:val="0016408C"/>
    <w:rsid w:val="0016570E"/>
    <w:rsid w:val="00167140"/>
    <w:rsid w:val="00171300"/>
    <w:rsid w:val="00171515"/>
    <w:rsid w:val="00171937"/>
    <w:rsid w:val="0017204A"/>
    <w:rsid w:val="00172A71"/>
    <w:rsid w:val="00173E99"/>
    <w:rsid w:val="001749B6"/>
    <w:rsid w:val="00174EF8"/>
    <w:rsid w:val="00175A6E"/>
    <w:rsid w:val="00177308"/>
    <w:rsid w:val="00177EE8"/>
    <w:rsid w:val="00181477"/>
    <w:rsid w:val="00182B21"/>
    <w:rsid w:val="00184CEA"/>
    <w:rsid w:val="00184F96"/>
    <w:rsid w:val="001857BF"/>
    <w:rsid w:val="00186897"/>
    <w:rsid w:val="001907C8"/>
    <w:rsid w:val="00190F7C"/>
    <w:rsid w:val="001926F9"/>
    <w:rsid w:val="001940DE"/>
    <w:rsid w:val="00195842"/>
    <w:rsid w:val="001968B1"/>
    <w:rsid w:val="00197557"/>
    <w:rsid w:val="001A030F"/>
    <w:rsid w:val="001A2B88"/>
    <w:rsid w:val="001A3464"/>
    <w:rsid w:val="001A6D5C"/>
    <w:rsid w:val="001A72F2"/>
    <w:rsid w:val="001A768A"/>
    <w:rsid w:val="001A799E"/>
    <w:rsid w:val="001A7AFD"/>
    <w:rsid w:val="001B0780"/>
    <w:rsid w:val="001B1BE5"/>
    <w:rsid w:val="001B2423"/>
    <w:rsid w:val="001B5925"/>
    <w:rsid w:val="001B6B39"/>
    <w:rsid w:val="001C033C"/>
    <w:rsid w:val="001C03FE"/>
    <w:rsid w:val="001C0476"/>
    <w:rsid w:val="001C1253"/>
    <w:rsid w:val="001C1A4E"/>
    <w:rsid w:val="001C1AD7"/>
    <w:rsid w:val="001C33B9"/>
    <w:rsid w:val="001C3F47"/>
    <w:rsid w:val="001C4CE2"/>
    <w:rsid w:val="001C5910"/>
    <w:rsid w:val="001C5F42"/>
    <w:rsid w:val="001C64D6"/>
    <w:rsid w:val="001C67FE"/>
    <w:rsid w:val="001C6AE1"/>
    <w:rsid w:val="001C7DC4"/>
    <w:rsid w:val="001D421D"/>
    <w:rsid w:val="001D7F45"/>
    <w:rsid w:val="001E084D"/>
    <w:rsid w:val="001E1CF0"/>
    <w:rsid w:val="001E211D"/>
    <w:rsid w:val="001E22F3"/>
    <w:rsid w:val="001E3000"/>
    <w:rsid w:val="001E3535"/>
    <w:rsid w:val="001E438F"/>
    <w:rsid w:val="001E7916"/>
    <w:rsid w:val="001F04FC"/>
    <w:rsid w:val="001F3465"/>
    <w:rsid w:val="001F3848"/>
    <w:rsid w:val="001F3F2D"/>
    <w:rsid w:val="001F45B3"/>
    <w:rsid w:val="001F5AD5"/>
    <w:rsid w:val="001F65D5"/>
    <w:rsid w:val="002016F0"/>
    <w:rsid w:val="00201F88"/>
    <w:rsid w:val="00202D7C"/>
    <w:rsid w:val="0020333E"/>
    <w:rsid w:val="002034DB"/>
    <w:rsid w:val="0020353C"/>
    <w:rsid w:val="00203746"/>
    <w:rsid w:val="00203D25"/>
    <w:rsid w:val="0020424E"/>
    <w:rsid w:val="00204708"/>
    <w:rsid w:val="00204768"/>
    <w:rsid w:val="00204E25"/>
    <w:rsid w:val="002052CC"/>
    <w:rsid w:val="00206B50"/>
    <w:rsid w:val="00206DAE"/>
    <w:rsid w:val="0020741A"/>
    <w:rsid w:val="00210262"/>
    <w:rsid w:val="00210AC0"/>
    <w:rsid w:val="00211029"/>
    <w:rsid w:val="00216891"/>
    <w:rsid w:val="00216980"/>
    <w:rsid w:val="002206BF"/>
    <w:rsid w:val="00221113"/>
    <w:rsid w:val="0022245E"/>
    <w:rsid w:val="002236F8"/>
    <w:rsid w:val="00223EE2"/>
    <w:rsid w:val="0022441F"/>
    <w:rsid w:val="00224F18"/>
    <w:rsid w:val="00224F75"/>
    <w:rsid w:val="002252B1"/>
    <w:rsid w:val="00225327"/>
    <w:rsid w:val="00226263"/>
    <w:rsid w:val="0022683E"/>
    <w:rsid w:val="002302DC"/>
    <w:rsid w:val="002328AB"/>
    <w:rsid w:val="00232E93"/>
    <w:rsid w:val="00233D65"/>
    <w:rsid w:val="002346B3"/>
    <w:rsid w:val="002363FD"/>
    <w:rsid w:val="00237BFF"/>
    <w:rsid w:val="002405E5"/>
    <w:rsid w:val="00240CBB"/>
    <w:rsid w:val="002419A0"/>
    <w:rsid w:val="00242B53"/>
    <w:rsid w:val="0024394E"/>
    <w:rsid w:val="00244300"/>
    <w:rsid w:val="00244F5D"/>
    <w:rsid w:val="00244FD9"/>
    <w:rsid w:val="0024652D"/>
    <w:rsid w:val="00246A4B"/>
    <w:rsid w:val="00246EFA"/>
    <w:rsid w:val="00250689"/>
    <w:rsid w:val="00250701"/>
    <w:rsid w:val="00251E08"/>
    <w:rsid w:val="00253CFF"/>
    <w:rsid w:val="00256642"/>
    <w:rsid w:val="00256B56"/>
    <w:rsid w:val="00256F3B"/>
    <w:rsid w:val="00257046"/>
    <w:rsid w:val="00257B42"/>
    <w:rsid w:val="00261182"/>
    <w:rsid w:val="00261E0D"/>
    <w:rsid w:val="00261F72"/>
    <w:rsid w:val="002634CC"/>
    <w:rsid w:val="00264176"/>
    <w:rsid w:val="002649F3"/>
    <w:rsid w:val="00265A77"/>
    <w:rsid w:val="00265CA5"/>
    <w:rsid w:val="00271452"/>
    <w:rsid w:val="00272640"/>
    <w:rsid w:val="0027370C"/>
    <w:rsid w:val="0027387E"/>
    <w:rsid w:val="00275A46"/>
    <w:rsid w:val="00275AAC"/>
    <w:rsid w:val="00276B53"/>
    <w:rsid w:val="00276F86"/>
    <w:rsid w:val="00280050"/>
    <w:rsid w:val="00280461"/>
    <w:rsid w:val="002807ED"/>
    <w:rsid w:val="00284DA0"/>
    <w:rsid w:val="002856F9"/>
    <w:rsid w:val="0028677C"/>
    <w:rsid w:val="0029071F"/>
    <w:rsid w:val="00292424"/>
    <w:rsid w:val="002943EE"/>
    <w:rsid w:val="00295581"/>
    <w:rsid w:val="00295635"/>
    <w:rsid w:val="00296EED"/>
    <w:rsid w:val="00297354"/>
    <w:rsid w:val="002979CD"/>
    <w:rsid w:val="002A0C09"/>
    <w:rsid w:val="002A12DB"/>
    <w:rsid w:val="002A3589"/>
    <w:rsid w:val="002A3F13"/>
    <w:rsid w:val="002A41B7"/>
    <w:rsid w:val="002A41DF"/>
    <w:rsid w:val="002B3063"/>
    <w:rsid w:val="002B3468"/>
    <w:rsid w:val="002B376A"/>
    <w:rsid w:val="002B3A67"/>
    <w:rsid w:val="002B3DA8"/>
    <w:rsid w:val="002B487F"/>
    <w:rsid w:val="002B4896"/>
    <w:rsid w:val="002B4978"/>
    <w:rsid w:val="002B596C"/>
    <w:rsid w:val="002B6236"/>
    <w:rsid w:val="002B7056"/>
    <w:rsid w:val="002B77E9"/>
    <w:rsid w:val="002B7A75"/>
    <w:rsid w:val="002B7BC0"/>
    <w:rsid w:val="002C137E"/>
    <w:rsid w:val="002C2231"/>
    <w:rsid w:val="002C2A2B"/>
    <w:rsid w:val="002C44BF"/>
    <w:rsid w:val="002C6AEC"/>
    <w:rsid w:val="002C6CF5"/>
    <w:rsid w:val="002C70F1"/>
    <w:rsid w:val="002D0E73"/>
    <w:rsid w:val="002D10B8"/>
    <w:rsid w:val="002D1432"/>
    <w:rsid w:val="002D1DFD"/>
    <w:rsid w:val="002D276B"/>
    <w:rsid w:val="002D2E69"/>
    <w:rsid w:val="002D3A45"/>
    <w:rsid w:val="002D4C48"/>
    <w:rsid w:val="002D58BC"/>
    <w:rsid w:val="002D6213"/>
    <w:rsid w:val="002D66BE"/>
    <w:rsid w:val="002D709D"/>
    <w:rsid w:val="002E0F5D"/>
    <w:rsid w:val="002E1FF4"/>
    <w:rsid w:val="002E2B8C"/>
    <w:rsid w:val="002E38CE"/>
    <w:rsid w:val="002E39B2"/>
    <w:rsid w:val="002E40EF"/>
    <w:rsid w:val="002E72D4"/>
    <w:rsid w:val="002E79CF"/>
    <w:rsid w:val="002E7E1C"/>
    <w:rsid w:val="002F0D20"/>
    <w:rsid w:val="002F102A"/>
    <w:rsid w:val="002F2344"/>
    <w:rsid w:val="002F288F"/>
    <w:rsid w:val="002F29C5"/>
    <w:rsid w:val="002F5240"/>
    <w:rsid w:val="002F55D0"/>
    <w:rsid w:val="002F5AF8"/>
    <w:rsid w:val="002F627C"/>
    <w:rsid w:val="002F7255"/>
    <w:rsid w:val="00300A4A"/>
    <w:rsid w:val="00301D37"/>
    <w:rsid w:val="0030337E"/>
    <w:rsid w:val="003036B0"/>
    <w:rsid w:val="00303B00"/>
    <w:rsid w:val="00304006"/>
    <w:rsid w:val="00304715"/>
    <w:rsid w:val="00305AE6"/>
    <w:rsid w:val="003064D9"/>
    <w:rsid w:val="00307D64"/>
    <w:rsid w:val="003107FD"/>
    <w:rsid w:val="00310820"/>
    <w:rsid w:val="003116F8"/>
    <w:rsid w:val="00312B00"/>
    <w:rsid w:val="00313A89"/>
    <w:rsid w:val="00315683"/>
    <w:rsid w:val="00315E85"/>
    <w:rsid w:val="00315F49"/>
    <w:rsid w:val="003225F1"/>
    <w:rsid w:val="003234DF"/>
    <w:rsid w:val="00323BCE"/>
    <w:rsid w:val="00323D66"/>
    <w:rsid w:val="003253B3"/>
    <w:rsid w:val="0032670F"/>
    <w:rsid w:val="00327538"/>
    <w:rsid w:val="00330080"/>
    <w:rsid w:val="00330576"/>
    <w:rsid w:val="00330CE3"/>
    <w:rsid w:val="003328C3"/>
    <w:rsid w:val="0033323B"/>
    <w:rsid w:val="0033358C"/>
    <w:rsid w:val="0033554E"/>
    <w:rsid w:val="00335EB1"/>
    <w:rsid w:val="00337814"/>
    <w:rsid w:val="0033799B"/>
    <w:rsid w:val="00340C0F"/>
    <w:rsid w:val="0034120F"/>
    <w:rsid w:val="0034169D"/>
    <w:rsid w:val="00342119"/>
    <w:rsid w:val="00342CF3"/>
    <w:rsid w:val="00343C57"/>
    <w:rsid w:val="00344421"/>
    <w:rsid w:val="00344628"/>
    <w:rsid w:val="00347E32"/>
    <w:rsid w:val="00347F73"/>
    <w:rsid w:val="003515AB"/>
    <w:rsid w:val="00352508"/>
    <w:rsid w:val="0035307C"/>
    <w:rsid w:val="00353174"/>
    <w:rsid w:val="003561E7"/>
    <w:rsid w:val="00356B73"/>
    <w:rsid w:val="003570E0"/>
    <w:rsid w:val="003575BC"/>
    <w:rsid w:val="0035787E"/>
    <w:rsid w:val="00360194"/>
    <w:rsid w:val="0036130A"/>
    <w:rsid w:val="00362416"/>
    <w:rsid w:val="003630E5"/>
    <w:rsid w:val="00364EE5"/>
    <w:rsid w:val="00365171"/>
    <w:rsid w:val="00365C20"/>
    <w:rsid w:val="00367120"/>
    <w:rsid w:val="00370569"/>
    <w:rsid w:val="003717E9"/>
    <w:rsid w:val="003737A8"/>
    <w:rsid w:val="00373E19"/>
    <w:rsid w:val="003769BC"/>
    <w:rsid w:val="00376AB6"/>
    <w:rsid w:val="00377365"/>
    <w:rsid w:val="0037751B"/>
    <w:rsid w:val="00377A14"/>
    <w:rsid w:val="00380DD6"/>
    <w:rsid w:val="003821DE"/>
    <w:rsid w:val="003839AF"/>
    <w:rsid w:val="003842B0"/>
    <w:rsid w:val="00384448"/>
    <w:rsid w:val="00386031"/>
    <w:rsid w:val="003874CA"/>
    <w:rsid w:val="003876BE"/>
    <w:rsid w:val="003877C3"/>
    <w:rsid w:val="00387E7B"/>
    <w:rsid w:val="0039044C"/>
    <w:rsid w:val="003905E9"/>
    <w:rsid w:val="00390C20"/>
    <w:rsid w:val="00390FBB"/>
    <w:rsid w:val="00392A14"/>
    <w:rsid w:val="003945DC"/>
    <w:rsid w:val="003945FE"/>
    <w:rsid w:val="003946FF"/>
    <w:rsid w:val="00394B21"/>
    <w:rsid w:val="00396449"/>
    <w:rsid w:val="0039670D"/>
    <w:rsid w:val="003A014F"/>
    <w:rsid w:val="003A0DF2"/>
    <w:rsid w:val="003A147D"/>
    <w:rsid w:val="003A1710"/>
    <w:rsid w:val="003A255C"/>
    <w:rsid w:val="003A49E6"/>
    <w:rsid w:val="003A61B6"/>
    <w:rsid w:val="003A6620"/>
    <w:rsid w:val="003A68A8"/>
    <w:rsid w:val="003A6E43"/>
    <w:rsid w:val="003B128B"/>
    <w:rsid w:val="003B1974"/>
    <w:rsid w:val="003B1F86"/>
    <w:rsid w:val="003B3FB0"/>
    <w:rsid w:val="003B4EC2"/>
    <w:rsid w:val="003B51D3"/>
    <w:rsid w:val="003B5285"/>
    <w:rsid w:val="003B68E0"/>
    <w:rsid w:val="003B7EE8"/>
    <w:rsid w:val="003C1A84"/>
    <w:rsid w:val="003C2BB2"/>
    <w:rsid w:val="003C2F94"/>
    <w:rsid w:val="003C310D"/>
    <w:rsid w:val="003C32B2"/>
    <w:rsid w:val="003C392C"/>
    <w:rsid w:val="003C3D43"/>
    <w:rsid w:val="003C4016"/>
    <w:rsid w:val="003C5245"/>
    <w:rsid w:val="003C5BD5"/>
    <w:rsid w:val="003C652F"/>
    <w:rsid w:val="003C7AA6"/>
    <w:rsid w:val="003C7FAC"/>
    <w:rsid w:val="003D1F86"/>
    <w:rsid w:val="003D22D5"/>
    <w:rsid w:val="003D24D9"/>
    <w:rsid w:val="003D3405"/>
    <w:rsid w:val="003D430C"/>
    <w:rsid w:val="003D4ABC"/>
    <w:rsid w:val="003D5099"/>
    <w:rsid w:val="003D6F2F"/>
    <w:rsid w:val="003D729F"/>
    <w:rsid w:val="003E145F"/>
    <w:rsid w:val="003E1554"/>
    <w:rsid w:val="003E2B6D"/>
    <w:rsid w:val="003E3978"/>
    <w:rsid w:val="003E5546"/>
    <w:rsid w:val="003E56D6"/>
    <w:rsid w:val="003F05F6"/>
    <w:rsid w:val="003F0BC5"/>
    <w:rsid w:val="003F0C8B"/>
    <w:rsid w:val="003F1DF2"/>
    <w:rsid w:val="003F28E1"/>
    <w:rsid w:val="003F2CCD"/>
    <w:rsid w:val="003F300C"/>
    <w:rsid w:val="003F467D"/>
    <w:rsid w:val="003F5E35"/>
    <w:rsid w:val="00400251"/>
    <w:rsid w:val="00400E88"/>
    <w:rsid w:val="004017B4"/>
    <w:rsid w:val="004027A3"/>
    <w:rsid w:val="0040554F"/>
    <w:rsid w:val="004065F1"/>
    <w:rsid w:val="00410D23"/>
    <w:rsid w:val="00410D50"/>
    <w:rsid w:val="004114D5"/>
    <w:rsid w:val="00411C88"/>
    <w:rsid w:val="0041314B"/>
    <w:rsid w:val="00413514"/>
    <w:rsid w:val="0041647A"/>
    <w:rsid w:val="00416ABF"/>
    <w:rsid w:val="00416EDE"/>
    <w:rsid w:val="00422888"/>
    <w:rsid w:val="00423B35"/>
    <w:rsid w:val="004248DA"/>
    <w:rsid w:val="004250C8"/>
    <w:rsid w:val="00425CA6"/>
    <w:rsid w:val="0042629E"/>
    <w:rsid w:val="00426908"/>
    <w:rsid w:val="00426FEE"/>
    <w:rsid w:val="00432E20"/>
    <w:rsid w:val="00433E48"/>
    <w:rsid w:val="00433F17"/>
    <w:rsid w:val="004369EB"/>
    <w:rsid w:val="0043718E"/>
    <w:rsid w:val="00437A93"/>
    <w:rsid w:val="0044018F"/>
    <w:rsid w:val="00440B70"/>
    <w:rsid w:val="004417C2"/>
    <w:rsid w:val="00441EBD"/>
    <w:rsid w:val="00445DA6"/>
    <w:rsid w:val="00450CF7"/>
    <w:rsid w:val="00451941"/>
    <w:rsid w:val="00452737"/>
    <w:rsid w:val="00453D6D"/>
    <w:rsid w:val="00453EA8"/>
    <w:rsid w:val="00454D25"/>
    <w:rsid w:val="0045566B"/>
    <w:rsid w:val="00455707"/>
    <w:rsid w:val="0045664F"/>
    <w:rsid w:val="004567C4"/>
    <w:rsid w:val="00456DF3"/>
    <w:rsid w:val="004601A8"/>
    <w:rsid w:val="0046074D"/>
    <w:rsid w:val="00462638"/>
    <w:rsid w:val="00462B90"/>
    <w:rsid w:val="004652CA"/>
    <w:rsid w:val="00470357"/>
    <w:rsid w:val="00470445"/>
    <w:rsid w:val="00471878"/>
    <w:rsid w:val="00471A7A"/>
    <w:rsid w:val="00471F4F"/>
    <w:rsid w:val="00471FDF"/>
    <w:rsid w:val="0047227A"/>
    <w:rsid w:val="004722BE"/>
    <w:rsid w:val="00472B97"/>
    <w:rsid w:val="004733BF"/>
    <w:rsid w:val="0047348F"/>
    <w:rsid w:val="00473A70"/>
    <w:rsid w:val="004767FD"/>
    <w:rsid w:val="00477245"/>
    <w:rsid w:val="004800CF"/>
    <w:rsid w:val="00480D95"/>
    <w:rsid w:val="00481D05"/>
    <w:rsid w:val="00481F76"/>
    <w:rsid w:val="00482995"/>
    <w:rsid w:val="00485D09"/>
    <w:rsid w:val="00485E86"/>
    <w:rsid w:val="004861F0"/>
    <w:rsid w:val="00486EEB"/>
    <w:rsid w:val="00486F12"/>
    <w:rsid w:val="004876B6"/>
    <w:rsid w:val="0049155F"/>
    <w:rsid w:val="004918B8"/>
    <w:rsid w:val="00493C02"/>
    <w:rsid w:val="00494C51"/>
    <w:rsid w:val="00496886"/>
    <w:rsid w:val="00496B02"/>
    <w:rsid w:val="004978C9"/>
    <w:rsid w:val="004A0D53"/>
    <w:rsid w:val="004A17A8"/>
    <w:rsid w:val="004A219C"/>
    <w:rsid w:val="004A250D"/>
    <w:rsid w:val="004A2B99"/>
    <w:rsid w:val="004A46B7"/>
    <w:rsid w:val="004A4BF5"/>
    <w:rsid w:val="004A4CB8"/>
    <w:rsid w:val="004A5A43"/>
    <w:rsid w:val="004A5CA6"/>
    <w:rsid w:val="004A65D7"/>
    <w:rsid w:val="004A68C0"/>
    <w:rsid w:val="004A6BF7"/>
    <w:rsid w:val="004A6CC4"/>
    <w:rsid w:val="004A75A0"/>
    <w:rsid w:val="004B098F"/>
    <w:rsid w:val="004B2BC3"/>
    <w:rsid w:val="004B302B"/>
    <w:rsid w:val="004B31E6"/>
    <w:rsid w:val="004B558A"/>
    <w:rsid w:val="004B598F"/>
    <w:rsid w:val="004B67AC"/>
    <w:rsid w:val="004B726B"/>
    <w:rsid w:val="004B7A00"/>
    <w:rsid w:val="004B7E9F"/>
    <w:rsid w:val="004C0651"/>
    <w:rsid w:val="004C0D38"/>
    <w:rsid w:val="004C1276"/>
    <w:rsid w:val="004C1375"/>
    <w:rsid w:val="004C15D5"/>
    <w:rsid w:val="004C3B26"/>
    <w:rsid w:val="004C4393"/>
    <w:rsid w:val="004C5115"/>
    <w:rsid w:val="004C54FD"/>
    <w:rsid w:val="004C5609"/>
    <w:rsid w:val="004C5DD7"/>
    <w:rsid w:val="004C5EC5"/>
    <w:rsid w:val="004D0300"/>
    <w:rsid w:val="004D259D"/>
    <w:rsid w:val="004D33F8"/>
    <w:rsid w:val="004D4422"/>
    <w:rsid w:val="004D4564"/>
    <w:rsid w:val="004D553B"/>
    <w:rsid w:val="004D56EA"/>
    <w:rsid w:val="004D5BB4"/>
    <w:rsid w:val="004D5C69"/>
    <w:rsid w:val="004D5C7D"/>
    <w:rsid w:val="004D6E82"/>
    <w:rsid w:val="004D75E5"/>
    <w:rsid w:val="004E4064"/>
    <w:rsid w:val="004E40C6"/>
    <w:rsid w:val="004E45A2"/>
    <w:rsid w:val="004E568C"/>
    <w:rsid w:val="004E568F"/>
    <w:rsid w:val="004E67AD"/>
    <w:rsid w:val="004E76B9"/>
    <w:rsid w:val="004F000D"/>
    <w:rsid w:val="004F06B0"/>
    <w:rsid w:val="004F074E"/>
    <w:rsid w:val="004F09BC"/>
    <w:rsid w:val="004F0F62"/>
    <w:rsid w:val="004F1BDA"/>
    <w:rsid w:val="004F21C3"/>
    <w:rsid w:val="004F331D"/>
    <w:rsid w:val="004F34F2"/>
    <w:rsid w:val="004F3A2C"/>
    <w:rsid w:val="004F4AC3"/>
    <w:rsid w:val="004F4E46"/>
    <w:rsid w:val="004F513D"/>
    <w:rsid w:val="004F70EA"/>
    <w:rsid w:val="004F775F"/>
    <w:rsid w:val="004F7896"/>
    <w:rsid w:val="005006E1"/>
    <w:rsid w:val="00500C2C"/>
    <w:rsid w:val="005019A5"/>
    <w:rsid w:val="00501FC1"/>
    <w:rsid w:val="00502E46"/>
    <w:rsid w:val="005032C5"/>
    <w:rsid w:val="005035A4"/>
    <w:rsid w:val="00504454"/>
    <w:rsid w:val="00504DD9"/>
    <w:rsid w:val="00507589"/>
    <w:rsid w:val="00512BC2"/>
    <w:rsid w:val="00513A1C"/>
    <w:rsid w:val="0051437A"/>
    <w:rsid w:val="00515E59"/>
    <w:rsid w:val="0051729A"/>
    <w:rsid w:val="0052073F"/>
    <w:rsid w:val="00520D16"/>
    <w:rsid w:val="00522D52"/>
    <w:rsid w:val="00522E8B"/>
    <w:rsid w:val="00523225"/>
    <w:rsid w:val="005235F2"/>
    <w:rsid w:val="005243FC"/>
    <w:rsid w:val="00525409"/>
    <w:rsid w:val="00525E43"/>
    <w:rsid w:val="005263E7"/>
    <w:rsid w:val="00527BC2"/>
    <w:rsid w:val="00530042"/>
    <w:rsid w:val="00531E90"/>
    <w:rsid w:val="00533927"/>
    <w:rsid w:val="00535041"/>
    <w:rsid w:val="00535C38"/>
    <w:rsid w:val="005371FC"/>
    <w:rsid w:val="00537476"/>
    <w:rsid w:val="0054058E"/>
    <w:rsid w:val="005410AD"/>
    <w:rsid w:val="005429A9"/>
    <w:rsid w:val="00542A4B"/>
    <w:rsid w:val="005444F0"/>
    <w:rsid w:val="00544D5B"/>
    <w:rsid w:val="005455CB"/>
    <w:rsid w:val="00545AC0"/>
    <w:rsid w:val="00546277"/>
    <w:rsid w:val="00546C68"/>
    <w:rsid w:val="005474EB"/>
    <w:rsid w:val="00552025"/>
    <w:rsid w:val="005521A6"/>
    <w:rsid w:val="00552B00"/>
    <w:rsid w:val="005537D6"/>
    <w:rsid w:val="00555826"/>
    <w:rsid w:val="005568B1"/>
    <w:rsid w:val="005573FB"/>
    <w:rsid w:val="00560487"/>
    <w:rsid w:val="005607BA"/>
    <w:rsid w:val="00560C5C"/>
    <w:rsid w:val="00561B16"/>
    <w:rsid w:val="00564BCE"/>
    <w:rsid w:val="00565424"/>
    <w:rsid w:val="005667EF"/>
    <w:rsid w:val="00566DCF"/>
    <w:rsid w:val="005676DF"/>
    <w:rsid w:val="005707F0"/>
    <w:rsid w:val="00571931"/>
    <w:rsid w:val="005726C1"/>
    <w:rsid w:val="00573F08"/>
    <w:rsid w:val="00576413"/>
    <w:rsid w:val="00576437"/>
    <w:rsid w:val="00576EB3"/>
    <w:rsid w:val="005770B5"/>
    <w:rsid w:val="005773BD"/>
    <w:rsid w:val="005773EA"/>
    <w:rsid w:val="00580742"/>
    <w:rsid w:val="005807F9"/>
    <w:rsid w:val="00580EE3"/>
    <w:rsid w:val="005816B5"/>
    <w:rsid w:val="005829E9"/>
    <w:rsid w:val="00582FA8"/>
    <w:rsid w:val="00583784"/>
    <w:rsid w:val="005843C8"/>
    <w:rsid w:val="00584741"/>
    <w:rsid w:val="0058485D"/>
    <w:rsid w:val="005871FB"/>
    <w:rsid w:val="00590419"/>
    <w:rsid w:val="0059084F"/>
    <w:rsid w:val="00591668"/>
    <w:rsid w:val="005916BA"/>
    <w:rsid w:val="00594394"/>
    <w:rsid w:val="00596529"/>
    <w:rsid w:val="00596775"/>
    <w:rsid w:val="00596A39"/>
    <w:rsid w:val="005971E4"/>
    <w:rsid w:val="005973C3"/>
    <w:rsid w:val="005977E1"/>
    <w:rsid w:val="005A11B6"/>
    <w:rsid w:val="005A1C59"/>
    <w:rsid w:val="005A21FA"/>
    <w:rsid w:val="005A3317"/>
    <w:rsid w:val="005A4798"/>
    <w:rsid w:val="005A57A6"/>
    <w:rsid w:val="005A585E"/>
    <w:rsid w:val="005A5DF1"/>
    <w:rsid w:val="005A6217"/>
    <w:rsid w:val="005A6431"/>
    <w:rsid w:val="005A7C44"/>
    <w:rsid w:val="005B1A12"/>
    <w:rsid w:val="005B31BD"/>
    <w:rsid w:val="005B43A4"/>
    <w:rsid w:val="005B67B0"/>
    <w:rsid w:val="005B78FC"/>
    <w:rsid w:val="005C1281"/>
    <w:rsid w:val="005C2E24"/>
    <w:rsid w:val="005C451C"/>
    <w:rsid w:val="005C46FF"/>
    <w:rsid w:val="005C58C4"/>
    <w:rsid w:val="005C6FCA"/>
    <w:rsid w:val="005C78BD"/>
    <w:rsid w:val="005D3358"/>
    <w:rsid w:val="005D3A11"/>
    <w:rsid w:val="005D3CF3"/>
    <w:rsid w:val="005D4F34"/>
    <w:rsid w:val="005D702B"/>
    <w:rsid w:val="005D7271"/>
    <w:rsid w:val="005E0514"/>
    <w:rsid w:val="005E0783"/>
    <w:rsid w:val="005E1477"/>
    <w:rsid w:val="005E1B72"/>
    <w:rsid w:val="005E1BE5"/>
    <w:rsid w:val="005E1DD9"/>
    <w:rsid w:val="005E1DE5"/>
    <w:rsid w:val="005E1F3F"/>
    <w:rsid w:val="005E2595"/>
    <w:rsid w:val="005E3999"/>
    <w:rsid w:val="005E4522"/>
    <w:rsid w:val="005E4DB2"/>
    <w:rsid w:val="005F094C"/>
    <w:rsid w:val="005F3406"/>
    <w:rsid w:val="005F3B0F"/>
    <w:rsid w:val="005F538B"/>
    <w:rsid w:val="005F5F55"/>
    <w:rsid w:val="005F72B1"/>
    <w:rsid w:val="005F7A29"/>
    <w:rsid w:val="005F7AD3"/>
    <w:rsid w:val="005F7CC8"/>
    <w:rsid w:val="006009FB"/>
    <w:rsid w:val="00602422"/>
    <w:rsid w:val="00602613"/>
    <w:rsid w:val="006028AD"/>
    <w:rsid w:val="006058EC"/>
    <w:rsid w:val="00605B9B"/>
    <w:rsid w:val="00605C13"/>
    <w:rsid w:val="00606FCA"/>
    <w:rsid w:val="0061186D"/>
    <w:rsid w:val="00611998"/>
    <w:rsid w:val="006128FE"/>
    <w:rsid w:val="006129BD"/>
    <w:rsid w:val="00612E1A"/>
    <w:rsid w:val="00614140"/>
    <w:rsid w:val="0061429F"/>
    <w:rsid w:val="0061456B"/>
    <w:rsid w:val="0061648A"/>
    <w:rsid w:val="00616F96"/>
    <w:rsid w:val="0062109D"/>
    <w:rsid w:val="00621EB2"/>
    <w:rsid w:val="00622290"/>
    <w:rsid w:val="00622EA9"/>
    <w:rsid w:val="00624398"/>
    <w:rsid w:val="00624996"/>
    <w:rsid w:val="00625470"/>
    <w:rsid w:val="006263FC"/>
    <w:rsid w:val="006318F1"/>
    <w:rsid w:val="00631AE3"/>
    <w:rsid w:val="0063337E"/>
    <w:rsid w:val="00633A24"/>
    <w:rsid w:val="006346BD"/>
    <w:rsid w:val="00636C9B"/>
    <w:rsid w:val="0064068D"/>
    <w:rsid w:val="00640BE2"/>
    <w:rsid w:val="00643F48"/>
    <w:rsid w:val="006447C4"/>
    <w:rsid w:val="00644CE7"/>
    <w:rsid w:val="00646E6C"/>
    <w:rsid w:val="00646FEA"/>
    <w:rsid w:val="00650D1C"/>
    <w:rsid w:val="00651F90"/>
    <w:rsid w:val="00653F1A"/>
    <w:rsid w:val="00660510"/>
    <w:rsid w:val="00660B78"/>
    <w:rsid w:val="00660F95"/>
    <w:rsid w:val="006620D0"/>
    <w:rsid w:val="006620F6"/>
    <w:rsid w:val="006624D4"/>
    <w:rsid w:val="00662D2B"/>
    <w:rsid w:val="006646EC"/>
    <w:rsid w:val="00664BA8"/>
    <w:rsid w:val="006651FF"/>
    <w:rsid w:val="00665AD4"/>
    <w:rsid w:val="00667743"/>
    <w:rsid w:val="00670B4E"/>
    <w:rsid w:val="00673BD2"/>
    <w:rsid w:val="00674332"/>
    <w:rsid w:val="006743E2"/>
    <w:rsid w:val="00676039"/>
    <w:rsid w:val="0067629A"/>
    <w:rsid w:val="0067660E"/>
    <w:rsid w:val="006802F8"/>
    <w:rsid w:val="006804C8"/>
    <w:rsid w:val="0068074F"/>
    <w:rsid w:val="00681275"/>
    <w:rsid w:val="00682570"/>
    <w:rsid w:val="00682918"/>
    <w:rsid w:val="0069244E"/>
    <w:rsid w:val="00692E50"/>
    <w:rsid w:val="006936C4"/>
    <w:rsid w:val="006970BF"/>
    <w:rsid w:val="006973CF"/>
    <w:rsid w:val="006A0317"/>
    <w:rsid w:val="006A07A7"/>
    <w:rsid w:val="006A2C47"/>
    <w:rsid w:val="006A6072"/>
    <w:rsid w:val="006B3D69"/>
    <w:rsid w:val="006B3DC6"/>
    <w:rsid w:val="006B3E68"/>
    <w:rsid w:val="006B4E82"/>
    <w:rsid w:val="006B5C26"/>
    <w:rsid w:val="006B6056"/>
    <w:rsid w:val="006B709A"/>
    <w:rsid w:val="006B72EC"/>
    <w:rsid w:val="006B7803"/>
    <w:rsid w:val="006C107A"/>
    <w:rsid w:val="006C1517"/>
    <w:rsid w:val="006C210D"/>
    <w:rsid w:val="006C27A1"/>
    <w:rsid w:val="006C31DB"/>
    <w:rsid w:val="006C4554"/>
    <w:rsid w:val="006C518F"/>
    <w:rsid w:val="006C5871"/>
    <w:rsid w:val="006D038A"/>
    <w:rsid w:val="006D03B0"/>
    <w:rsid w:val="006D0483"/>
    <w:rsid w:val="006D2804"/>
    <w:rsid w:val="006D2ABB"/>
    <w:rsid w:val="006D3034"/>
    <w:rsid w:val="006D314B"/>
    <w:rsid w:val="006D31F8"/>
    <w:rsid w:val="006D3D7A"/>
    <w:rsid w:val="006D3E26"/>
    <w:rsid w:val="006D64E7"/>
    <w:rsid w:val="006E1C03"/>
    <w:rsid w:val="006E1E6E"/>
    <w:rsid w:val="006E2DDF"/>
    <w:rsid w:val="006E4DE0"/>
    <w:rsid w:val="006E4FB2"/>
    <w:rsid w:val="006E65E2"/>
    <w:rsid w:val="006E65EE"/>
    <w:rsid w:val="006E7DF2"/>
    <w:rsid w:val="006F127A"/>
    <w:rsid w:val="006F191F"/>
    <w:rsid w:val="006F1B02"/>
    <w:rsid w:val="006F325E"/>
    <w:rsid w:val="006F36CA"/>
    <w:rsid w:val="006F41D2"/>
    <w:rsid w:val="006F42BF"/>
    <w:rsid w:val="006F492E"/>
    <w:rsid w:val="006F4EB8"/>
    <w:rsid w:val="006F73EF"/>
    <w:rsid w:val="006F74F3"/>
    <w:rsid w:val="006F7B6E"/>
    <w:rsid w:val="006F7F3A"/>
    <w:rsid w:val="00700A26"/>
    <w:rsid w:val="00702436"/>
    <w:rsid w:val="00706FD8"/>
    <w:rsid w:val="007102CE"/>
    <w:rsid w:val="0071043E"/>
    <w:rsid w:val="00710BC3"/>
    <w:rsid w:val="00710C3D"/>
    <w:rsid w:val="00712AE7"/>
    <w:rsid w:val="00712F81"/>
    <w:rsid w:val="00713595"/>
    <w:rsid w:val="007137CC"/>
    <w:rsid w:val="00713E44"/>
    <w:rsid w:val="0071559A"/>
    <w:rsid w:val="00715CD4"/>
    <w:rsid w:val="007178C4"/>
    <w:rsid w:val="00720885"/>
    <w:rsid w:val="007208A3"/>
    <w:rsid w:val="00721882"/>
    <w:rsid w:val="00721CC5"/>
    <w:rsid w:val="00722994"/>
    <w:rsid w:val="0072300B"/>
    <w:rsid w:val="00724A5A"/>
    <w:rsid w:val="0072667F"/>
    <w:rsid w:val="00726746"/>
    <w:rsid w:val="00726D8B"/>
    <w:rsid w:val="0073430A"/>
    <w:rsid w:val="00734E11"/>
    <w:rsid w:val="00735546"/>
    <w:rsid w:val="00736483"/>
    <w:rsid w:val="00742A01"/>
    <w:rsid w:val="00742D7F"/>
    <w:rsid w:val="007434F1"/>
    <w:rsid w:val="007437F9"/>
    <w:rsid w:val="007446C0"/>
    <w:rsid w:val="00745883"/>
    <w:rsid w:val="0075021E"/>
    <w:rsid w:val="00751E1B"/>
    <w:rsid w:val="00756257"/>
    <w:rsid w:val="00757134"/>
    <w:rsid w:val="00757DAD"/>
    <w:rsid w:val="007611BB"/>
    <w:rsid w:val="007638E4"/>
    <w:rsid w:val="00764E9B"/>
    <w:rsid w:val="00765585"/>
    <w:rsid w:val="00765665"/>
    <w:rsid w:val="0076603E"/>
    <w:rsid w:val="00766E9F"/>
    <w:rsid w:val="00767BED"/>
    <w:rsid w:val="00767D09"/>
    <w:rsid w:val="00767F92"/>
    <w:rsid w:val="00770198"/>
    <w:rsid w:val="00770722"/>
    <w:rsid w:val="007712F0"/>
    <w:rsid w:val="0077225C"/>
    <w:rsid w:val="00773C15"/>
    <w:rsid w:val="0077456B"/>
    <w:rsid w:val="00780099"/>
    <w:rsid w:val="00780BEC"/>
    <w:rsid w:val="007815D6"/>
    <w:rsid w:val="00781882"/>
    <w:rsid w:val="0078266A"/>
    <w:rsid w:val="00783A79"/>
    <w:rsid w:val="00783D2F"/>
    <w:rsid w:val="0078656A"/>
    <w:rsid w:val="0078777E"/>
    <w:rsid w:val="00787AED"/>
    <w:rsid w:val="00791D58"/>
    <w:rsid w:val="00794F5D"/>
    <w:rsid w:val="007954CD"/>
    <w:rsid w:val="00795D1D"/>
    <w:rsid w:val="007962DF"/>
    <w:rsid w:val="007963EA"/>
    <w:rsid w:val="007964BD"/>
    <w:rsid w:val="00796E22"/>
    <w:rsid w:val="007A003F"/>
    <w:rsid w:val="007A191B"/>
    <w:rsid w:val="007A20B0"/>
    <w:rsid w:val="007A2C8C"/>
    <w:rsid w:val="007A4240"/>
    <w:rsid w:val="007A42F0"/>
    <w:rsid w:val="007A5F3A"/>
    <w:rsid w:val="007B0B0A"/>
    <w:rsid w:val="007B2756"/>
    <w:rsid w:val="007B5C95"/>
    <w:rsid w:val="007B7BFB"/>
    <w:rsid w:val="007C042A"/>
    <w:rsid w:val="007C0CAD"/>
    <w:rsid w:val="007C14C7"/>
    <w:rsid w:val="007C21E5"/>
    <w:rsid w:val="007C3B20"/>
    <w:rsid w:val="007C3FEE"/>
    <w:rsid w:val="007C4D4D"/>
    <w:rsid w:val="007C6611"/>
    <w:rsid w:val="007C72D1"/>
    <w:rsid w:val="007C7CC4"/>
    <w:rsid w:val="007D0A82"/>
    <w:rsid w:val="007D198A"/>
    <w:rsid w:val="007D254F"/>
    <w:rsid w:val="007D38B8"/>
    <w:rsid w:val="007D4AC3"/>
    <w:rsid w:val="007D5784"/>
    <w:rsid w:val="007E0790"/>
    <w:rsid w:val="007E0836"/>
    <w:rsid w:val="007E08EA"/>
    <w:rsid w:val="007E1664"/>
    <w:rsid w:val="007E1A4C"/>
    <w:rsid w:val="007E1E18"/>
    <w:rsid w:val="007E245D"/>
    <w:rsid w:val="007E2633"/>
    <w:rsid w:val="007E30A6"/>
    <w:rsid w:val="007E3EEF"/>
    <w:rsid w:val="007E4FCD"/>
    <w:rsid w:val="007E5980"/>
    <w:rsid w:val="007E637A"/>
    <w:rsid w:val="007F0FE3"/>
    <w:rsid w:val="007F24F4"/>
    <w:rsid w:val="007F2AF9"/>
    <w:rsid w:val="007F34AB"/>
    <w:rsid w:val="007F387B"/>
    <w:rsid w:val="007F3AF7"/>
    <w:rsid w:val="007F3C10"/>
    <w:rsid w:val="007F43AE"/>
    <w:rsid w:val="007F5034"/>
    <w:rsid w:val="007F6A55"/>
    <w:rsid w:val="0080088C"/>
    <w:rsid w:val="00800BC7"/>
    <w:rsid w:val="00802012"/>
    <w:rsid w:val="00802466"/>
    <w:rsid w:val="008028E4"/>
    <w:rsid w:val="00806D05"/>
    <w:rsid w:val="00807D72"/>
    <w:rsid w:val="00810035"/>
    <w:rsid w:val="008115B1"/>
    <w:rsid w:val="0081200C"/>
    <w:rsid w:val="00812576"/>
    <w:rsid w:val="00813C6F"/>
    <w:rsid w:val="008146E9"/>
    <w:rsid w:val="008147EA"/>
    <w:rsid w:val="0081662B"/>
    <w:rsid w:val="0081713B"/>
    <w:rsid w:val="00817FAF"/>
    <w:rsid w:val="008208D2"/>
    <w:rsid w:val="00821B32"/>
    <w:rsid w:val="0082258A"/>
    <w:rsid w:val="00822B1B"/>
    <w:rsid w:val="00823799"/>
    <w:rsid w:val="00823B2E"/>
    <w:rsid w:val="008259B1"/>
    <w:rsid w:val="00826234"/>
    <w:rsid w:val="00826C4F"/>
    <w:rsid w:val="00827B65"/>
    <w:rsid w:val="00831CD5"/>
    <w:rsid w:val="00832526"/>
    <w:rsid w:val="00832EFA"/>
    <w:rsid w:val="00833F02"/>
    <w:rsid w:val="00837485"/>
    <w:rsid w:val="00840293"/>
    <w:rsid w:val="00845D52"/>
    <w:rsid w:val="00846AD4"/>
    <w:rsid w:val="00847015"/>
    <w:rsid w:val="0085102B"/>
    <w:rsid w:val="008515BE"/>
    <w:rsid w:val="00851C7A"/>
    <w:rsid w:val="00852377"/>
    <w:rsid w:val="0085341D"/>
    <w:rsid w:val="00853BFE"/>
    <w:rsid w:val="00854AFF"/>
    <w:rsid w:val="00854F3C"/>
    <w:rsid w:val="008557D4"/>
    <w:rsid w:val="00855C60"/>
    <w:rsid w:val="0085606E"/>
    <w:rsid w:val="00856781"/>
    <w:rsid w:val="00856D46"/>
    <w:rsid w:val="008570E9"/>
    <w:rsid w:val="0086143E"/>
    <w:rsid w:val="00863AA0"/>
    <w:rsid w:val="00864630"/>
    <w:rsid w:val="00864907"/>
    <w:rsid w:val="00865442"/>
    <w:rsid w:val="008655AF"/>
    <w:rsid w:val="008659A1"/>
    <w:rsid w:val="00866CCB"/>
    <w:rsid w:val="00870022"/>
    <w:rsid w:val="00870A7C"/>
    <w:rsid w:val="008716D6"/>
    <w:rsid w:val="00872BCE"/>
    <w:rsid w:val="008745FB"/>
    <w:rsid w:val="00874809"/>
    <w:rsid w:val="00874D3F"/>
    <w:rsid w:val="008777E3"/>
    <w:rsid w:val="00877C87"/>
    <w:rsid w:val="008806CC"/>
    <w:rsid w:val="00880E70"/>
    <w:rsid w:val="00881351"/>
    <w:rsid w:val="0088202D"/>
    <w:rsid w:val="008828AD"/>
    <w:rsid w:val="00882CFE"/>
    <w:rsid w:val="008855DE"/>
    <w:rsid w:val="00885C78"/>
    <w:rsid w:val="0089134C"/>
    <w:rsid w:val="00892DAD"/>
    <w:rsid w:val="00893C71"/>
    <w:rsid w:val="0089414F"/>
    <w:rsid w:val="0089487F"/>
    <w:rsid w:val="00895BA5"/>
    <w:rsid w:val="0089606F"/>
    <w:rsid w:val="00896F2C"/>
    <w:rsid w:val="008974C4"/>
    <w:rsid w:val="008A115F"/>
    <w:rsid w:val="008A6E9A"/>
    <w:rsid w:val="008B2600"/>
    <w:rsid w:val="008B2F79"/>
    <w:rsid w:val="008B658F"/>
    <w:rsid w:val="008B7B40"/>
    <w:rsid w:val="008B7E2F"/>
    <w:rsid w:val="008C0126"/>
    <w:rsid w:val="008C0226"/>
    <w:rsid w:val="008C13C0"/>
    <w:rsid w:val="008C493C"/>
    <w:rsid w:val="008C5DB6"/>
    <w:rsid w:val="008C5F29"/>
    <w:rsid w:val="008C6BB9"/>
    <w:rsid w:val="008C6BC4"/>
    <w:rsid w:val="008C6D10"/>
    <w:rsid w:val="008C726A"/>
    <w:rsid w:val="008D1586"/>
    <w:rsid w:val="008D1ACD"/>
    <w:rsid w:val="008D361C"/>
    <w:rsid w:val="008D3BD8"/>
    <w:rsid w:val="008D4748"/>
    <w:rsid w:val="008D67C1"/>
    <w:rsid w:val="008D7E17"/>
    <w:rsid w:val="008E050C"/>
    <w:rsid w:val="008E05BA"/>
    <w:rsid w:val="008E1924"/>
    <w:rsid w:val="008E1CA8"/>
    <w:rsid w:val="008E2A2E"/>
    <w:rsid w:val="008E3B30"/>
    <w:rsid w:val="008E3EAF"/>
    <w:rsid w:val="008E46E0"/>
    <w:rsid w:val="008E4B6C"/>
    <w:rsid w:val="008E5734"/>
    <w:rsid w:val="008E7F9B"/>
    <w:rsid w:val="008F002C"/>
    <w:rsid w:val="008F1C9A"/>
    <w:rsid w:val="008F2C89"/>
    <w:rsid w:val="008F453B"/>
    <w:rsid w:val="008F5702"/>
    <w:rsid w:val="008F5A7D"/>
    <w:rsid w:val="008F762B"/>
    <w:rsid w:val="00900EC2"/>
    <w:rsid w:val="00901657"/>
    <w:rsid w:val="009016EE"/>
    <w:rsid w:val="0090219B"/>
    <w:rsid w:val="009031EA"/>
    <w:rsid w:val="0090405D"/>
    <w:rsid w:val="0090413E"/>
    <w:rsid w:val="00905AF4"/>
    <w:rsid w:val="009110EC"/>
    <w:rsid w:val="009127F8"/>
    <w:rsid w:val="009143E1"/>
    <w:rsid w:val="00914782"/>
    <w:rsid w:val="00915036"/>
    <w:rsid w:val="009151C6"/>
    <w:rsid w:val="009165F0"/>
    <w:rsid w:val="009212AD"/>
    <w:rsid w:val="00921352"/>
    <w:rsid w:val="00924778"/>
    <w:rsid w:val="009250F2"/>
    <w:rsid w:val="00927845"/>
    <w:rsid w:val="00932CDF"/>
    <w:rsid w:val="00933010"/>
    <w:rsid w:val="00933FBD"/>
    <w:rsid w:val="009349FA"/>
    <w:rsid w:val="00934C1F"/>
    <w:rsid w:val="00934D11"/>
    <w:rsid w:val="00934EDC"/>
    <w:rsid w:val="0093545F"/>
    <w:rsid w:val="00935F2D"/>
    <w:rsid w:val="00936468"/>
    <w:rsid w:val="00936F47"/>
    <w:rsid w:val="009410C9"/>
    <w:rsid w:val="00941738"/>
    <w:rsid w:val="00941C56"/>
    <w:rsid w:val="00941ED8"/>
    <w:rsid w:val="00942B68"/>
    <w:rsid w:val="0094344B"/>
    <w:rsid w:val="00943977"/>
    <w:rsid w:val="00943B07"/>
    <w:rsid w:val="00943FC1"/>
    <w:rsid w:val="00944626"/>
    <w:rsid w:val="009452C1"/>
    <w:rsid w:val="009503D7"/>
    <w:rsid w:val="0095276C"/>
    <w:rsid w:val="00953289"/>
    <w:rsid w:val="009541C4"/>
    <w:rsid w:val="00954205"/>
    <w:rsid w:val="00954B88"/>
    <w:rsid w:val="00955510"/>
    <w:rsid w:val="00955875"/>
    <w:rsid w:val="00956E5A"/>
    <w:rsid w:val="00960A8B"/>
    <w:rsid w:val="00961EAA"/>
    <w:rsid w:val="00962DC9"/>
    <w:rsid w:val="0096416D"/>
    <w:rsid w:val="009643B8"/>
    <w:rsid w:val="009647AA"/>
    <w:rsid w:val="009657ED"/>
    <w:rsid w:val="009715B3"/>
    <w:rsid w:val="00972B89"/>
    <w:rsid w:val="009749FC"/>
    <w:rsid w:val="00975069"/>
    <w:rsid w:val="00975A5A"/>
    <w:rsid w:val="00976106"/>
    <w:rsid w:val="009775E6"/>
    <w:rsid w:val="00977BCD"/>
    <w:rsid w:val="00980035"/>
    <w:rsid w:val="00980468"/>
    <w:rsid w:val="009822AA"/>
    <w:rsid w:val="009828CB"/>
    <w:rsid w:val="00983FA0"/>
    <w:rsid w:val="00983FD1"/>
    <w:rsid w:val="0098555A"/>
    <w:rsid w:val="0098711B"/>
    <w:rsid w:val="0098740D"/>
    <w:rsid w:val="00987949"/>
    <w:rsid w:val="00987CC6"/>
    <w:rsid w:val="009900A3"/>
    <w:rsid w:val="00992636"/>
    <w:rsid w:val="0099293E"/>
    <w:rsid w:val="00994E45"/>
    <w:rsid w:val="009956CD"/>
    <w:rsid w:val="009957E7"/>
    <w:rsid w:val="009966F7"/>
    <w:rsid w:val="009977B1"/>
    <w:rsid w:val="009A04D0"/>
    <w:rsid w:val="009A2202"/>
    <w:rsid w:val="009A2BB4"/>
    <w:rsid w:val="009A3298"/>
    <w:rsid w:val="009A43C4"/>
    <w:rsid w:val="009A5FE2"/>
    <w:rsid w:val="009A6925"/>
    <w:rsid w:val="009A72E0"/>
    <w:rsid w:val="009B037F"/>
    <w:rsid w:val="009B06CE"/>
    <w:rsid w:val="009B0CE1"/>
    <w:rsid w:val="009B28D1"/>
    <w:rsid w:val="009B2FDB"/>
    <w:rsid w:val="009B3A0B"/>
    <w:rsid w:val="009B3B83"/>
    <w:rsid w:val="009B400B"/>
    <w:rsid w:val="009B4EA1"/>
    <w:rsid w:val="009B510C"/>
    <w:rsid w:val="009B523C"/>
    <w:rsid w:val="009B55D9"/>
    <w:rsid w:val="009B6211"/>
    <w:rsid w:val="009B79BC"/>
    <w:rsid w:val="009B7A90"/>
    <w:rsid w:val="009C13A9"/>
    <w:rsid w:val="009C18C0"/>
    <w:rsid w:val="009C1F67"/>
    <w:rsid w:val="009C302C"/>
    <w:rsid w:val="009C3D0A"/>
    <w:rsid w:val="009D2756"/>
    <w:rsid w:val="009D2BBF"/>
    <w:rsid w:val="009D315D"/>
    <w:rsid w:val="009D315E"/>
    <w:rsid w:val="009D4A36"/>
    <w:rsid w:val="009E05DC"/>
    <w:rsid w:val="009E2DFC"/>
    <w:rsid w:val="009E42A0"/>
    <w:rsid w:val="009E567D"/>
    <w:rsid w:val="009E7A6C"/>
    <w:rsid w:val="009F02E8"/>
    <w:rsid w:val="009F0B52"/>
    <w:rsid w:val="009F1943"/>
    <w:rsid w:val="009F24D2"/>
    <w:rsid w:val="009F5BEA"/>
    <w:rsid w:val="009F728B"/>
    <w:rsid w:val="009F7690"/>
    <w:rsid w:val="009F7D76"/>
    <w:rsid w:val="00A01192"/>
    <w:rsid w:val="00A01D03"/>
    <w:rsid w:val="00A01F79"/>
    <w:rsid w:val="00A04343"/>
    <w:rsid w:val="00A07452"/>
    <w:rsid w:val="00A0773A"/>
    <w:rsid w:val="00A11071"/>
    <w:rsid w:val="00A11217"/>
    <w:rsid w:val="00A13C9C"/>
    <w:rsid w:val="00A1442E"/>
    <w:rsid w:val="00A2054E"/>
    <w:rsid w:val="00A20E4F"/>
    <w:rsid w:val="00A21B44"/>
    <w:rsid w:val="00A2298B"/>
    <w:rsid w:val="00A239C3"/>
    <w:rsid w:val="00A247D8"/>
    <w:rsid w:val="00A25177"/>
    <w:rsid w:val="00A308B1"/>
    <w:rsid w:val="00A30C72"/>
    <w:rsid w:val="00A3145D"/>
    <w:rsid w:val="00A32582"/>
    <w:rsid w:val="00A33280"/>
    <w:rsid w:val="00A347BD"/>
    <w:rsid w:val="00A35213"/>
    <w:rsid w:val="00A35263"/>
    <w:rsid w:val="00A3548F"/>
    <w:rsid w:val="00A35A22"/>
    <w:rsid w:val="00A35F1E"/>
    <w:rsid w:val="00A360E2"/>
    <w:rsid w:val="00A40812"/>
    <w:rsid w:val="00A40CA6"/>
    <w:rsid w:val="00A4180B"/>
    <w:rsid w:val="00A436AC"/>
    <w:rsid w:val="00A43B69"/>
    <w:rsid w:val="00A442CE"/>
    <w:rsid w:val="00A445BE"/>
    <w:rsid w:val="00A46582"/>
    <w:rsid w:val="00A473E8"/>
    <w:rsid w:val="00A4797E"/>
    <w:rsid w:val="00A47D1E"/>
    <w:rsid w:val="00A50B02"/>
    <w:rsid w:val="00A51194"/>
    <w:rsid w:val="00A538A4"/>
    <w:rsid w:val="00A54FC8"/>
    <w:rsid w:val="00A55EC7"/>
    <w:rsid w:val="00A56127"/>
    <w:rsid w:val="00A56D30"/>
    <w:rsid w:val="00A5718C"/>
    <w:rsid w:val="00A637A9"/>
    <w:rsid w:val="00A63892"/>
    <w:rsid w:val="00A638BD"/>
    <w:rsid w:val="00A642AA"/>
    <w:rsid w:val="00A67411"/>
    <w:rsid w:val="00A67717"/>
    <w:rsid w:val="00A709CC"/>
    <w:rsid w:val="00A711CC"/>
    <w:rsid w:val="00A7331B"/>
    <w:rsid w:val="00A733CD"/>
    <w:rsid w:val="00A73D0D"/>
    <w:rsid w:val="00A74201"/>
    <w:rsid w:val="00A750CC"/>
    <w:rsid w:val="00A755B6"/>
    <w:rsid w:val="00A80926"/>
    <w:rsid w:val="00A822BB"/>
    <w:rsid w:val="00A84405"/>
    <w:rsid w:val="00A85C8E"/>
    <w:rsid w:val="00A86B6D"/>
    <w:rsid w:val="00A90B5C"/>
    <w:rsid w:val="00A91DF7"/>
    <w:rsid w:val="00A92114"/>
    <w:rsid w:val="00A93659"/>
    <w:rsid w:val="00A943D2"/>
    <w:rsid w:val="00A9473B"/>
    <w:rsid w:val="00A95DD8"/>
    <w:rsid w:val="00A97576"/>
    <w:rsid w:val="00AA055E"/>
    <w:rsid w:val="00AA15CE"/>
    <w:rsid w:val="00AA248E"/>
    <w:rsid w:val="00AA298B"/>
    <w:rsid w:val="00AA2A24"/>
    <w:rsid w:val="00AA7C97"/>
    <w:rsid w:val="00AB0885"/>
    <w:rsid w:val="00AB1676"/>
    <w:rsid w:val="00AB1F1A"/>
    <w:rsid w:val="00AB2F6A"/>
    <w:rsid w:val="00AB4348"/>
    <w:rsid w:val="00AB4587"/>
    <w:rsid w:val="00AB67D2"/>
    <w:rsid w:val="00AC086A"/>
    <w:rsid w:val="00AC086C"/>
    <w:rsid w:val="00AC0C4E"/>
    <w:rsid w:val="00AC160D"/>
    <w:rsid w:val="00AC2AD4"/>
    <w:rsid w:val="00AC2C50"/>
    <w:rsid w:val="00AC2E3E"/>
    <w:rsid w:val="00AC41EF"/>
    <w:rsid w:val="00AC66F7"/>
    <w:rsid w:val="00ACE1E2"/>
    <w:rsid w:val="00AD07B8"/>
    <w:rsid w:val="00AD12BB"/>
    <w:rsid w:val="00AD5CB2"/>
    <w:rsid w:val="00AD7468"/>
    <w:rsid w:val="00AD79E8"/>
    <w:rsid w:val="00AD7DBE"/>
    <w:rsid w:val="00AE03DF"/>
    <w:rsid w:val="00AE0975"/>
    <w:rsid w:val="00AE1DBD"/>
    <w:rsid w:val="00AE1E69"/>
    <w:rsid w:val="00AE1E90"/>
    <w:rsid w:val="00AE2948"/>
    <w:rsid w:val="00AE4006"/>
    <w:rsid w:val="00AE4481"/>
    <w:rsid w:val="00AE68BA"/>
    <w:rsid w:val="00AE7C39"/>
    <w:rsid w:val="00AF06D7"/>
    <w:rsid w:val="00AF0F1C"/>
    <w:rsid w:val="00AF121D"/>
    <w:rsid w:val="00AF21F7"/>
    <w:rsid w:val="00AF2FF1"/>
    <w:rsid w:val="00AF3FBE"/>
    <w:rsid w:val="00AF4EF9"/>
    <w:rsid w:val="00AF5BEE"/>
    <w:rsid w:val="00AF5E65"/>
    <w:rsid w:val="00AF5F19"/>
    <w:rsid w:val="00AF745B"/>
    <w:rsid w:val="00AF7B27"/>
    <w:rsid w:val="00B005C7"/>
    <w:rsid w:val="00B00A42"/>
    <w:rsid w:val="00B012EC"/>
    <w:rsid w:val="00B02E1A"/>
    <w:rsid w:val="00B03A98"/>
    <w:rsid w:val="00B04B26"/>
    <w:rsid w:val="00B06283"/>
    <w:rsid w:val="00B07FDD"/>
    <w:rsid w:val="00B10C6A"/>
    <w:rsid w:val="00B1249D"/>
    <w:rsid w:val="00B128D7"/>
    <w:rsid w:val="00B1379F"/>
    <w:rsid w:val="00B14105"/>
    <w:rsid w:val="00B15CF4"/>
    <w:rsid w:val="00B1730B"/>
    <w:rsid w:val="00B21A9C"/>
    <w:rsid w:val="00B22423"/>
    <w:rsid w:val="00B23506"/>
    <w:rsid w:val="00B253B7"/>
    <w:rsid w:val="00B26B43"/>
    <w:rsid w:val="00B26EC9"/>
    <w:rsid w:val="00B26F28"/>
    <w:rsid w:val="00B27076"/>
    <w:rsid w:val="00B310A3"/>
    <w:rsid w:val="00B31347"/>
    <w:rsid w:val="00B31BD1"/>
    <w:rsid w:val="00B32703"/>
    <w:rsid w:val="00B32E48"/>
    <w:rsid w:val="00B33E57"/>
    <w:rsid w:val="00B3457F"/>
    <w:rsid w:val="00B363BC"/>
    <w:rsid w:val="00B3664D"/>
    <w:rsid w:val="00B36BD6"/>
    <w:rsid w:val="00B3711D"/>
    <w:rsid w:val="00B40080"/>
    <w:rsid w:val="00B4019E"/>
    <w:rsid w:val="00B40862"/>
    <w:rsid w:val="00B41D73"/>
    <w:rsid w:val="00B436B8"/>
    <w:rsid w:val="00B43781"/>
    <w:rsid w:val="00B4394B"/>
    <w:rsid w:val="00B4452F"/>
    <w:rsid w:val="00B458A0"/>
    <w:rsid w:val="00B45AD0"/>
    <w:rsid w:val="00B50D55"/>
    <w:rsid w:val="00B50D74"/>
    <w:rsid w:val="00B51393"/>
    <w:rsid w:val="00B5377A"/>
    <w:rsid w:val="00B5386D"/>
    <w:rsid w:val="00B53955"/>
    <w:rsid w:val="00B53EFB"/>
    <w:rsid w:val="00B54559"/>
    <w:rsid w:val="00B547B3"/>
    <w:rsid w:val="00B54D37"/>
    <w:rsid w:val="00B5702E"/>
    <w:rsid w:val="00B608F6"/>
    <w:rsid w:val="00B6194D"/>
    <w:rsid w:val="00B61965"/>
    <w:rsid w:val="00B61E7B"/>
    <w:rsid w:val="00B643CB"/>
    <w:rsid w:val="00B65EB9"/>
    <w:rsid w:val="00B66CC3"/>
    <w:rsid w:val="00B66E0E"/>
    <w:rsid w:val="00B70F4B"/>
    <w:rsid w:val="00B72592"/>
    <w:rsid w:val="00B74545"/>
    <w:rsid w:val="00B74733"/>
    <w:rsid w:val="00B74E5E"/>
    <w:rsid w:val="00B751C0"/>
    <w:rsid w:val="00B76382"/>
    <w:rsid w:val="00B76B58"/>
    <w:rsid w:val="00B8047B"/>
    <w:rsid w:val="00B824A4"/>
    <w:rsid w:val="00B82CA8"/>
    <w:rsid w:val="00B82E89"/>
    <w:rsid w:val="00B82E93"/>
    <w:rsid w:val="00B838D7"/>
    <w:rsid w:val="00B87995"/>
    <w:rsid w:val="00B90942"/>
    <w:rsid w:val="00B90F95"/>
    <w:rsid w:val="00B9336F"/>
    <w:rsid w:val="00B94108"/>
    <w:rsid w:val="00B941A0"/>
    <w:rsid w:val="00B9550F"/>
    <w:rsid w:val="00B97333"/>
    <w:rsid w:val="00B97D14"/>
    <w:rsid w:val="00BA1633"/>
    <w:rsid w:val="00BA305D"/>
    <w:rsid w:val="00BA3319"/>
    <w:rsid w:val="00BA44E4"/>
    <w:rsid w:val="00BA557B"/>
    <w:rsid w:val="00BB3CCA"/>
    <w:rsid w:val="00BB3F08"/>
    <w:rsid w:val="00BB5542"/>
    <w:rsid w:val="00BB5C3F"/>
    <w:rsid w:val="00BB6634"/>
    <w:rsid w:val="00BB6EF0"/>
    <w:rsid w:val="00BC05A6"/>
    <w:rsid w:val="00BC0985"/>
    <w:rsid w:val="00BC109A"/>
    <w:rsid w:val="00BC1CEE"/>
    <w:rsid w:val="00BC371C"/>
    <w:rsid w:val="00BC3D5A"/>
    <w:rsid w:val="00BC7972"/>
    <w:rsid w:val="00BD1D0B"/>
    <w:rsid w:val="00BD43A2"/>
    <w:rsid w:val="00BD4FF2"/>
    <w:rsid w:val="00BD54CB"/>
    <w:rsid w:val="00BD59F0"/>
    <w:rsid w:val="00BD5FC1"/>
    <w:rsid w:val="00BD7B2A"/>
    <w:rsid w:val="00BE0580"/>
    <w:rsid w:val="00BE1089"/>
    <w:rsid w:val="00BE3807"/>
    <w:rsid w:val="00BE3FE2"/>
    <w:rsid w:val="00BE6360"/>
    <w:rsid w:val="00BE7C36"/>
    <w:rsid w:val="00BE7C9C"/>
    <w:rsid w:val="00BE7D8C"/>
    <w:rsid w:val="00BF02AF"/>
    <w:rsid w:val="00BF0DAB"/>
    <w:rsid w:val="00BF27B9"/>
    <w:rsid w:val="00BF4839"/>
    <w:rsid w:val="00BF6F01"/>
    <w:rsid w:val="00C01969"/>
    <w:rsid w:val="00C01ADC"/>
    <w:rsid w:val="00C01F53"/>
    <w:rsid w:val="00C0637C"/>
    <w:rsid w:val="00C06F69"/>
    <w:rsid w:val="00C07455"/>
    <w:rsid w:val="00C10537"/>
    <w:rsid w:val="00C11978"/>
    <w:rsid w:val="00C11B7F"/>
    <w:rsid w:val="00C12845"/>
    <w:rsid w:val="00C13D40"/>
    <w:rsid w:val="00C17F51"/>
    <w:rsid w:val="00C2048B"/>
    <w:rsid w:val="00C21D70"/>
    <w:rsid w:val="00C22DA9"/>
    <w:rsid w:val="00C22DB6"/>
    <w:rsid w:val="00C24656"/>
    <w:rsid w:val="00C251E9"/>
    <w:rsid w:val="00C30542"/>
    <w:rsid w:val="00C310AB"/>
    <w:rsid w:val="00C31B86"/>
    <w:rsid w:val="00C324C0"/>
    <w:rsid w:val="00C325D8"/>
    <w:rsid w:val="00C32842"/>
    <w:rsid w:val="00C3333B"/>
    <w:rsid w:val="00C33B28"/>
    <w:rsid w:val="00C34E52"/>
    <w:rsid w:val="00C357EA"/>
    <w:rsid w:val="00C35BE4"/>
    <w:rsid w:val="00C36CC6"/>
    <w:rsid w:val="00C37C37"/>
    <w:rsid w:val="00C402FB"/>
    <w:rsid w:val="00C42E62"/>
    <w:rsid w:val="00C432EB"/>
    <w:rsid w:val="00C434F2"/>
    <w:rsid w:val="00C43E01"/>
    <w:rsid w:val="00C452A2"/>
    <w:rsid w:val="00C45B13"/>
    <w:rsid w:val="00C50880"/>
    <w:rsid w:val="00C528C9"/>
    <w:rsid w:val="00C53FCF"/>
    <w:rsid w:val="00C559C3"/>
    <w:rsid w:val="00C61211"/>
    <w:rsid w:val="00C617A5"/>
    <w:rsid w:val="00C62D06"/>
    <w:rsid w:val="00C62DB5"/>
    <w:rsid w:val="00C633A2"/>
    <w:rsid w:val="00C6520C"/>
    <w:rsid w:val="00C6702C"/>
    <w:rsid w:val="00C67A37"/>
    <w:rsid w:val="00C700F6"/>
    <w:rsid w:val="00C70EAB"/>
    <w:rsid w:val="00C75651"/>
    <w:rsid w:val="00C768F1"/>
    <w:rsid w:val="00C76C2E"/>
    <w:rsid w:val="00C76CE9"/>
    <w:rsid w:val="00C77EE0"/>
    <w:rsid w:val="00C80352"/>
    <w:rsid w:val="00C80C12"/>
    <w:rsid w:val="00C80C88"/>
    <w:rsid w:val="00C81A2F"/>
    <w:rsid w:val="00C823F0"/>
    <w:rsid w:val="00C83B29"/>
    <w:rsid w:val="00C8442B"/>
    <w:rsid w:val="00C84D17"/>
    <w:rsid w:val="00C8509C"/>
    <w:rsid w:val="00C87B78"/>
    <w:rsid w:val="00C90F9A"/>
    <w:rsid w:val="00C91389"/>
    <w:rsid w:val="00C921FD"/>
    <w:rsid w:val="00C93E64"/>
    <w:rsid w:val="00C95828"/>
    <w:rsid w:val="00C95853"/>
    <w:rsid w:val="00C95F9A"/>
    <w:rsid w:val="00C96892"/>
    <w:rsid w:val="00C973DD"/>
    <w:rsid w:val="00CA1476"/>
    <w:rsid w:val="00CA2D53"/>
    <w:rsid w:val="00CA4228"/>
    <w:rsid w:val="00CA42A3"/>
    <w:rsid w:val="00CA4ED3"/>
    <w:rsid w:val="00CA596F"/>
    <w:rsid w:val="00CA5DF0"/>
    <w:rsid w:val="00CA7392"/>
    <w:rsid w:val="00CA73E8"/>
    <w:rsid w:val="00CA7B3B"/>
    <w:rsid w:val="00CA7C58"/>
    <w:rsid w:val="00CB0278"/>
    <w:rsid w:val="00CB57A4"/>
    <w:rsid w:val="00CB595F"/>
    <w:rsid w:val="00CB5E47"/>
    <w:rsid w:val="00CB739B"/>
    <w:rsid w:val="00CC024A"/>
    <w:rsid w:val="00CC0B80"/>
    <w:rsid w:val="00CC1AED"/>
    <w:rsid w:val="00CC1B81"/>
    <w:rsid w:val="00CC2A53"/>
    <w:rsid w:val="00CC2FE4"/>
    <w:rsid w:val="00CC37D0"/>
    <w:rsid w:val="00CC4528"/>
    <w:rsid w:val="00CC6B46"/>
    <w:rsid w:val="00CC6D1B"/>
    <w:rsid w:val="00CC785F"/>
    <w:rsid w:val="00CD04DC"/>
    <w:rsid w:val="00CD1899"/>
    <w:rsid w:val="00CD2636"/>
    <w:rsid w:val="00CD38B8"/>
    <w:rsid w:val="00CD4DBD"/>
    <w:rsid w:val="00CD649F"/>
    <w:rsid w:val="00CD67B8"/>
    <w:rsid w:val="00CD6F4F"/>
    <w:rsid w:val="00CD788C"/>
    <w:rsid w:val="00CE1A84"/>
    <w:rsid w:val="00CE2482"/>
    <w:rsid w:val="00CE2AE1"/>
    <w:rsid w:val="00CE4F1D"/>
    <w:rsid w:val="00CE54BB"/>
    <w:rsid w:val="00CE571C"/>
    <w:rsid w:val="00CE6280"/>
    <w:rsid w:val="00CE6E7B"/>
    <w:rsid w:val="00CF084A"/>
    <w:rsid w:val="00CF125E"/>
    <w:rsid w:val="00CF485B"/>
    <w:rsid w:val="00CF5441"/>
    <w:rsid w:val="00CF5BFA"/>
    <w:rsid w:val="00CF787B"/>
    <w:rsid w:val="00CF7EE9"/>
    <w:rsid w:val="00D00653"/>
    <w:rsid w:val="00D0170B"/>
    <w:rsid w:val="00D024DE"/>
    <w:rsid w:val="00D02649"/>
    <w:rsid w:val="00D03B49"/>
    <w:rsid w:val="00D04B51"/>
    <w:rsid w:val="00D05F1A"/>
    <w:rsid w:val="00D060EB"/>
    <w:rsid w:val="00D0620B"/>
    <w:rsid w:val="00D07855"/>
    <w:rsid w:val="00D12586"/>
    <w:rsid w:val="00D156A7"/>
    <w:rsid w:val="00D17643"/>
    <w:rsid w:val="00D20975"/>
    <w:rsid w:val="00D20B18"/>
    <w:rsid w:val="00D21D4A"/>
    <w:rsid w:val="00D23C5C"/>
    <w:rsid w:val="00D24602"/>
    <w:rsid w:val="00D264E4"/>
    <w:rsid w:val="00D265BC"/>
    <w:rsid w:val="00D2698A"/>
    <w:rsid w:val="00D26B7E"/>
    <w:rsid w:val="00D2783E"/>
    <w:rsid w:val="00D27A67"/>
    <w:rsid w:val="00D27BE9"/>
    <w:rsid w:val="00D27BF4"/>
    <w:rsid w:val="00D30901"/>
    <w:rsid w:val="00D30EB9"/>
    <w:rsid w:val="00D317D0"/>
    <w:rsid w:val="00D31EB3"/>
    <w:rsid w:val="00D32068"/>
    <w:rsid w:val="00D32236"/>
    <w:rsid w:val="00D3448A"/>
    <w:rsid w:val="00D34945"/>
    <w:rsid w:val="00D34A53"/>
    <w:rsid w:val="00D3601F"/>
    <w:rsid w:val="00D36F85"/>
    <w:rsid w:val="00D4082B"/>
    <w:rsid w:val="00D411D3"/>
    <w:rsid w:val="00D412C5"/>
    <w:rsid w:val="00D462FC"/>
    <w:rsid w:val="00D46632"/>
    <w:rsid w:val="00D4790C"/>
    <w:rsid w:val="00D50B7B"/>
    <w:rsid w:val="00D51CED"/>
    <w:rsid w:val="00D52BDE"/>
    <w:rsid w:val="00D54893"/>
    <w:rsid w:val="00D55637"/>
    <w:rsid w:val="00D57247"/>
    <w:rsid w:val="00D60323"/>
    <w:rsid w:val="00D60BF7"/>
    <w:rsid w:val="00D60DDD"/>
    <w:rsid w:val="00D61233"/>
    <w:rsid w:val="00D63B45"/>
    <w:rsid w:val="00D6470C"/>
    <w:rsid w:val="00D64B31"/>
    <w:rsid w:val="00D67322"/>
    <w:rsid w:val="00D7009B"/>
    <w:rsid w:val="00D714A7"/>
    <w:rsid w:val="00D73A07"/>
    <w:rsid w:val="00D749F6"/>
    <w:rsid w:val="00D74C3B"/>
    <w:rsid w:val="00D75B5D"/>
    <w:rsid w:val="00D75F9B"/>
    <w:rsid w:val="00D76D8D"/>
    <w:rsid w:val="00D77016"/>
    <w:rsid w:val="00D77538"/>
    <w:rsid w:val="00D77B96"/>
    <w:rsid w:val="00D806A8"/>
    <w:rsid w:val="00D8166A"/>
    <w:rsid w:val="00D85473"/>
    <w:rsid w:val="00D86067"/>
    <w:rsid w:val="00D86207"/>
    <w:rsid w:val="00D86698"/>
    <w:rsid w:val="00D86C38"/>
    <w:rsid w:val="00D87545"/>
    <w:rsid w:val="00D91917"/>
    <w:rsid w:val="00D91F11"/>
    <w:rsid w:val="00D942B3"/>
    <w:rsid w:val="00D94F1E"/>
    <w:rsid w:val="00D951B4"/>
    <w:rsid w:val="00D95AEA"/>
    <w:rsid w:val="00D9755B"/>
    <w:rsid w:val="00DA1BCC"/>
    <w:rsid w:val="00DA29F7"/>
    <w:rsid w:val="00DA2BBC"/>
    <w:rsid w:val="00DA2F06"/>
    <w:rsid w:val="00DA2FEC"/>
    <w:rsid w:val="00DA414C"/>
    <w:rsid w:val="00DA4313"/>
    <w:rsid w:val="00DA558E"/>
    <w:rsid w:val="00DA5860"/>
    <w:rsid w:val="00DA5991"/>
    <w:rsid w:val="00DA668E"/>
    <w:rsid w:val="00DA6927"/>
    <w:rsid w:val="00DA6944"/>
    <w:rsid w:val="00DA6D7A"/>
    <w:rsid w:val="00DA72E8"/>
    <w:rsid w:val="00DA72F1"/>
    <w:rsid w:val="00DB0A2A"/>
    <w:rsid w:val="00DB1302"/>
    <w:rsid w:val="00DB4EA0"/>
    <w:rsid w:val="00DB51C4"/>
    <w:rsid w:val="00DB5F51"/>
    <w:rsid w:val="00DC0F09"/>
    <w:rsid w:val="00DC17F2"/>
    <w:rsid w:val="00DC1963"/>
    <w:rsid w:val="00DC2559"/>
    <w:rsid w:val="00DC3FF2"/>
    <w:rsid w:val="00DC5009"/>
    <w:rsid w:val="00DC559F"/>
    <w:rsid w:val="00DC71DC"/>
    <w:rsid w:val="00DC7225"/>
    <w:rsid w:val="00DC77DE"/>
    <w:rsid w:val="00DC7FB2"/>
    <w:rsid w:val="00DD1C34"/>
    <w:rsid w:val="00DD25BB"/>
    <w:rsid w:val="00DD2910"/>
    <w:rsid w:val="00DD550A"/>
    <w:rsid w:val="00DD6048"/>
    <w:rsid w:val="00DD709C"/>
    <w:rsid w:val="00DD7231"/>
    <w:rsid w:val="00DE0248"/>
    <w:rsid w:val="00DE149F"/>
    <w:rsid w:val="00DE1A20"/>
    <w:rsid w:val="00DE25CD"/>
    <w:rsid w:val="00DE2ECE"/>
    <w:rsid w:val="00DE49BE"/>
    <w:rsid w:val="00DE4AC4"/>
    <w:rsid w:val="00DE684A"/>
    <w:rsid w:val="00DE689A"/>
    <w:rsid w:val="00DF07F9"/>
    <w:rsid w:val="00DF098B"/>
    <w:rsid w:val="00DF0CDD"/>
    <w:rsid w:val="00DF2619"/>
    <w:rsid w:val="00DF3682"/>
    <w:rsid w:val="00DF37C1"/>
    <w:rsid w:val="00DF3B23"/>
    <w:rsid w:val="00DF62B2"/>
    <w:rsid w:val="00DF7495"/>
    <w:rsid w:val="00DF77C4"/>
    <w:rsid w:val="00E00133"/>
    <w:rsid w:val="00E007F1"/>
    <w:rsid w:val="00E010DA"/>
    <w:rsid w:val="00E01E5B"/>
    <w:rsid w:val="00E02243"/>
    <w:rsid w:val="00E02781"/>
    <w:rsid w:val="00E04CFB"/>
    <w:rsid w:val="00E05101"/>
    <w:rsid w:val="00E078F9"/>
    <w:rsid w:val="00E11FD8"/>
    <w:rsid w:val="00E13263"/>
    <w:rsid w:val="00E135B7"/>
    <w:rsid w:val="00E15B38"/>
    <w:rsid w:val="00E17B49"/>
    <w:rsid w:val="00E20049"/>
    <w:rsid w:val="00E207CF"/>
    <w:rsid w:val="00E21157"/>
    <w:rsid w:val="00E2167A"/>
    <w:rsid w:val="00E21B69"/>
    <w:rsid w:val="00E237B8"/>
    <w:rsid w:val="00E23CF5"/>
    <w:rsid w:val="00E254A1"/>
    <w:rsid w:val="00E255D0"/>
    <w:rsid w:val="00E26AD0"/>
    <w:rsid w:val="00E26E7B"/>
    <w:rsid w:val="00E279DF"/>
    <w:rsid w:val="00E27A9E"/>
    <w:rsid w:val="00E31659"/>
    <w:rsid w:val="00E32B96"/>
    <w:rsid w:val="00E330BF"/>
    <w:rsid w:val="00E36235"/>
    <w:rsid w:val="00E40E18"/>
    <w:rsid w:val="00E41599"/>
    <w:rsid w:val="00E41F15"/>
    <w:rsid w:val="00E41F6F"/>
    <w:rsid w:val="00E43E1A"/>
    <w:rsid w:val="00E44124"/>
    <w:rsid w:val="00E458A8"/>
    <w:rsid w:val="00E46246"/>
    <w:rsid w:val="00E46A4F"/>
    <w:rsid w:val="00E476C3"/>
    <w:rsid w:val="00E50659"/>
    <w:rsid w:val="00E509BB"/>
    <w:rsid w:val="00E527C3"/>
    <w:rsid w:val="00E52BC8"/>
    <w:rsid w:val="00E52E3E"/>
    <w:rsid w:val="00E5333A"/>
    <w:rsid w:val="00E53831"/>
    <w:rsid w:val="00E53EF1"/>
    <w:rsid w:val="00E540E6"/>
    <w:rsid w:val="00E542D4"/>
    <w:rsid w:val="00E54D9A"/>
    <w:rsid w:val="00E5532E"/>
    <w:rsid w:val="00E55415"/>
    <w:rsid w:val="00E559A1"/>
    <w:rsid w:val="00E562A9"/>
    <w:rsid w:val="00E56BC5"/>
    <w:rsid w:val="00E56E44"/>
    <w:rsid w:val="00E57251"/>
    <w:rsid w:val="00E572D1"/>
    <w:rsid w:val="00E600DF"/>
    <w:rsid w:val="00E620F9"/>
    <w:rsid w:val="00E621C3"/>
    <w:rsid w:val="00E62C48"/>
    <w:rsid w:val="00E64479"/>
    <w:rsid w:val="00E702A2"/>
    <w:rsid w:val="00E718BA"/>
    <w:rsid w:val="00E72DF9"/>
    <w:rsid w:val="00E76EBA"/>
    <w:rsid w:val="00E77273"/>
    <w:rsid w:val="00E81947"/>
    <w:rsid w:val="00E830F3"/>
    <w:rsid w:val="00E830FD"/>
    <w:rsid w:val="00E841EE"/>
    <w:rsid w:val="00E846F0"/>
    <w:rsid w:val="00E85871"/>
    <w:rsid w:val="00E85C68"/>
    <w:rsid w:val="00E85E64"/>
    <w:rsid w:val="00E86E98"/>
    <w:rsid w:val="00E90638"/>
    <w:rsid w:val="00E90CAD"/>
    <w:rsid w:val="00E90EC5"/>
    <w:rsid w:val="00E9108A"/>
    <w:rsid w:val="00E92ADC"/>
    <w:rsid w:val="00E930B9"/>
    <w:rsid w:val="00E93242"/>
    <w:rsid w:val="00E93C0B"/>
    <w:rsid w:val="00E93E6D"/>
    <w:rsid w:val="00E94050"/>
    <w:rsid w:val="00E94062"/>
    <w:rsid w:val="00E949CE"/>
    <w:rsid w:val="00E95AB4"/>
    <w:rsid w:val="00E95C90"/>
    <w:rsid w:val="00E96C7E"/>
    <w:rsid w:val="00E97862"/>
    <w:rsid w:val="00E97C80"/>
    <w:rsid w:val="00EA150C"/>
    <w:rsid w:val="00EA16FA"/>
    <w:rsid w:val="00EA1C43"/>
    <w:rsid w:val="00EA2268"/>
    <w:rsid w:val="00EA257B"/>
    <w:rsid w:val="00EA2C43"/>
    <w:rsid w:val="00EA2CA7"/>
    <w:rsid w:val="00EA4478"/>
    <w:rsid w:val="00EA5875"/>
    <w:rsid w:val="00EA59BF"/>
    <w:rsid w:val="00EA7A35"/>
    <w:rsid w:val="00EA7DA6"/>
    <w:rsid w:val="00EB12CE"/>
    <w:rsid w:val="00EB142C"/>
    <w:rsid w:val="00EB34A0"/>
    <w:rsid w:val="00EB39FD"/>
    <w:rsid w:val="00EB4D65"/>
    <w:rsid w:val="00EB6A5D"/>
    <w:rsid w:val="00EB6EBC"/>
    <w:rsid w:val="00EB6F02"/>
    <w:rsid w:val="00EB788C"/>
    <w:rsid w:val="00EC0CA6"/>
    <w:rsid w:val="00EC16C6"/>
    <w:rsid w:val="00EC376C"/>
    <w:rsid w:val="00EC4440"/>
    <w:rsid w:val="00EC5154"/>
    <w:rsid w:val="00EC681B"/>
    <w:rsid w:val="00EC6AD0"/>
    <w:rsid w:val="00EC7003"/>
    <w:rsid w:val="00EC7189"/>
    <w:rsid w:val="00ED0E4C"/>
    <w:rsid w:val="00ED2B16"/>
    <w:rsid w:val="00ED3A81"/>
    <w:rsid w:val="00ED5552"/>
    <w:rsid w:val="00ED56D0"/>
    <w:rsid w:val="00ED5C52"/>
    <w:rsid w:val="00ED6CD7"/>
    <w:rsid w:val="00EE0BC0"/>
    <w:rsid w:val="00EE1F1B"/>
    <w:rsid w:val="00EE2D68"/>
    <w:rsid w:val="00EE3A67"/>
    <w:rsid w:val="00EE7011"/>
    <w:rsid w:val="00EE747A"/>
    <w:rsid w:val="00EF06D7"/>
    <w:rsid w:val="00EF0F03"/>
    <w:rsid w:val="00EF1939"/>
    <w:rsid w:val="00EF2ED3"/>
    <w:rsid w:val="00EF46DD"/>
    <w:rsid w:val="00EF503F"/>
    <w:rsid w:val="00EF6A29"/>
    <w:rsid w:val="00EF6FD3"/>
    <w:rsid w:val="00EF727B"/>
    <w:rsid w:val="00EF7B2D"/>
    <w:rsid w:val="00F00C6E"/>
    <w:rsid w:val="00F01A78"/>
    <w:rsid w:val="00F03335"/>
    <w:rsid w:val="00F039DA"/>
    <w:rsid w:val="00F03D1C"/>
    <w:rsid w:val="00F05508"/>
    <w:rsid w:val="00F05FBE"/>
    <w:rsid w:val="00F07F4F"/>
    <w:rsid w:val="00F10366"/>
    <w:rsid w:val="00F1156F"/>
    <w:rsid w:val="00F11F12"/>
    <w:rsid w:val="00F12191"/>
    <w:rsid w:val="00F12EC9"/>
    <w:rsid w:val="00F13AE8"/>
    <w:rsid w:val="00F13EC3"/>
    <w:rsid w:val="00F14626"/>
    <w:rsid w:val="00F14952"/>
    <w:rsid w:val="00F14D6C"/>
    <w:rsid w:val="00F152C6"/>
    <w:rsid w:val="00F16B34"/>
    <w:rsid w:val="00F201AE"/>
    <w:rsid w:val="00F20477"/>
    <w:rsid w:val="00F20781"/>
    <w:rsid w:val="00F209E9"/>
    <w:rsid w:val="00F232CB"/>
    <w:rsid w:val="00F23357"/>
    <w:rsid w:val="00F236CC"/>
    <w:rsid w:val="00F24043"/>
    <w:rsid w:val="00F24585"/>
    <w:rsid w:val="00F25CB6"/>
    <w:rsid w:val="00F26EA2"/>
    <w:rsid w:val="00F26EB1"/>
    <w:rsid w:val="00F27C25"/>
    <w:rsid w:val="00F27EA9"/>
    <w:rsid w:val="00F31021"/>
    <w:rsid w:val="00F318E2"/>
    <w:rsid w:val="00F33311"/>
    <w:rsid w:val="00F3355C"/>
    <w:rsid w:val="00F3410F"/>
    <w:rsid w:val="00F34EDE"/>
    <w:rsid w:val="00F35FD5"/>
    <w:rsid w:val="00F36B59"/>
    <w:rsid w:val="00F40684"/>
    <w:rsid w:val="00F420C5"/>
    <w:rsid w:val="00F42859"/>
    <w:rsid w:val="00F42B3B"/>
    <w:rsid w:val="00F4382D"/>
    <w:rsid w:val="00F446F1"/>
    <w:rsid w:val="00F44D67"/>
    <w:rsid w:val="00F472BB"/>
    <w:rsid w:val="00F50050"/>
    <w:rsid w:val="00F5022C"/>
    <w:rsid w:val="00F50875"/>
    <w:rsid w:val="00F51392"/>
    <w:rsid w:val="00F5143D"/>
    <w:rsid w:val="00F51F16"/>
    <w:rsid w:val="00F52E19"/>
    <w:rsid w:val="00F52F81"/>
    <w:rsid w:val="00F535C7"/>
    <w:rsid w:val="00F53FE5"/>
    <w:rsid w:val="00F55150"/>
    <w:rsid w:val="00F554AB"/>
    <w:rsid w:val="00F5697D"/>
    <w:rsid w:val="00F576B8"/>
    <w:rsid w:val="00F604CB"/>
    <w:rsid w:val="00F61262"/>
    <w:rsid w:val="00F6146A"/>
    <w:rsid w:val="00F61AD1"/>
    <w:rsid w:val="00F62474"/>
    <w:rsid w:val="00F643EB"/>
    <w:rsid w:val="00F71349"/>
    <w:rsid w:val="00F7143F"/>
    <w:rsid w:val="00F71CAA"/>
    <w:rsid w:val="00F72098"/>
    <w:rsid w:val="00F72CEB"/>
    <w:rsid w:val="00F73093"/>
    <w:rsid w:val="00F736BB"/>
    <w:rsid w:val="00F758DA"/>
    <w:rsid w:val="00F76BEF"/>
    <w:rsid w:val="00F80970"/>
    <w:rsid w:val="00F8222B"/>
    <w:rsid w:val="00F82551"/>
    <w:rsid w:val="00F82859"/>
    <w:rsid w:val="00F82A6E"/>
    <w:rsid w:val="00F8390D"/>
    <w:rsid w:val="00F84519"/>
    <w:rsid w:val="00F85121"/>
    <w:rsid w:val="00F857E5"/>
    <w:rsid w:val="00F85E78"/>
    <w:rsid w:val="00F86829"/>
    <w:rsid w:val="00F903A6"/>
    <w:rsid w:val="00F926E8"/>
    <w:rsid w:val="00F95290"/>
    <w:rsid w:val="00F96307"/>
    <w:rsid w:val="00F971B3"/>
    <w:rsid w:val="00FA01A5"/>
    <w:rsid w:val="00FA084E"/>
    <w:rsid w:val="00FA0919"/>
    <w:rsid w:val="00FA101C"/>
    <w:rsid w:val="00FA1A99"/>
    <w:rsid w:val="00FA32CB"/>
    <w:rsid w:val="00FA3CB2"/>
    <w:rsid w:val="00FA3D3F"/>
    <w:rsid w:val="00FA5DF4"/>
    <w:rsid w:val="00FA61BB"/>
    <w:rsid w:val="00FA62F5"/>
    <w:rsid w:val="00FA6305"/>
    <w:rsid w:val="00FA6D68"/>
    <w:rsid w:val="00FA7397"/>
    <w:rsid w:val="00FA7A9B"/>
    <w:rsid w:val="00FA7EF8"/>
    <w:rsid w:val="00FB1646"/>
    <w:rsid w:val="00FB2C04"/>
    <w:rsid w:val="00FB3300"/>
    <w:rsid w:val="00FB466C"/>
    <w:rsid w:val="00FB5B8B"/>
    <w:rsid w:val="00FB5CFA"/>
    <w:rsid w:val="00FB6A50"/>
    <w:rsid w:val="00FC0445"/>
    <w:rsid w:val="00FC08AE"/>
    <w:rsid w:val="00FC1AE4"/>
    <w:rsid w:val="00FC2D22"/>
    <w:rsid w:val="00FC3DE6"/>
    <w:rsid w:val="00FC6BD0"/>
    <w:rsid w:val="00FC767D"/>
    <w:rsid w:val="00FD0177"/>
    <w:rsid w:val="00FD1849"/>
    <w:rsid w:val="00FD2036"/>
    <w:rsid w:val="00FD2588"/>
    <w:rsid w:val="00FD3C80"/>
    <w:rsid w:val="00FD4365"/>
    <w:rsid w:val="00FD4CD7"/>
    <w:rsid w:val="00FD500B"/>
    <w:rsid w:val="00FD7E05"/>
    <w:rsid w:val="00FE0047"/>
    <w:rsid w:val="00FE11C8"/>
    <w:rsid w:val="00FE4E1E"/>
    <w:rsid w:val="00FE4FE9"/>
    <w:rsid w:val="00FE599C"/>
    <w:rsid w:val="00FE59C7"/>
    <w:rsid w:val="00FE6E0A"/>
    <w:rsid w:val="00FE780E"/>
    <w:rsid w:val="00FE7CBD"/>
    <w:rsid w:val="00FF0626"/>
    <w:rsid w:val="00FF215A"/>
    <w:rsid w:val="00FF3F15"/>
    <w:rsid w:val="00FF45C5"/>
    <w:rsid w:val="00FF4F0C"/>
    <w:rsid w:val="00FF5A94"/>
    <w:rsid w:val="00FF60CB"/>
    <w:rsid w:val="00FF61AC"/>
    <w:rsid w:val="00FF66FC"/>
    <w:rsid w:val="00FF76DE"/>
    <w:rsid w:val="00FF7ADD"/>
    <w:rsid w:val="03F58BCC"/>
    <w:rsid w:val="044626E2"/>
    <w:rsid w:val="04FFFEE7"/>
    <w:rsid w:val="0B1E6EB1"/>
    <w:rsid w:val="0CD1941A"/>
    <w:rsid w:val="0DB987DC"/>
    <w:rsid w:val="0DD40724"/>
    <w:rsid w:val="0E5CA7A3"/>
    <w:rsid w:val="0F9A02D1"/>
    <w:rsid w:val="129F02FD"/>
    <w:rsid w:val="1657FB7E"/>
    <w:rsid w:val="198E587B"/>
    <w:rsid w:val="19E7DAC4"/>
    <w:rsid w:val="1B058EBC"/>
    <w:rsid w:val="226CBD60"/>
    <w:rsid w:val="2425ED66"/>
    <w:rsid w:val="26DA2762"/>
    <w:rsid w:val="282C99A4"/>
    <w:rsid w:val="29A02C40"/>
    <w:rsid w:val="2B6162AD"/>
    <w:rsid w:val="2CA7345D"/>
    <w:rsid w:val="2FBE56F1"/>
    <w:rsid w:val="3041E5F5"/>
    <w:rsid w:val="30573445"/>
    <w:rsid w:val="329B96BB"/>
    <w:rsid w:val="32C840F5"/>
    <w:rsid w:val="332FD1E4"/>
    <w:rsid w:val="336A087D"/>
    <w:rsid w:val="36520901"/>
    <w:rsid w:val="37629BCA"/>
    <w:rsid w:val="38087F6B"/>
    <w:rsid w:val="388EB839"/>
    <w:rsid w:val="3A6274C1"/>
    <w:rsid w:val="3A875F2D"/>
    <w:rsid w:val="3BB70BA6"/>
    <w:rsid w:val="3E53885C"/>
    <w:rsid w:val="3E706E26"/>
    <w:rsid w:val="3F50BB67"/>
    <w:rsid w:val="43F7BF4F"/>
    <w:rsid w:val="4559DE69"/>
    <w:rsid w:val="46F2859A"/>
    <w:rsid w:val="49264824"/>
    <w:rsid w:val="493CF44C"/>
    <w:rsid w:val="49BA0900"/>
    <w:rsid w:val="4A14E003"/>
    <w:rsid w:val="4AAE52F0"/>
    <w:rsid w:val="4CF3A1A7"/>
    <w:rsid w:val="520CD7D3"/>
    <w:rsid w:val="55582165"/>
    <w:rsid w:val="55D33DE2"/>
    <w:rsid w:val="57235A57"/>
    <w:rsid w:val="59A10036"/>
    <w:rsid w:val="5D62B065"/>
    <w:rsid w:val="6164BA28"/>
    <w:rsid w:val="622F8227"/>
    <w:rsid w:val="62BFFEF6"/>
    <w:rsid w:val="658AE99B"/>
    <w:rsid w:val="691E12DD"/>
    <w:rsid w:val="6E2D11AA"/>
    <w:rsid w:val="7023B494"/>
    <w:rsid w:val="7040C42B"/>
    <w:rsid w:val="73283790"/>
    <w:rsid w:val="774402EA"/>
    <w:rsid w:val="77A220D0"/>
    <w:rsid w:val="794EC2A6"/>
    <w:rsid w:val="7AFDB1BF"/>
    <w:rsid w:val="7B32A578"/>
    <w:rsid w:val="7C62CCFC"/>
    <w:rsid w:val="7F2670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6A2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871"/>
    <w:pPr>
      <w:jc w:val="both"/>
    </w:pPr>
    <w:rPr>
      <w:rFonts w:ascii="Segoe UI" w:hAnsi="Segoe UI"/>
      <w:kern w:val="0"/>
      <w14:ligatures w14:val="none"/>
    </w:rPr>
  </w:style>
  <w:style w:type="paragraph" w:styleId="Heading1">
    <w:name w:val="heading 1"/>
    <w:basedOn w:val="Normal"/>
    <w:next w:val="Normal"/>
    <w:link w:val="Heading1Char"/>
    <w:uiPriority w:val="9"/>
    <w:qFormat/>
    <w:rsid w:val="00764E9B"/>
    <w:pPr>
      <w:keepNext/>
      <w:spacing w:before="240" w:after="120" w:line="276" w:lineRule="auto"/>
      <w:jc w:val="left"/>
      <w:outlineLvl w:val="0"/>
    </w:pPr>
    <w:rPr>
      <w:rFonts w:eastAsia="Times New Roman" w:cs="Segoe UI"/>
      <w:bCs/>
      <w:color w:val="0A1D37" w:themeColor="text2" w:themeShade="80"/>
      <w:kern w:val="28"/>
      <w:sz w:val="56"/>
      <w:szCs w:val="36"/>
    </w:rPr>
  </w:style>
  <w:style w:type="paragraph" w:styleId="Heading2">
    <w:name w:val="heading 2"/>
    <w:next w:val="Normal"/>
    <w:link w:val="Heading2Char"/>
    <w:uiPriority w:val="9"/>
    <w:qFormat/>
    <w:rsid w:val="00053079"/>
    <w:pPr>
      <w:keepNext/>
      <w:spacing w:before="240" w:after="120"/>
      <w:outlineLvl w:val="1"/>
    </w:pPr>
    <w:rPr>
      <w:rFonts w:ascii="Segoe UI Semilight" w:eastAsia="Calibri" w:hAnsi="Segoe UI Semilight" w:cs="Segoe UI Semilight"/>
      <w:bCs/>
      <w:iCs/>
      <w:color w:val="193A6E"/>
      <w:kern w:val="0"/>
      <w:sz w:val="32"/>
      <w:szCs w:val="28"/>
      <w14:ligatures w14:val="none"/>
    </w:rPr>
  </w:style>
  <w:style w:type="paragraph" w:styleId="Heading3">
    <w:name w:val="heading 3"/>
    <w:basedOn w:val="Normal"/>
    <w:next w:val="Normal"/>
    <w:link w:val="Heading3Char"/>
    <w:uiPriority w:val="9"/>
    <w:unhideWhenUsed/>
    <w:qFormat/>
    <w:rsid w:val="002E38CE"/>
    <w:pPr>
      <w:keepNext/>
      <w:keepLines/>
      <w:spacing w:before="40" w:after="240"/>
      <w:jc w:val="left"/>
      <w:outlineLvl w:val="2"/>
    </w:pPr>
    <w:rPr>
      <w:rFonts w:ascii="Segoe UI Semilight" w:eastAsia="Yu Gothic Light" w:hAnsi="Segoe UI Semilight" w:cs="Segoe UI Semilight"/>
      <w:color w:val="00808A"/>
      <w:sz w:val="28"/>
    </w:rPr>
  </w:style>
  <w:style w:type="paragraph" w:styleId="Heading4">
    <w:name w:val="heading 4"/>
    <w:basedOn w:val="Normal"/>
    <w:next w:val="Normal"/>
    <w:link w:val="Heading4Char"/>
    <w:uiPriority w:val="9"/>
    <w:unhideWhenUsed/>
    <w:qFormat/>
    <w:rsid w:val="00BE7D8C"/>
    <w:pPr>
      <w:keepNext/>
      <w:keepLines/>
      <w:spacing w:before="40" w:after="0"/>
      <w:outlineLvl w:val="3"/>
    </w:pPr>
    <w:rPr>
      <w:rFonts w:asciiTheme="majorHAnsi" w:eastAsiaTheme="majorEastAsia" w:hAnsiTheme="majorHAnsi" w:cstheme="majorBidi"/>
      <w:i/>
      <w:iCs/>
      <w:color w:val="0F2B5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E9B"/>
    <w:rPr>
      <w:rFonts w:ascii="Segoe UI" w:eastAsia="Times New Roman" w:hAnsi="Segoe UI" w:cs="Segoe UI"/>
      <w:bCs/>
      <w:color w:val="0A1D37" w:themeColor="text2" w:themeShade="80"/>
      <w:kern w:val="28"/>
      <w:sz w:val="56"/>
      <w:szCs w:val="36"/>
      <w14:ligatures w14:val="none"/>
    </w:rPr>
  </w:style>
  <w:style w:type="character" w:customStyle="1" w:styleId="Heading2Char">
    <w:name w:val="Heading 2 Char"/>
    <w:basedOn w:val="DefaultParagraphFont"/>
    <w:link w:val="Heading2"/>
    <w:uiPriority w:val="9"/>
    <w:rsid w:val="00053079"/>
    <w:rPr>
      <w:rFonts w:ascii="Segoe UI Semilight" w:eastAsia="Calibri" w:hAnsi="Segoe UI Semilight" w:cs="Segoe UI Semilight"/>
      <w:bCs/>
      <w:iCs/>
      <w:color w:val="193A6E"/>
      <w:kern w:val="0"/>
      <w:sz w:val="32"/>
      <w:szCs w:val="28"/>
      <w14:ligatures w14:val="none"/>
    </w:rPr>
  </w:style>
  <w:style w:type="paragraph" w:styleId="EndnoteText">
    <w:name w:val="endnote text"/>
    <w:basedOn w:val="Normal"/>
    <w:link w:val="EndnoteTextChar"/>
    <w:uiPriority w:val="99"/>
    <w:semiHidden/>
    <w:unhideWhenUsed/>
    <w:rsid w:val="006D31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314B"/>
    <w:rPr>
      <w:rFonts w:ascii="Segoe UI" w:hAnsi="Segoe UI"/>
      <w:kern w:val="0"/>
      <w:sz w:val="20"/>
      <w:szCs w:val="20"/>
      <w14:ligatures w14:val="none"/>
    </w:rPr>
  </w:style>
  <w:style w:type="character" w:styleId="EndnoteReference">
    <w:name w:val="endnote reference"/>
    <w:basedOn w:val="DefaultParagraphFont"/>
    <w:uiPriority w:val="99"/>
    <w:semiHidden/>
    <w:unhideWhenUsed/>
    <w:rsid w:val="006D314B"/>
    <w:rPr>
      <w:vertAlign w:val="superscript"/>
    </w:rPr>
  </w:style>
  <w:style w:type="paragraph" w:styleId="FootnoteText">
    <w:name w:val="footnote text"/>
    <w:basedOn w:val="Normal"/>
    <w:link w:val="FootnoteTextChar"/>
    <w:uiPriority w:val="99"/>
    <w:unhideWhenUsed/>
    <w:rsid w:val="006D314B"/>
    <w:pPr>
      <w:spacing w:after="0" w:line="240" w:lineRule="auto"/>
    </w:pPr>
    <w:rPr>
      <w:sz w:val="20"/>
      <w:szCs w:val="20"/>
    </w:rPr>
  </w:style>
  <w:style w:type="character" w:customStyle="1" w:styleId="FootnoteTextChar">
    <w:name w:val="Footnote Text Char"/>
    <w:basedOn w:val="DefaultParagraphFont"/>
    <w:link w:val="FootnoteText"/>
    <w:uiPriority w:val="99"/>
    <w:rsid w:val="006D314B"/>
    <w:rPr>
      <w:rFonts w:ascii="Segoe UI" w:hAnsi="Segoe UI"/>
      <w:kern w:val="0"/>
      <w:sz w:val="20"/>
      <w:szCs w:val="20"/>
      <w14:ligatures w14:val="none"/>
    </w:rPr>
  </w:style>
  <w:style w:type="character" w:styleId="FootnoteReference">
    <w:name w:val="footnote reference"/>
    <w:basedOn w:val="DefaultParagraphFont"/>
    <w:uiPriority w:val="99"/>
    <w:unhideWhenUsed/>
    <w:rsid w:val="006D314B"/>
    <w:rPr>
      <w:vertAlign w:val="superscript"/>
    </w:rPr>
  </w:style>
  <w:style w:type="character" w:styleId="Hyperlink">
    <w:name w:val="Hyperlink"/>
    <w:basedOn w:val="DefaultParagraphFont"/>
    <w:uiPriority w:val="99"/>
    <w:unhideWhenUsed/>
    <w:qFormat/>
    <w:rsid w:val="006D314B"/>
    <w:rPr>
      <w:color w:val="0E6C9B" w:themeColor="hyperlink"/>
      <w:u w:val="single"/>
    </w:rPr>
  </w:style>
  <w:style w:type="character" w:styleId="UnresolvedMention">
    <w:name w:val="Unresolved Mention"/>
    <w:basedOn w:val="DefaultParagraphFont"/>
    <w:uiPriority w:val="99"/>
    <w:semiHidden/>
    <w:unhideWhenUsed/>
    <w:rsid w:val="00456DF3"/>
    <w:rPr>
      <w:color w:val="605E5C"/>
      <w:shd w:val="clear" w:color="auto" w:fill="E1DFDD"/>
    </w:rPr>
  </w:style>
  <w:style w:type="paragraph" w:styleId="ListBullet">
    <w:name w:val="List Bullet"/>
    <w:basedOn w:val="ListParagraph"/>
    <w:uiPriority w:val="99"/>
    <w:unhideWhenUsed/>
    <w:rsid w:val="00043A33"/>
    <w:pPr>
      <w:tabs>
        <w:tab w:val="num" w:pos="360"/>
      </w:tabs>
      <w:ind w:left="360" w:hanging="360"/>
    </w:pPr>
    <w:rPr>
      <w:rFonts w:eastAsia="Segoe UI" w:cs="Segoe UI"/>
    </w:rPr>
  </w:style>
  <w:style w:type="paragraph" w:styleId="ListParagraph">
    <w:name w:val="List Paragraph"/>
    <w:aliases w:val="OBC Bullet,F5 List Paragraph,Colorful List - Accent 11,Normal numbered,Bullet 1,Bullet Style,Dot pt,No Spacing1,Indicator Text,Numbered Para 1,List Paragraph1,Bullet Points,MAIN CONTENT,List Paragraph12,L,Recommendation,#List Paragraph,列"/>
    <w:basedOn w:val="Normal"/>
    <w:link w:val="ListParagraphChar"/>
    <w:uiPriority w:val="34"/>
    <w:qFormat/>
    <w:rsid w:val="004978C9"/>
    <w:pPr>
      <w:ind w:left="720"/>
      <w:contextualSpacing/>
    </w:pPr>
  </w:style>
  <w:style w:type="paragraph" w:styleId="ListNumber">
    <w:name w:val="List Number"/>
    <w:basedOn w:val="Normal"/>
    <w:uiPriority w:val="99"/>
    <w:unhideWhenUsed/>
    <w:rsid w:val="00C80C12"/>
    <w:pPr>
      <w:numPr>
        <w:numId w:val="1"/>
      </w:numPr>
      <w:contextualSpacing/>
    </w:pPr>
  </w:style>
  <w:style w:type="paragraph" w:styleId="Revision">
    <w:name w:val="Revision"/>
    <w:hidden/>
    <w:uiPriority w:val="99"/>
    <w:semiHidden/>
    <w:rsid w:val="00D34A53"/>
    <w:pPr>
      <w:spacing w:after="0" w:line="240" w:lineRule="auto"/>
    </w:pPr>
    <w:rPr>
      <w:rFonts w:ascii="Segoe UI" w:hAnsi="Segoe UI"/>
      <w:kern w:val="0"/>
      <w14:ligatures w14:val="none"/>
    </w:rPr>
  </w:style>
  <w:style w:type="table" w:customStyle="1" w:styleId="ListTable3-Accent11">
    <w:name w:val="List Table 3 - Accent 11"/>
    <w:basedOn w:val="TableNormal"/>
    <w:next w:val="ListTable3-Accent1"/>
    <w:uiPriority w:val="48"/>
    <w:rsid w:val="003876BE"/>
    <w:pPr>
      <w:spacing w:after="0" w:line="240" w:lineRule="auto"/>
    </w:pPr>
    <w:tblPr>
      <w:tblStyleRowBandSize w:val="1"/>
      <w:tblStyleColBandSize w:val="1"/>
      <w:tblBorders>
        <w:top w:val="single" w:sz="4" w:space="0" w:color="1D437F"/>
        <w:left w:val="single" w:sz="4" w:space="0" w:color="1D437F"/>
        <w:bottom w:val="single" w:sz="4" w:space="0" w:color="1D437F"/>
        <w:right w:val="single" w:sz="4" w:space="0" w:color="1D437F"/>
      </w:tblBorders>
    </w:tblPr>
    <w:tblStylePr w:type="firstRow">
      <w:rPr>
        <w:b/>
        <w:bCs/>
        <w:color w:val="FFFFFF"/>
      </w:rPr>
      <w:tblPr/>
      <w:tcPr>
        <w:shd w:val="clear" w:color="auto" w:fill="1D437F"/>
      </w:tcPr>
    </w:tblStylePr>
    <w:tblStylePr w:type="lastRow">
      <w:rPr>
        <w:b/>
        <w:bCs/>
      </w:rPr>
      <w:tblPr/>
      <w:tcPr>
        <w:tcBorders>
          <w:top w:val="double" w:sz="4" w:space="0" w:color="1D437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D437F"/>
          <w:right w:val="single" w:sz="4" w:space="0" w:color="1D437F"/>
        </w:tcBorders>
      </w:tcPr>
    </w:tblStylePr>
    <w:tblStylePr w:type="band1Horz">
      <w:tblPr/>
      <w:tcPr>
        <w:tcBorders>
          <w:top w:val="single" w:sz="4" w:space="0" w:color="1D437F"/>
          <w:bottom w:val="single" w:sz="4" w:space="0" w:color="1D437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437F"/>
          <w:left w:val="nil"/>
        </w:tcBorders>
      </w:tcPr>
    </w:tblStylePr>
    <w:tblStylePr w:type="swCell">
      <w:tblPr/>
      <w:tcPr>
        <w:tcBorders>
          <w:top w:val="double" w:sz="4" w:space="0" w:color="1D437F"/>
          <w:right w:val="nil"/>
        </w:tcBorders>
      </w:tcPr>
    </w:tblStylePr>
  </w:style>
  <w:style w:type="table" w:styleId="ListTable3-Accent1">
    <w:name w:val="List Table 3 Accent 1"/>
    <w:basedOn w:val="TableNormal"/>
    <w:uiPriority w:val="48"/>
    <w:rsid w:val="003876BE"/>
    <w:pPr>
      <w:spacing w:after="0" w:line="240" w:lineRule="auto"/>
    </w:pPr>
    <w:tblPr>
      <w:tblStyleRowBandSize w:val="1"/>
      <w:tblStyleColBandSize w:val="1"/>
      <w:tblBorders>
        <w:top w:val="single" w:sz="4" w:space="0" w:color="153A6E" w:themeColor="accent1"/>
        <w:left w:val="single" w:sz="4" w:space="0" w:color="153A6E" w:themeColor="accent1"/>
        <w:bottom w:val="single" w:sz="4" w:space="0" w:color="153A6E" w:themeColor="accent1"/>
        <w:right w:val="single" w:sz="4" w:space="0" w:color="153A6E" w:themeColor="accent1"/>
      </w:tblBorders>
    </w:tblPr>
    <w:tblStylePr w:type="firstRow">
      <w:rPr>
        <w:b/>
        <w:bCs/>
        <w:color w:val="FFFFFF" w:themeColor="background1"/>
      </w:rPr>
      <w:tblPr/>
      <w:tcPr>
        <w:shd w:val="clear" w:color="auto" w:fill="153A6E" w:themeFill="accent1"/>
      </w:tcPr>
    </w:tblStylePr>
    <w:tblStylePr w:type="lastRow">
      <w:rPr>
        <w:b/>
        <w:bCs/>
      </w:rPr>
      <w:tblPr/>
      <w:tcPr>
        <w:tcBorders>
          <w:top w:val="double" w:sz="4" w:space="0" w:color="153A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3A6E" w:themeColor="accent1"/>
          <w:right w:val="single" w:sz="4" w:space="0" w:color="153A6E" w:themeColor="accent1"/>
        </w:tcBorders>
      </w:tcPr>
    </w:tblStylePr>
    <w:tblStylePr w:type="band1Horz">
      <w:tblPr/>
      <w:tcPr>
        <w:tcBorders>
          <w:top w:val="single" w:sz="4" w:space="0" w:color="153A6E" w:themeColor="accent1"/>
          <w:bottom w:val="single" w:sz="4" w:space="0" w:color="153A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3A6E" w:themeColor="accent1"/>
          <w:left w:val="nil"/>
        </w:tcBorders>
      </w:tcPr>
    </w:tblStylePr>
    <w:tblStylePr w:type="swCell">
      <w:tblPr/>
      <w:tcPr>
        <w:tcBorders>
          <w:top w:val="double" w:sz="4" w:space="0" w:color="153A6E" w:themeColor="accent1"/>
          <w:right w:val="nil"/>
        </w:tcBorders>
      </w:tcPr>
    </w:tblStylePr>
  </w:style>
  <w:style w:type="character" w:customStyle="1" w:styleId="Heading3Char">
    <w:name w:val="Heading 3 Char"/>
    <w:basedOn w:val="DefaultParagraphFont"/>
    <w:link w:val="Heading3"/>
    <w:uiPriority w:val="9"/>
    <w:rsid w:val="002E38CE"/>
    <w:rPr>
      <w:rFonts w:ascii="Segoe UI Semilight" w:eastAsia="Yu Gothic Light" w:hAnsi="Segoe UI Semilight" w:cs="Segoe UI Semilight"/>
      <w:color w:val="00808A"/>
      <w:kern w:val="0"/>
      <w:sz w:val="28"/>
      <w14:ligatures w14:val="none"/>
    </w:rPr>
  </w:style>
  <w:style w:type="character" w:styleId="CommentReference">
    <w:name w:val="annotation reference"/>
    <w:basedOn w:val="DefaultParagraphFont"/>
    <w:uiPriority w:val="99"/>
    <w:semiHidden/>
    <w:unhideWhenUsed/>
    <w:rsid w:val="00B1249D"/>
    <w:rPr>
      <w:sz w:val="16"/>
      <w:szCs w:val="16"/>
    </w:rPr>
  </w:style>
  <w:style w:type="paragraph" w:styleId="CommentText">
    <w:name w:val="annotation text"/>
    <w:basedOn w:val="Normal"/>
    <w:link w:val="CommentTextChar"/>
    <w:uiPriority w:val="99"/>
    <w:unhideWhenUsed/>
    <w:rsid w:val="00B1249D"/>
    <w:pPr>
      <w:spacing w:line="240" w:lineRule="auto"/>
    </w:pPr>
    <w:rPr>
      <w:sz w:val="20"/>
      <w:szCs w:val="20"/>
    </w:rPr>
  </w:style>
  <w:style w:type="character" w:customStyle="1" w:styleId="CommentTextChar">
    <w:name w:val="Comment Text Char"/>
    <w:basedOn w:val="DefaultParagraphFont"/>
    <w:link w:val="CommentText"/>
    <w:uiPriority w:val="99"/>
    <w:rsid w:val="00B1249D"/>
    <w:rPr>
      <w:rFonts w:ascii="Segoe UI" w:hAnsi="Segoe U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1249D"/>
    <w:rPr>
      <w:b/>
      <w:bCs/>
    </w:rPr>
  </w:style>
  <w:style w:type="character" w:customStyle="1" w:styleId="CommentSubjectChar">
    <w:name w:val="Comment Subject Char"/>
    <w:basedOn w:val="CommentTextChar"/>
    <w:link w:val="CommentSubject"/>
    <w:uiPriority w:val="99"/>
    <w:semiHidden/>
    <w:rsid w:val="00B1249D"/>
    <w:rPr>
      <w:rFonts w:ascii="Segoe UI" w:hAnsi="Segoe UI"/>
      <w:b/>
      <w:bCs/>
      <w:kern w:val="0"/>
      <w:sz w:val="20"/>
      <w:szCs w:val="20"/>
      <w14:ligatures w14:val="none"/>
    </w:rPr>
  </w:style>
  <w:style w:type="paragraph" w:styleId="Header">
    <w:name w:val="header"/>
    <w:basedOn w:val="Normal"/>
    <w:link w:val="HeaderChar"/>
    <w:uiPriority w:val="99"/>
    <w:unhideWhenUsed/>
    <w:rsid w:val="00854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AFF"/>
    <w:rPr>
      <w:rFonts w:ascii="Segoe UI" w:hAnsi="Segoe UI"/>
      <w:kern w:val="0"/>
      <w14:ligatures w14:val="none"/>
    </w:rPr>
  </w:style>
  <w:style w:type="paragraph" w:styleId="Footer">
    <w:name w:val="footer"/>
    <w:basedOn w:val="Normal"/>
    <w:link w:val="FooterChar"/>
    <w:uiPriority w:val="99"/>
    <w:unhideWhenUsed/>
    <w:rsid w:val="00854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AFF"/>
    <w:rPr>
      <w:rFonts w:ascii="Segoe UI" w:hAnsi="Segoe UI"/>
      <w:kern w:val="0"/>
      <w14:ligatures w14:val="none"/>
    </w:rPr>
  </w:style>
  <w:style w:type="paragraph" w:styleId="TOC1">
    <w:name w:val="toc 1"/>
    <w:basedOn w:val="Normal"/>
    <w:next w:val="Normal"/>
    <w:autoRedefine/>
    <w:uiPriority w:val="39"/>
    <w:unhideWhenUsed/>
    <w:rsid w:val="001C5F42"/>
    <w:pPr>
      <w:spacing w:after="100"/>
    </w:pPr>
  </w:style>
  <w:style w:type="paragraph" w:styleId="TOC2">
    <w:name w:val="toc 2"/>
    <w:basedOn w:val="Normal"/>
    <w:next w:val="Normal"/>
    <w:autoRedefine/>
    <w:uiPriority w:val="39"/>
    <w:unhideWhenUsed/>
    <w:rsid w:val="00D73A07"/>
    <w:pPr>
      <w:tabs>
        <w:tab w:val="right" w:leader="dot" w:pos="9016"/>
      </w:tabs>
      <w:spacing w:after="100"/>
      <w:ind w:left="240"/>
    </w:pPr>
  </w:style>
  <w:style w:type="paragraph" w:styleId="List">
    <w:name w:val="List"/>
    <w:basedOn w:val="Normal"/>
    <w:uiPriority w:val="99"/>
    <w:unhideWhenUsed/>
    <w:rsid w:val="00043A33"/>
    <w:pPr>
      <w:ind w:left="283" w:hanging="283"/>
      <w:contextualSpacing/>
    </w:pPr>
  </w:style>
  <w:style w:type="character" w:styleId="FollowedHyperlink">
    <w:name w:val="FollowedHyperlink"/>
    <w:basedOn w:val="DefaultParagraphFont"/>
    <w:uiPriority w:val="99"/>
    <w:semiHidden/>
    <w:unhideWhenUsed/>
    <w:rsid w:val="00F85E78"/>
    <w:rPr>
      <w:color w:val="954F72" w:themeColor="followedHyperlink"/>
      <w:u w:val="single"/>
    </w:rPr>
  </w:style>
  <w:style w:type="paragraph" w:styleId="ListBullet2">
    <w:name w:val="List Bullet 2"/>
    <w:basedOn w:val="Normal"/>
    <w:uiPriority w:val="99"/>
    <w:unhideWhenUsed/>
    <w:rsid w:val="00B31BD1"/>
    <w:pPr>
      <w:numPr>
        <w:numId w:val="4"/>
      </w:numPr>
      <w:contextualSpacing/>
    </w:pPr>
  </w:style>
  <w:style w:type="character" w:customStyle="1" w:styleId="Heading4Char">
    <w:name w:val="Heading 4 Char"/>
    <w:basedOn w:val="DefaultParagraphFont"/>
    <w:link w:val="Heading4"/>
    <w:uiPriority w:val="9"/>
    <w:rsid w:val="00BE7D8C"/>
    <w:rPr>
      <w:rFonts w:asciiTheme="majorHAnsi" w:eastAsiaTheme="majorEastAsia" w:hAnsiTheme="majorHAnsi" w:cstheme="majorBidi"/>
      <w:i/>
      <w:iCs/>
      <w:color w:val="0F2B52" w:themeColor="accent1" w:themeShade="BF"/>
      <w:kern w:val="0"/>
      <w14:ligatures w14:val="none"/>
    </w:rPr>
  </w:style>
  <w:style w:type="character" w:styleId="Mention">
    <w:name w:val="Mention"/>
    <w:basedOn w:val="DefaultParagraphFont"/>
    <w:uiPriority w:val="99"/>
    <w:unhideWhenUsed/>
    <w:rsid w:val="00C77EE0"/>
    <w:rPr>
      <w:color w:val="2B579A"/>
      <w:shd w:val="clear" w:color="auto" w:fill="E1DFDD"/>
    </w:rPr>
  </w:style>
  <w:style w:type="character" w:customStyle="1" w:styleId="ListParagraphChar">
    <w:name w:val="List Paragraph Char"/>
    <w:aliases w:val="OBC Bullet Char,F5 List Paragraph Char,Colorful List - Accent 11 Char,Normal numbered Char,Bullet 1 Char,Bullet Style Char,Dot pt Char,No Spacing1 Char,Indicator Text Char,Numbered Para 1 Char,List Paragraph1 Char,Bullet Points Char"/>
    <w:basedOn w:val="DefaultParagraphFont"/>
    <w:link w:val="ListParagraph"/>
    <w:uiPriority w:val="34"/>
    <w:qFormat/>
    <w:locked/>
    <w:rsid w:val="003B1F86"/>
    <w:rPr>
      <w:rFonts w:ascii="Segoe UI" w:hAnsi="Segoe UI"/>
      <w:kern w:val="0"/>
      <w14:ligatures w14:val="none"/>
    </w:rPr>
  </w:style>
  <w:style w:type="paragraph" w:customStyle="1" w:styleId="Recommendationheading">
    <w:name w:val="Recommendation heading"/>
    <w:basedOn w:val="Normal"/>
    <w:link w:val="RecommendationheadingChar"/>
    <w:qFormat/>
    <w:rsid w:val="00726D8B"/>
    <w:pPr>
      <w:numPr>
        <w:numId w:val="3"/>
      </w:numPr>
      <w:snapToGrid w:val="0"/>
      <w:spacing w:before="120" w:after="120"/>
      <w:ind w:left="644"/>
    </w:pPr>
    <w:rPr>
      <w:rFonts w:eastAsia="Calibri" w:cs="Segoe UI"/>
      <w:color w:val="0E559B" w:themeColor="accent2" w:themeShade="BF"/>
    </w:rPr>
  </w:style>
  <w:style w:type="character" w:customStyle="1" w:styleId="RecommendationheadingChar">
    <w:name w:val="Recommendation heading Char"/>
    <w:basedOn w:val="DefaultParagraphFont"/>
    <w:link w:val="Recommendationheading"/>
    <w:rsid w:val="00726D8B"/>
    <w:rPr>
      <w:rFonts w:ascii="Segoe UI" w:eastAsia="Calibri" w:hAnsi="Segoe UI" w:cs="Segoe UI"/>
      <w:color w:val="0E559B" w:themeColor="accent2" w:themeShade="BF"/>
      <w:kern w:val="0"/>
      <w14:ligatures w14:val="none"/>
    </w:rPr>
  </w:style>
  <w:style w:type="paragraph" w:customStyle="1" w:styleId="Subheading2">
    <w:name w:val="Subheading 2"/>
    <w:basedOn w:val="Normal"/>
    <w:link w:val="Subheading2Char"/>
    <w:qFormat/>
    <w:rsid w:val="00F232CB"/>
    <w:pPr>
      <w:snapToGrid w:val="0"/>
      <w:spacing w:after="120" w:line="22" w:lineRule="atLeast"/>
      <w:ind w:right="-22"/>
    </w:pPr>
    <w:rPr>
      <w:rFonts w:eastAsia="Calibri" w:cs="Segoe UI"/>
      <w:color w:val="3F80DA" w:themeColor="text2" w:themeTint="99"/>
    </w:rPr>
  </w:style>
  <w:style w:type="character" w:customStyle="1" w:styleId="Subheading2Char">
    <w:name w:val="Subheading 2 Char"/>
    <w:basedOn w:val="DefaultParagraphFont"/>
    <w:link w:val="Subheading2"/>
    <w:rsid w:val="00F232CB"/>
    <w:rPr>
      <w:rFonts w:ascii="Segoe UI" w:eastAsia="Calibri" w:hAnsi="Segoe UI" w:cs="Segoe UI"/>
      <w:color w:val="3F80DA" w:themeColor="text2" w:themeTint="99"/>
      <w:kern w:val="0"/>
      <w14:ligatures w14:val="none"/>
    </w:rPr>
  </w:style>
  <w:style w:type="paragraph" w:customStyle="1" w:styleId="Subheading1">
    <w:name w:val="Subheading 1"/>
    <w:basedOn w:val="Normal"/>
    <w:link w:val="Subheading1Char"/>
    <w:qFormat/>
    <w:rsid w:val="006F36CA"/>
    <w:pPr>
      <w:keepNext/>
    </w:pPr>
    <w:rPr>
      <w:rFonts w:eastAsia="Calibri" w:cs="Segoe UI"/>
      <w:b/>
      <w:bCs/>
    </w:rPr>
  </w:style>
  <w:style w:type="character" w:customStyle="1" w:styleId="Subheading1Char">
    <w:name w:val="Subheading 1 Char"/>
    <w:basedOn w:val="DefaultParagraphFont"/>
    <w:link w:val="Subheading1"/>
    <w:rsid w:val="006F36CA"/>
    <w:rPr>
      <w:rFonts w:ascii="Segoe UI" w:eastAsia="Calibri" w:hAnsi="Segoe UI" w:cs="Segoe UI"/>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www.health.gov.au/resources/publications/health-technology-assessment-policy-and-methods-review-full-recommendations" TargetMode="External"/><Relationship Id="rId3" Type="http://schemas.openxmlformats.org/officeDocument/2006/relationships/customXml" Target="../customXml/item3.xml"/><Relationship Id="rId21" Type="http://schemas.openxmlformats.org/officeDocument/2006/relationships/hyperlink" Target="https://www.health.gov.au/resources/publications/health-technology-assessment-policy-and-methods-review-final-repor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health.gov.au/resources/publications/health-technology-assessment-policy-and-methods-review-final-report" TargetMode="External"/><Relationship Id="rId20" Type="http://schemas.openxmlformats.org/officeDocument/2006/relationships/hyperlink" Target="https://www.health.gov.au/resources/publications/health-technology-assessment-policy-and-methods-review-full-recommend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resources/publications/health-technology-assessment-policy-and-methods-review-final-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our-work/national-health-and-climate-strategy" TargetMode="External"/><Relationship Id="rId3" Type="http://schemas.openxmlformats.org/officeDocument/2006/relationships/hyperlink" Target="https://www.pbs.gov.au/info/general/medicines-industry-strategic-agreement" TargetMode="External"/><Relationship Id="rId7" Type="http://schemas.openxmlformats.org/officeDocument/2006/relationships/hyperlink" Target="https://www.health.gov.au/our-work/2020-25-national-health-reform-agreement-nhra" TargetMode="External"/><Relationship Id="rId2" Type="http://schemas.openxmlformats.org/officeDocument/2006/relationships/hyperlink" Target="https://www.pbs.gov.au/info/industry/listing/elements/pbac-meetings/psd/2022-03/cemiplimab-solution-for-iv-infusion-350-mg-in-7-ml-libtayo" TargetMode="External"/><Relationship Id="rId1" Type="http://schemas.openxmlformats.org/officeDocument/2006/relationships/hyperlink" Target="https://www.oecd-ilibrary.org/social-issues-migration-health/health-at-a-glance-2023_7a7afb35-en" TargetMode="External"/><Relationship Id="rId6" Type="http://schemas.openxmlformats.org/officeDocument/2006/relationships/hyperlink" Target="https://www.health.gov.au/ministers/the-hon-mark-butler-mp/media/hta-review-and-chair-committee" TargetMode="External"/><Relationship Id="rId5" Type="http://schemas.openxmlformats.org/officeDocument/2006/relationships/hyperlink" Target="https://www.aph.gov.au/Parliamentary_Business/Committees/House/Health_Aged_Care_and_Sport/Newdrugs/Report" TargetMode="External"/><Relationship Id="rId4" Type="http://schemas.openxmlformats.org/officeDocument/2006/relationships/hyperlink" Target="https://consultations.health.gov.au/pbs-subsidy-taskforce/national-medicines-policy-revised-consultation/" TargetMode="External"/><Relationship Id="rId9" Type="http://schemas.openxmlformats.org/officeDocument/2006/relationships/hyperlink" Target="https://www.health.gov.au/resources/publications/national-medicines-policy?language=en"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53A6E"/>
      </a:dk2>
      <a:lt2>
        <a:srgbClr val="E7E6E6"/>
      </a:lt2>
      <a:accent1>
        <a:srgbClr val="153A6E"/>
      </a:accent1>
      <a:accent2>
        <a:srgbClr val="1372D0"/>
      </a:accent2>
      <a:accent3>
        <a:srgbClr val="009EBB"/>
      </a:accent3>
      <a:accent4>
        <a:srgbClr val="02B7DA"/>
      </a:accent4>
      <a:accent5>
        <a:srgbClr val="A7B02F"/>
      </a:accent5>
      <a:accent6>
        <a:srgbClr val="00B4D0"/>
      </a:accent6>
      <a:hlink>
        <a:srgbClr val="0E6C9B"/>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920aa1-7832-453e-a147-98c77996387c">
      <Terms xmlns="http://schemas.microsoft.com/office/infopath/2007/PartnerControls"/>
    </lcf76f155ced4ddcb4097134ff3c332f>
    <TaxCatchAll xmlns="c4876c76-5897-4d5d-ac80-954d0599e1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6" ma:contentTypeDescription="Create a new document." ma:contentTypeScope="" ma:versionID="3b368dc8a2b8b31f5f834a0327a44a56">
  <xsd:schema xmlns:xsd="http://www.w3.org/2001/XMLSchema" xmlns:xs="http://www.w3.org/2001/XMLSchema" xmlns:p="http://schemas.microsoft.com/office/2006/metadata/properties" xmlns:ns2="c4876c76-5897-4d5d-ac80-954d0599e137" xmlns:ns3="01920aa1-7832-453e-a147-98c77996387c" targetNamespace="http://schemas.microsoft.com/office/2006/metadata/properties" ma:root="true" ma:fieldsID="e67780a3b9c0d6ec2d453ca394bc367e" ns2:_="" ns3:_="">
    <xsd:import namespace="c4876c76-5897-4d5d-ac80-954d0599e137"/>
    <xsd:import namespace="01920aa1-7832-453e-a147-98c7799638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074fb71-3d31-424b-8837-24a0ba3e9c61}"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9FD4D2-70F2-4F3E-A277-23753ED3D184}">
  <ds:schemaRefs>
    <ds:schemaRef ds:uri="http://schemas.microsoft.com/sharepoint/v3/contenttype/forms"/>
  </ds:schemaRefs>
</ds:datastoreItem>
</file>

<file path=customXml/itemProps2.xml><?xml version="1.0" encoding="utf-8"?>
<ds:datastoreItem xmlns:ds="http://schemas.openxmlformats.org/officeDocument/2006/customXml" ds:itemID="{82C8D16D-2CC8-4805-8E72-DF797A05292E}">
  <ds:schemaRefs>
    <ds:schemaRef ds:uri="http://schemas.openxmlformats.org/officeDocument/2006/bibliography"/>
  </ds:schemaRefs>
</ds:datastoreItem>
</file>

<file path=customXml/itemProps3.xml><?xml version="1.0" encoding="utf-8"?>
<ds:datastoreItem xmlns:ds="http://schemas.openxmlformats.org/officeDocument/2006/customXml" ds:itemID="{132C5B0A-A773-4FB6-938C-EEF3F7BD0156}">
  <ds:schemaRefs>
    <ds:schemaRef ds:uri="http://schemas.microsoft.com/office/infopath/2007/PartnerControls"/>
    <ds:schemaRef ds:uri="http://purl.org/dc/elements/1.1/"/>
    <ds:schemaRef ds:uri="http://schemas.microsoft.com/office/2006/metadata/properties"/>
    <ds:schemaRef ds:uri="c4876c76-5897-4d5d-ac80-954d0599e137"/>
    <ds:schemaRef ds:uri="http://purl.org/dc/terms/"/>
    <ds:schemaRef ds:uri="http://schemas.openxmlformats.org/package/2006/metadata/core-properties"/>
    <ds:schemaRef ds:uri="http://schemas.microsoft.com/office/2006/documentManagement/types"/>
    <ds:schemaRef ds:uri="01920aa1-7832-453e-a147-98c77996387c"/>
    <ds:schemaRef ds:uri="http://www.w3.org/XML/1998/namespace"/>
    <ds:schemaRef ds:uri="http://purl.org/dc/dcmitype/"/>
  </ds:schemaRefs>
</ds:datastoreItem>
</file>

<file path=customXml/itemProps4.xml><?xml version="1.0" encoding="utf-8"?>
<ds:datastoreItem xmlns:ds="http://schemas.openxmlformats.org/officeDocument/2006/customXml" ds:itemID="{9C7200AB-24B9-4E3A-9729-5CBFF868B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76c76-5897-4d5d-ac80-954d0599e137"/>
    <ds:schemaRef ds:uri="01920aa1-7832-453e-a147-98c779963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6715</Words>
  <Characters>42265</Characters>
  <Application>Microsoft Office Word</Application>
  <DocSecurity>0</DocSecurity>
  <Lines>797</Lines>
  <Paragraphs>391</Paragraphs>
  <ScaleCrop>false</ScaleCrop>
  <HeadingPairs>
    <vt:vector size="2" baseType="variant">
      <vt:variant>
        <vt:lpstr>Title</vt:lpstr>
      </vt:variant>
      <vt:variant>
        <vt:i4>1</vt:i4>
      </vt:variant>
    </vt:vector>
  </HeadingPairs>
  <TitlesOfParts>
    <vt:vector size="1" baseType="lpstr">
      <vt:lpstr>Health Technology Assessment Policy and Methods Review – Recommendations summary</vt:lpstr>
    </vt:vector>
  </TitlesOfParts>
  <Company/>
  <LinksUpToDate>false</LinksUpToDate>
  <CharactersWithSpaces>48589</CharactersWithSpaces>
  <SharedDoc>false</SharedDoc>
  <HLinks>
    <vt:vector size="162" baseType="variant">
      <vt:variant>
        <vt:i4>1441847</vt:i4>
      </vt:variant>
      <vt:variant>
        <vt:i4>104</vt:i4>
      </vt:variant>
      <vt:variant>
        <vt:i4>0</vt:i4>
      </vt:variant>
      <vt:variant>
        <vt:i4>5</vt:i4>
      </vt:variant>
      <vt:variant>
        <vt:lpwstr/>
      </vt:variant>
      <vt:variant>
        <vt:lpwstr>_Toc172030766</vt:lpwstr>
      </vt:variant>
      <vt:variant>
        <vt:i4>1441847</vt:i4>
      </vt:variant>
      <vt:variant>
        <vt:i4>98</vt:i4>
      </vt:variant>
      <vt:variant>
        <vt:i4>0</vt:i4>
      </vt:variant>
      <vt:variant>
        <vt:i4>5</vt:i4>
      </vt:variant>
      <vt:variant>
        <vt:lpwstr/>
      </vt:variant>
      <vt:variant>
        <vt:lpwstr>_Toc172030765</vt:lpwstr>
      </vt:variant>
      <vt:variant>
        <vt:i4>1441847</vt:i4>
      </vt:variant>
      <vt:variant>
        <vt:i4>92</vt:i4>
      </vt:variant>
      <vt:variant>
        <vt:i4>0</vt:i4>
      </vt:variant>
      <vt:variant>
        <vt:i4>5</vt:i4>
      </vt:variant>
      <vt:variant>
        <vt:lpwstr/>
      </vt:variant>
      <vt:variant>
        <vt:lpwstr>_Toc172030764</vt:lpwstr>
      </vt:variant>
      <vt:variant>
        <vt:i4>1441847</vt:i4>
      </vt:variant>
      <vt:variant>
        <vt:i4>86</vt:i4>
      </vt:variant>
      <vt:variant>
        <vt:i4>0</vt:i4>
      </vt:variant>
      <vt:variant>
        <vt:i4>5</vt:i4>
      </vt:variant>
      <vt:variant>
        <vt:lpwstr/>
      </vt:variant>
      <vt:variant>
        <vt:lpwstr>_Toc172030763</vt:lpwstr>
      </vt:variant>
      <vt:variant>
        <vt:i4>1441847</vt:i4>
      </vt:variant>
      <vt:variant>
        <vt:i4>80</vt:i4>
      </vt:variant>
      <vt:variant>
        <vt:i4>0</vt:i4>
      </vt:variant>
      <vt:variant>
        <vt:i4>5</vt:i4>
      </vt:variant>
      <vt:variant>
        <vt:lpwstr/>
      </vt:variant>
      <vt:variant>
        <vt:lpwstr>_Toc172030762</vt:lpwstr>
      </vt:variant>
      <vt:variant>
        <vt:i4>1441847</vt:i4>
      </vt:variant>
      <vt:variant>
        <vt:i4>74</vt:i4>
      </vt:variant>
      <vt:variant>
        <vt:i4>0</vt:i4>
      </vt:variant>
      <vt:variant>
        <vt:i4>5</vt:i4>
      </vt:variant>
      <vt:variant>
        <vt:lpwstr/>
      </vt:variant>
      <vt:variant>
        <vt:lpwstr>_Toc172030761</vt:lpwstr>
      </vt:variant>
      <vt:variant>
        <vt:i4>1441847</vt:i4>
      </vt:variant>
      <vt:variant>
        <vt:i4>68</vt:i4>
      </vt:variant>
      <vt:variant>
        <vt:i4>0</vt:i4>
      </vt:variant>
      <vt:variant>
        <vt:i4>5</vt:i4>
      </vt:variant>
      <vt:variant>
        <vt:lpwstr/>
      </vt:variant>
      <vt:variant>
        <vt:lpwstr>_Toc172030760</vt:lpwstr>
      </vt:variant>
      <vt:variant>
        <vt:i4>1376311</vt:i4>
      </vt:variant>
      <vt:variant>
        <vt:i4>62</vt:i4>
      </vt:variant>
      <vt:variant>
        <vt:i4>0</vt:i4>
      </vt:variant>
      <vt:variant>
        <vt:i4>5</vt:i4>
      </vt:variant>
      <vt:variant>
        <vt:lpwstr/>
      </vt:variant>
      <vt:variant>
        <vt:lpwstr>_Toc172030759</vt:lpwstr>
      </vt:variant>
      <vt:variant>
        <vt:i4>1376311</vt:i4>
      </vt:variant>
      <vt:variant>
        <vt:i4>56</vt:i4>
      </vt:variant>
      <vt:variant>
        <vt:i4>0</vt:i4>
      </vt:variant>
      <vt:variant>
        <vt:i4>5</vt:i4>
      </vt:variant>
      <vt:variant>
        <vt:lpwstr/>
      </vt:variant>
      <vt:variant>
        <vt:lpwstr>_Toc172030758</vt:lpwstr>
      </vt:variant>
      <vt:variant>
        <vt:i4>1376311</vt:i4>
      </vt:variant>
      <vt:variant>
        <vt:i4>50</vt:i4>
      </vt:variant>
      <vt:variant>
        <vt:i4>0</vt:i4>
      </vt:variant>
      <vt:variant>
        <vt:i4>5</vt:i4>
      </vt:variant>
      <vt:variant>
        <vt:lpwstr/>
      </vt:variant>
      <vt:variant>
        <vt:lpwstr>_Toc172030757</vt:lpwstr>
      </vt:variant>
      <vt:variant>
        <vt:i4>1376311</vt:i4>
      </vt:variant>
      <vt:variant>
        <vt:i4>44</vt:i4>
      </vt:variant>
      <vt:variant>
        <vt:i4>0</vt:i4>
      </vt:variant>
      <vt:variant>
        <vt:i4>5</vt:i4>
      </vt:variant>
      <vt:variant>
        <vt:lpwstr/>
      </vt:variant>
      <vt:variant>
        <vt:lpwstr>_Toc172030756</vt:lpwstr>
      </vt:variant>
      <vt:variant>
        <vt:i4>1376311</vt:i4>
      </vt:variant>
      <vt:variant>
        <vt:i4>38</vt:i4>
      </vt:variant>
      <vt:variant>
        <vt:i4>0</vt:i4>
      </vt:variant>
      <vt:variant>
        <vt:i4>5</vt:i4>
      </vt:variant>
      <vt:variant>
        <vt:lpwstr/>
      </vt:variant>
      <vt:variant>
        <vt:lpwstr>_Toc172030755</vt:lpwstr>
      </vt:variant>
      <vt:variant>
        <vt:i4>1376311</vt:i4>
      </vt:variant>
      <vt:variant>
        <vt:i4>32</vt:i4>
      </vt:variant>
      <vt:variant>
        <vt:i4>0</vt:i4>
      </vt:variant>
      <vt:variant>
        <vt:i4>5</vt:i4>
      </vt:variant>
      <vt:variant>
        <vt:lpwstr/>
      </vt:variant>
      <vt:variant>
        <vt:lpwstr>_Toc172030754</vt:lpwstr>
      </vt:variant>
      <vt:variant>
        <vt:i4>1376311</vt:i4>
      </vt:variant>
      <vt:variant>
        <vt:i4>26</vt:i4>
      </vt:variant>
      <vt:variant>
        <vt:i4>0</vt:i4>
      </vt:variant>
      <vt:variant>
        <vt:i4>5</vt:i4>
      </vt:variant>
      <vt:variant>
        <vt:lpwstr/>
      </vt:variant>
      <vt:variant>
        <vt:lpwstr>_Toc172030753</vt:lpwstr>
      </vt:variant>
      <vt:variant>
        <vt:i4>1376311</vt:i4>
      </vt:variant>
      <vt:variant>
        <vt:i4>20</vt:i4>
      </vt:variant>
      <vt:variant>
        <vt:i4>0</vt:i4>
      </vt:variant>
      <vt:variant>
        <vt:i4>5</vt:i4>
      </vt:variant>
      <vt:variant>
        <vt:lpwstr/>
      </vt:variant>
      <vt:variant>
        <vt:lpwstr>_Toc172030752</vt:lpwstr>
      </vt:variant>
      <vt:variant>
        <vt:i4>1376311</vt:i4>
      </vt:variant>
      <vt:variant>
        <vt:i4>14</vt:i4>
      </vt:variant>
      <vt:variant>
        <vt:i4>0</vt:i4>
      </vt:variant>
      <vt:variant>
        <vt:i4>5</vt:i4>
      </vt:variant>
      <vt:variant>
        <vt:lpwstr/>
      </vt:variant>
      <vt:variant>
        <vt:lpwstr>_Toc172030751</vt:lpwstr>
      </vt:variant>
      <vt:variant>
        <vt:i4>1376311</vt:i4>
      </vt:variant>
      <vt:variant>
        <vt:i4>8</vt:i4>
      </vt:variant>
      <vt:variant>
        <vt:i4>0</vt:i4>
      </vt:variant>
      <vt:variant>
        <vt:i4>5</vt:i4>
      </vt:variant>
      <vt:variant>
        <vt:lpwstr/>
      </vt:variant>
      <vt:variant>
        <vt:lpwstr>_Toc172030750</vt:lpwstr>
      </vt:variant>
      <vt:variant>
        <vt:i4>1310775</vt:i4>
      </vt:variant>
      <vt:variant>
        <vt:i4>2</vt:i4>
      </vt:variant>
      <vt:variant>
        <vt:i4>0</vt:i4>
      </vt:variant>
      <vt:variant>
        <vt:i4>5</vt:i4>
      </vt:variant>
      <vt:variant>
        <vt:lpwstr/>
      </vt:variant>
      <vt:variant>
        <vt:lpwstr>_Toc172030749</vt:lpwstr>
      </vt:variant>
      <vt:variant>
        <vt:i4>8257579</vt:i4>
      </vt:variant>
      <vt:variant>
        <vt:i4>27</vt:i4>
      </vt:variant>
      <vt:variant>
        <vt:i4>0</vt:i4>
      </vt:variant>
      <vt:variant>
        <vt:i4>5</vt:i4>
      </vt:variant>
      <vt:variant>
        <vt:lpwstr>https://www.health.gov.au/resources/publications/national-medicines-policy?language=en</vt:lpwstr>
      </vt:variant>
      <vt:variant>
        <vt:lpwstr/>
      </vt:variant>
      <vt:variant>
        <vt:i4>7012385</vt:i4>
      </vt:variant>
      <vt:variant>
        <vt:i4>24</vt:i4>
      </vt:variant>
      <vt:variant>
        <vt:i4>0</vt:i4>
      </vt:variant>
      <vt:variant>
        <vt:i4>5</vt:i4>
      </vt:variant>
      <vt:variant>
        <vt:lpwstr>https://www.health.gov.au/our-work/national-health-and-climate-strategy</vt:lpwstr>
      </vt:variant>
      <vt:variant>
        <vt:lpwstr/>
      </vt:variant>
      <vt:variant>
        <vt:i4>262217</vt:i4>
      </vt:variant>
      <vt:variant>
        <vt:i4>21</vt:i4>
      </vt:variant>
      <vt:variant>
        <vt:i4>0</vt:i4>
      </vt:variant>
      <vt:variant>
        <vt:i4>5</vt:i4>
      </vt:variant>
      <vt:variant>
        <vt:lpwstr>https://www.health.gov.au/our-work/2020-25-national-health-reform-agreement-nhra</vt:lpwstr>
      </vt:variant>
      <vt:variant>
        <vt:lpwstr/>
      </vt:variant>
      <vt:variant>
        <vt:i4>2949162</vt:i4>
      </vt:variant>
      <vt:variant>
        <vt:i4>15</vt:i4>
      </vt:variant>
      <vt:variant>
        <vt:i4>0</vt:i4>
      </vt:variant>
      <vt:variant>
        <vt:i4>5</vt:i4>
      </vt:variant>
      <vt:variant>
        <vt:lpwstr>https://www.health.gov.au/ministers/the-hon-mark-butler-mp/media/hta-review-and-chair-committee</vt:lpwstr>
      </vt:variant>
      <vt:variant>
        <vt:lpwstr/>
      </vt:variant>
      <vt:variant>
        <vt:i4>7143516</vt:i4>
      </vt:variant>
      <vt:variant>
        <vt:i4>12</vt:i4>
      </vt:variant>
      <vt:variant>
        <vt:i4>0</vt:i4>
      </vt:variant>
      <vt:variant>
        <vt:i4>5</vt:i4>
      </vt:variant>
      <vt:variant>
        <vt:lpwstr>https://www.aph.gov.au/Parliamentary_Business/Committees/House/Health_Aged_Care_and_Sport/Newdrugs/Report</vt:lpwstr>
      </vt:variant>
      <vt:variant>
        <vt:lpwstr/>
      </vt:variant>
      <vt:variant>
        <vt:i4>4391000</vt:i4>
      </vt:variant>
      <vt:variant>
        <vt:i4>9</vt:i4>
      </vt:variant>
      <vt:variant>
        <vt:i4>0</vt:i4>
      </vt:variant>
      <vt:variant>
        <vt:i4>5</vt:i4>
      </vt:variant>
      <vt:variant>
        <vt:lpwstr>https://consultations.health.gov.au/pbs-subsidy-taskforce/national-medicines-policy-revised-consultation/</vt:lpwstr>
      </vt:variant>
      <vt:variant>
        <vt:lpwstr/>
      </vt:variant>
      <vt:variant>
        <vt:i4>7536745</vt:i4>
      </vt:variant>
      <vt:variant>
        <vt:i4>6</vt:i4>
      </vt:variant>
      <vt:variant>
        <vt:i4>0</vt:i4>
      </vt:variant>
      <vt:variant>
        <vt:i4>5</vt:i4>
      </vt:variant>
      <vt:variant>
        <vt:lpwstr>https://www.pbs.gov.au/info/general/medicines-industry-strategic-agreement</vt:lpwstr>
      </vt:variant>
      <vt:variant>
        <vt:lpwstr/>
      </vt:variant>
      <vt:variant>
        <vt:i4>7733360</vt:i4>
      </vt:variant>
      <vt:variant>
        <vt:i4>3</vt:i4>
      </vt:variant>
      <vt:variant>
        <vt:i4>0</vt:i4>
      </vt:variant>
      <vt:variant>
        <vt:i4>5</vt:i4>
      </vt:variant>
      <vt:variant>
        <vt:lpwstr>https://www.pbs.gov.au/info/industry/listing/elements/pbac-meetings/psd/2022-03/cemiplimab-solution-for-iv-infusion-350-mg-in-7-ml-libtayo</vt:lpwstr>
      </vt:variant>
      <vt:variant>
        <vt:lpwstr/>
      </vt:variant>
      <vt:variant>
        <vt:i4>5636194</vt:i4>
      </vt:variant>
      <vt:variant>
        <vt:i4>0</vt:i4>
      </vt:variant>
      <vt:variant>
        <vt:i4>0</vt:i4>
      </vt:variant>
      <vt:variant>
        <vt:i4>5</vt:i4>
      </vt:variant>
      <vt:variant>
        <vt:lpwstr>https://www.oecd-ilibrary.org/social-issues-migration-health/health-at-a-glance-2023_7a7afb35-en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 Recommendations summary</dc:title>
  <dc:subject>Health Technology Assessment Policy and Methods Review</dc:subject>
  <dc:creator>Australian Government Department of Health and Aged Care</dc:creator>
  <cp:keywords>Health technologies and digital health; Medicines; HTA Review Reference Committee; Health Technology Assessment</cp:keywords>
  <dc:description/>
  <cp:lastModifiedBy/>
  <cp:revision>1</cp:revision>
  <dcterms:created xsi:type="dcterms:W3CDTF">2024-09-09T23:26:00Z</dcterms:created>
  <dcterms:modified xsi:type="dcterms:W3CDTF">2024-09-10T01:12:00Z</dcterms:modified>
  <cp:contentStatus/>
</cp:coreProperties>
</file>