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EC5C7" w14:textId="3BB4953A" w:rsidR="00152445" w:rsidRPr="00152445" w:rsidRDefault="00B840AF" w:rsidP="00F307F7">
      <w:pPr>
        <w:pStyle w:val="Heading1"/>
        <w:spacing w:after="360" w:line="278" w:lineRule="auto"/>
        <w:jc w:val="left"/>
      </w:pPr>
      <w:r>
        <w:t>Full r</w:t>
      </w:r>
      <w:r w:rsidR="005E3E55" w:rsidRPr="00732EC8">
        <w:t>ecommendations</w:t>
      </w:r>
      <w:r w:rsidR="003F362B">
        <w:t xml:space="preserve"> of the Health Technology Assessment Policy and Methods Review</w:t>
      </w:r>
    </w:p>
    <w:p w14:paraId="1BA1FB92" w14:textId="77777777" w:rsidR="005E3E55" w:rsidRPr="00274AA9" w:rsidRDefault="005E3E55" w:rsidP="00484B58">
      <w:pPr>
        <w:pStyle w:val="Recommendation1"/>
      </w:pPr>
      <w:r w:rsidRPr="00274AA9">
        <w:t>Creating a more equitable system for First Nations people</w:t>
      </w:r>
    </w:p>
    <w:p w14:paraId="303CD56D" w14:textId="730B6682" w:rsidR="005E3E55" w:rsidRPr="008F16BB" w:rsidRDefault="005E3E55" w:rsidP="008F16BB">
      <w:r w:rsidRPr="008F16BB">
        <w:t xml:space="preserve">The Review recommends </w:t>
      </w:r>
      <w:r w:rsidR="00DB3653">
        <w:t xml:space="preserve">that </w:t>
      </w:r>
      <w:r w:rsidRPr="008F16BB">
        <w:t>the Australian Government: </w:t>
      </w:r>
    </w:p>
    <w:p w14:paraId="28D471B8" w14:textId="77777777" w:rsidR="005E3E55" w:rsidRPr="00910611" w:rsidRDefault="005E3E55" w:rsidP="008F16BB">
      <w:pPr>
        <w:pStyle w:val="ListParagraph"/>
        <w:numPr>
          <w:ilvl w:val="0"/>
          <w:numId w:val="2"/>
        </w:numPr>
      </w:pPr>
      <w:r>
        <w:t>e</w:t>
      </w:r>
      <w:r w:rsidRPr="573C958E">
        <w:t>stablish a First Nations Advisory Committee</w:t>
      </w:r>
      <w:r>
        <w:t>,</w:t>
      </w:r>
      <w:r w:rsidRPr="573C958E">
        <w:t xml:space="preserve"> </w:t>
      </w:r>
      <w:r>
        <w:t xml:space="preserve">reporting to the </w:t>
      </w:r>
      <w:r w:rsidRPr="00D92CC5">
        <w:t>Pharmaceutical Benefits Advisory Committee (PBAC)</w:t>
      </w:r>
      <w:r>
        <w:t xml:space="preserve"> and the </w:t>
      </w:r>
      <w:r w:rsidRPr="00812222">
        <w:t>Medical Services Advisory Committee (MSAC)</w:t>
      </w:r>
      <w:r>
        <w:t>,</w:t>
      </w:r>
      <w:r w:rsidRPr="573C958E">
        <w:t xml:space="preserve"> to contribute to </w:t>
      </w:r>
      <w:r>
        <w:t>decision-making</w:t>
      </w:r>
      <w:r w:rsidRPr="573C958E">
        <w:t xml:space="preserve"> across the healthcare continuum, including:</w:t>
      </w:r>
    </w:p>
    <w:p w14:paraId="791B5F61" w14:textId="77777777" w:rsidR="005E3E55" w:rsidRDefault="005E3E55" w:rsidP="008F16BB">
      <w:pPr>
        <w:pStyle w:val="ListParagraph"/>
        <w:numPr>
          <w:ilvl w:val="1"/>
          <w:numId w:val="2"/>
        </w:numPr>
      </w:pPr>
      <w:r>
        <w:t>i</w:t>
      </w:r>
      <w:r w:rsidRPr="00910611">
        <w:t xml:space="preserve">n line with the priority reforms under the </w:t>
      </w:r>
      <w:hyperlink r:id="rId11">
        <w:r w:rsidRPr="00910611">
          <w:rPr>
            <w:color w:val="0E6C9B"/>
            <w:u w:val="single"/>
          </w:rPr>
          <w:t>National Closing the Gap Agreement 2020</w:t>
        </w:r>
      </w:hyperlink>
      <w:r w:rsidRPr="00910611">
        <w:t>, develop</w:t>
      </w:r>
      <w:r>
        <w:t>ing</w:t>
      </w:r>
      <w:r w:rsidRPr="00910611">
        <w:t xml:space="preserve"> a priority list of </w:t>
      </w:r>
      <w:r w:rsidRPr="00405FD7">
        <w:t>indications</w:t>
      </w:r>
      <w:r w:rsidRPr="00910611">
        <w:t xml:space="preserve">, in partnership with </w:t>
      </w:r>
      <w:r w:rsidRPr="00972225">
        <w:t>Aboriginal Community Controlled​ Health Services</w:t>
      </w:r>
      <w:r w:rsidRPr="00405FD7">
        <w:t xml:space="preserve"> (</w:t>
      </w:r>
      <w:r w:rsidRPr="00972225">
        <w:t>ACCHSs</w:t>
      </w:r>
      <w:r>
        <w:t>)</w:t>
      </w:r>
      <w:r w:rsidRPr="00910611">
        <w:t>, for First Nations people with high unmet clinical need</w:t>
      </w:r>
      <w:r>
        <w:t xml:space="preserve"> (HUCN)</w:t>
      </w:r>
    </w:p>
    <w:p w14:paraId="2A270DA4" w14:textId="77777777" w:rsidR="005E3E55" w:rsidRDefault="005E3E55" w:rsidP="008F16BB">
      <w:pPr>
        <w:pStyle w:val="ListParagraph"/>
        <w:numPr>
          <w:ilvl w:val="1"/>
          <w:numId w:val="2"/>
        </w:numPr>
      </w:pPr>
      <w:r>
        <w:t>d</w:t>
      </w:r>
      <w:r w:rsidRPr="00910611">
        <w:t>evelop</w:t>
      </w:r>
      <w:r>
        <w:t>ing</w:t>
      </w:r>
      <w:r w:rsidRPr="00910611">
        <w:t xml:space="preserve"> an active horizon scanning process to identify therapies with promising </w:t>
      </w:r>
      <w:r>
        <w:t>h</w:t>
      </w:r>
      <w:r w:rsidRPr="00910611">
        <w:t xml:space="preserve">igh </w:t>
      </w:r>
      <w:r>
        <w:t>a</w:t>
      </w:r>
      <w:r w:rsidRPr="00910611">
        <w:t xml:space="preserve">dded </w:t>
      </w:r>
      <w:r>
        <w:t>t</w:t>
      </w:r>
      <w:r w:rsidRPr="00910611">
        <w:t xml:space="preserve">herapeutic </w:t>
      </w:r>
      <w:r>
        <w:t>v</w:t>
      </w:r>
      <w:r w:rsidRPr="00910611">
        <w:t>alue</w:t>
      </w:r>
      <w:r>
        <w:t xml:space="preserve"> </w:t>
      </w:r>
      <w:r w:rsidRPr="00910611">
        <w:t xml:space="preserve">for </w:t>
      </w:r>
      <w:r w:rsidRPr="00405FD7">
        <w:t>indications</w:t>
      </w:r>
      <w:r w:rsidRPr="00910611">
        <w:t xml:space="preserve"> on the priority list. This could include new therapies or new </w:t>
      </w:r>
      <w:r w:rsidRPr="00405FD7">
        <w:t>indications</w:t>
      </w:r>
      <w:r w:rsidRPr="00910611">
        <w:t xml:space="preserve"> for ‘repurposing’ existing therapies</w:t>
      </w:r>
    </w:p>
    <w:p w14:paraId="37431ABB" w14:textId="1167497F" w:rsidR="005E3E55" w:rsidRPr="00910611" w:rsidRDefault="005E3E55" w:rsidP="008F16BB">
      <w:pPr>
        <w:pStyle w:val="ListParagraph"/>
        <w:numPr>
          <w:ilvl w:val="1"/>
          <w:numId w:val="2"/>
        </w:numPr>
      </w:pPr>
      <w:r>
        <w:t>advising on</w:t>
      </w:r>
      <w:r w:rsidRPr="00910611">
        <w:t xml:space="preserve"> proactive submission requests for therapies on the priority list, priorit</w:t>
      </w:r>
      <w:r>
        <w:t>ising</w:t>
      </w:r>
      <w:r w:rsidRPr="00910611">
        <w:t xml:space="preserve"> those </w:t>
      </w:r>
      <w:r>
        <w:t>that</w:t>
      </w:r>
      <w:r w:rsidRPr="00910611">
        <w:t xml:space="preserve"> address areas of unmet clinical need and gaps in access</w:t>
      </w:r>
      <w:r w:rsidR="00803173">
        <w:t xml:space="preserve">. </w:t>
      </w:r>
    </w:p>
    <w:p w14:paraId="24653CB8" w14:textId="77777777" w:rsidR="005E3E55" w:rsidRDefault="005E3E55" w:rsidP="008F16BB">
      <w:pPr>
        <w:pStyle w:val="ListParagraph"/>
        <w:numPr>
          <w:ilvl w:val="0"/>
          <w:numId w:val="2"/>
        </w:numPr>
      </w:pPr>
      <w:r>
        <w:t>i</w:t>
      </w:r>
      <w:r w:rsidRPr="6EE001BC">
        <w:t xml:space="preserve">nclude </w:t>
      </w:r>
      <w:r>
        <w:t xml:space="preserve">representation on the PBAC for First Nations people, including individuals and/or professionals with current expertise and experience in health issues relating </w:t>
      </w:r>
      <w:r w:rsidRPr="00743E7C">
        <w:t>to First Nations people</w:t>
      </w:r>
      <w:r>
        <w:t>, and who are actively engaged in this area</w:t>
      </w:r>
      <w:r w:rsidRPr="00743E7C">
        <w:t xml:space="preserve">. The role should speak to the specific benefits </w:t>
      </w:r>
      <w:r>
        <w:t>to</w:t>
      </w:r>
      <w:r w:rsidRPr="00743E7C">
        <w:t xml:space="preserve"> First Nations people and be accountable for decision-making on behalf of First Nations people</w:t>
      </w:r>
    </w:p>
    <w:p w14:paraId="5AD72EF1" w14:textId="34C51982" w:rsidR="005E3E55" w:rsidRDefault="005E3E55" w:rsidP="008F16BB">
      <w:pPr>
        <w:pStyle w:val="ListParagraph"/>
        <w:numPr>
          <w:ilvl w:val="0"/>
          <w:numId w:val="2"/>
        </w:numPr>
      </w:pPr>
      <w:r>
        <w:t>r</w:t>
      </w:r>
      <w:r w:rsidRPr="00910611">
        <w:t>equire sponsor</w:t>
      </w:r>
      <w:r>
        <w:t>s’</w:t>
      </w:r>
      <w:r w:rsidRPr="00910611">
        <w:t xml:space="preserve"> submissions to include </w:t>
      </w:r>
      <w:r w:rsidRPr="00B84AB8">
        <w:t>consideration</w:t>
      </w:r>
      <w:r w:rsidRPr="00910611">
        <w:t>/assessment of the impact on health outcomes for First Nations people. This will enable more meaningful and informed decision-making by the PBAC</w:t>
      </w:r>
      <w:r>
        <w:t xml:space="preserve"> and the MSAC</w:t>
      </w:r>
    </w:p>
    <w:p w14:paraId="0C30B410" w14:textId="77777777" w:rsidR="005E3E55" w:rsidRDefault="005E3E55" w:rsidP="008F16BB">
      <w:pPr>
        <w:pStyle w:val="ListParagraph"/>
        <w:numPr>
          <w:ilvl w:val="0"/>
          <w:numId w:val="2"/>
        </w:numPr>
      </w:pPr>
      <w:r>
        <w:t>d</w:t>
      </w:r>
      <w:r w:rsidRPr="00910611">
        <w:t xml:space="preserve">evelop, in collaboration with </w:t>
      </w:r>
      <w:r w:rsidRPr="00B84AB8">
        <w:t>ACCH</w:t>
      </w:r>
      <w:r w:rsidRPr="00405FD7">
        <w:t>S</w:t>
      </w:r>
      <w:r w:rsidRPr="00B84AB8">
        <w:t>s</w:t>
      </w:r>
      <w:r w:rsidRPr="00910611">
        <w:t xml:space="preserve">, a mechanism to recognise the additional benefit of therapies to First Nations people for the priority health areas listed under the </w:t>
      </w:r>
      <w:hyperlink r:id="rId12" w:history="1">
        <w:r w:rsidRPr="00EF063E">
          <w:rPr>
            <w:rStyle w:val="Hyperlink"/>
            <w:rFonts w:eastAsia="Calibri" w:cs="Segoe UI"/>
          </w:rPr>
          <w:t>National Agreement on Closing the Gap (2020)</w:t>
        </w:r>
      </w:hyperlink>
    </w:p>
    <w:p w14:paraId="43787B7D" w14:textId="77777777" w:rsidR="005E3E55" w:rsidRPr="00824739" w:rsidRDefault="005E3E55" w:rsidP="008F16BB">
      <w:pPr>
        <w:pStyle w:val="ListParagraph"/>
        <w:numPr>
          <w:ilvl w:val="0"/>
          <w:numId w:val="2"/>
        </w:numPr>
        <w:rPr>
          <w:rFonts w:ascii="Calibri" w:hAnsi="Calibri" w:cs="Calibri"/>
          <w:sz w:val="22"/>
          <w:szCs w:val="22"/>
        </w:rPr>
      </w:pPr>
      <w:r>
        <w:t>d</w:t>
      </w:r>
      <w:r w:rsidRPr="00910611">
        <w:t xml:space="preserve">evelop </w:t>
      </w:r>
      <w:r>
        <w:t xml:space="preserve">First Nations HTA </w:t>
      </w:r>
      <w:r w:rsidRPr="00910611">
        <w:t>criteria</w:t>
      </w:r>
      <w:r>
        <w:t>. This would</w:t>
      </w:r>
      <w:r w:rsidRPr="00910611">
        <w:t xml:space="preserve"> support timely listing of medicines </w:t>
      </w:r>
      <w:r>
        <w:t>with</w:t>
      </w:r>
      <w:r w:rsidRPr="00910611">
        <w:t xml:space="preserve"> specific health benefits for First Nations peo</w:t>
      </w:r>
      <w:r w:rsidRPr="3951C882">
        <w:rPr>
          <w:rFonts w:eastAsiaTheme="minorEastAsia"/>
        </w:rPr>
        <w:t>ple. This could include fit</w:t>
      </w:r>
      <w:r>
        <w:rPr>
          <w:rFonts w:eastAsiaTheme="minorEastAsia"/>
        </w:rPr>
        <w:t>-</w:t>
      </w:r>
      <w:r w:rsidRPr="3951C882">
        <w:rPr>
          <w:rFonts w:eastAsiaTheme="minorEastAsia"/>
        </w:rPr>
        <w:t>for</w:t>
      </w:r>
      <w:r>
        <w:rPr>
          <w:rFonts w:eastAsiaTheme="minorEastAsia"/>
        </w:rPr>
        <w:t>-</w:t>
      </w:r>
      <w:r w:rsidRPr="3951C882">
        <w:rPr>
          <w:rFonts w:eastAsiaTheme="minorEastAsia"/>
        </w:rPr>
        <w:lastRenderedPageBreak/>
        <w:t xml:space="preserve">purpose criteria </w:t>
      </w:r>
      <w:r w:rsidRPr="2666502C">
        <w:rPr>
          <w:rFonts w:eastAsiaTheme="minorEastAsia"/>
        </w:rPr>
        <w:t>to</w:t>
      </w:r>
      <w:r w:rsidRPr="09768D73">
        <w:rPr>
          <w:rFonts w:eastAsiaTheme="minorEastAsia"/>
        </w:rPr>
        <w:t xml:space="preserve"> </w:t>
      </w:r>
      <w:r w:rsidRPr="3951C882">
        <w:rPr>
          <w:rFonts w:eastAsiaTheme="minorEastAsia"/>
        </w:rPr>
        <w:t>allow decisions to be made on a range of population health outcomes</w:t>
      </w:r>
      <w:r>
        <w:rPr>
          <w:rFonts w:eastAsiaTheme="minorEastAsia"/>
        </w:rPr>
        <w:t>,</w:t>
      </w:r>
      <w:r w:rsidRPr="3951C882">
        <w:rPr>
          <w:rFonts w:eastAsiaTheme="minorEastAsia"/>
        </w:rPr>
        <w:t xml:space="preserve"> not just one clinical end</w:t>
      </w:r>
      <w:r>
        <w:rPr>
          <w:rFonts w:eastAsiaTheme="minorEastAsia"/>
        </w:rPr>
        <w:t xml:space="preserve"> </w:t>
      </w:r>
      <w:r w:rsidRPr="3951C882">
        <w:rPr>
          <w:rFonts w:eastAsiaTheme="minorEastAsia"/>
        </w:rPr>
        <w:t>point</w:t>
      </w:r>
    </w:p>
    <w:p w14:paraId="002654AA" w14:textId="77777777" w:rsidR="005E3E55" w:rsidRPr="00910611" w:rsidRDefault="005E3E55" w:rsidP="008F16BB">
      <w:pPr>
        <w:pStyle w:val="ListParagraph"/>
        <w:numPr>
          <w:ilvl w:val="0"/>
          <w:numId w:val="2"/>
        </w:numPr>
      </w:pPr>
      <w:r>
        <w:t xml:space="preserve">resource </w:t>
      </w:r>
      <w:r w:rsidRPr="00910611">
        <w:t>the Department of Health and Aged Care to assist organisations representing First Nations people to submit and engage in HTA submissions. This would include providing education</w:t>
      </w:r>
      <w:r>
        <w:t xml:space="preserve">, </w:t>
      </w:r>
      <w:r w:rsidRPr="00910611">
        <w:t xml:space="preserve">support </w:t>
      </w:r>
      <w:r>
        <w:t>and funding to organisations</w:t>
      </w:r>
      <w:r w:rsidRPr="00910611">
        <w:t xml:space="preserve"> to develop submissions</w:t>
      </w:r>
      <w:r w:rsidRPr="002A0B3D">
        <w:t xml:space="preserve"> </w:t>
      </w:r>
      <w:r w:rsidRPr="00B61FDC">
        <w:t xml:space="preserve">and be set out in the </w:t>
      </w:r>
      <w:r w:rsidRPr="00B61FDC">
        <w:rPr>
          <w:i/>
        </w:rPr>
        <w:t>Stakeholder Engagement Framework</w:t>
      </w:r>
      <w:r w:rsidRPr="00B61FDC">
        <w:t xml:space="preserve"> (See Chapter 6.2).</w:t>
      </w:r>
    </w:p>
    <w:p w14:paraId="6AB673A0" w14:textId="77777777" w:rsidR="0047164F" w:rsidRPr="00A64C71" w:rsidRDefault="0047164F" w:rsidP="00484B58">
      <w:pPr>
        <w:pStyle w:val="Recommendation1"/>
      </w:pPr>
      <w:bookmarkStart w:id="0" w:name="_Ref166786902"/>
      <w:bookmarkStart w:id="1" w:name="_Hlk167301577"/>
      <w:r>
        <w:t>Providing</w:t>
      </w:r>
      <w:r w:rsidRPr="00A64C71">
        <w:t xml:space="preserve"> equitable access to medicines for children and young people</w:t>
      </w:r>
      <w:bookmarkEnd w:id="0"/>
      <w:r w:rsidRPr="00A64C71">
        <w:t xml:space="preserve"> </w:t>
      </w:r>
    </w:p>
    <w:p w14:paraId="747EB449" w14:textId="1E43BFC2" w:rsidR="0047164F" w:rsidRPr="008F16BB" w:rsidRDefault="0047164F" w:rsidP="0047164F">
      <w:pPr>
        <w:rPr>
          <w:rFonts w:eastAsia="Calibri"/>
        </w:rPr>
      </w:pPr>
      <w:bookmarkStart w:id="2" w:name="_Ref166787472"/>
      <w:bookmarkStart w:id="3" w:name="_Hlk167298470"/>
      <w:bookmarkEnd w:id="1"/>
      <w:r w:rsidRPr="008F16BB">
        <w:rPr>
          <w:rFonts w:eastAsia="Calibri"/>
        </w:rPr>
        <w:t>The Review recommends</w:t>
      </w:r>
      <w:r w:rsidR="0008551F">
        <w:rPr>
          <w:rFonts w:eastAsia="Calibri"/>
        </w:rPr>
        <w:t xml:space="preserve"> that</w:t>
      </w:r>
      <w:r w:rsidRPr="008F16BB">
        <w:rPr>
          <w:rFonts w:eastAsia="Calibri"/>
        </w:rPr>
        <w:t xml:space="preserve"> the Australian Government: </w:t>
      </w:r>
    </w:p>
    <w:p w14:paraId="3BD75BB1" w14:textId="77777777" w:rsidR="0047164F" w:rsidRPr="008F16BB" w:rsidRDefault="0047164F" w:rsidP="0047164F">
      <w:pPr>
        <w:pStyle w:val="ListParagraph"/>
        <w:numPr>
          <w:ilvl w:val="0"/>
          <w:numId w:val="3"/>
        </w:numPr>
      </w:pPr>
      <w:r w:rsidRPr="008F16BB">
        <w:t>formalise a systematic approach for new listings on the Pharmaceutical Benefits Scheme (PBS) to be agnostic of age. This would exclude listings where the Pharmaceutical Benefits Advisory Committee’s (PBAC’s) reasons for recommending restricted access are based on</w:t>
      </w:r>
      <w:r w:rsidRPr="008F16BB" w:rsidDel="00A64C71">
        <w:t xml:space="preserve"> </w:t>
      </w:r>
      <w:r w:rsidRPr="008F16BB">
        <w:t>important safety, effectiveness, cost</w:t>
      </w:r>
      <w:r w:rsidRPr="008F16BB">
        <w:noBreakHyphen/>
        <w:t>effectiveness or quality use of medicines considerations</w:t>
      </w:r>
    </w:p>
    <w:p w14:paraId="4FE562DA" w14:textId="77777777" w:rsidR="0047164F" w:rsidRPr="008F16BB" w:rsidRDefault="0047164F" w:rsidP="0047164F">
      <w:pPr>
        <w:pStyle w:val="ListParagraph"/>
        <w:numPr>
          <w:ilvl w:val="0"/>
          <w:numId w:val="3"/>
        </w:numPr>
      </w:pPr>
      <w:r w:rsidRPr="008F16BB">
        <w:t>identify, through consultation with stakeholders, existing PBS listings that could</w:t>
      </w:r>
      <w:r w:rsidRPr="008F16BB" w:rsidDel="00A64C71">
        <w:t xml:space="preserve"> </w:t>
      </w:r>
      <w:r w:rsidRPr="008F16BB">
        <w:t>be amended to be agnostic of age</w:t>
      </w:r>
    </w:p>
    <w:p w14:paraId="2E0E1EF6" w14:textId="77777777" w:rsidR="0047164F" w:rsidRPr="008F16BB" w:rsidRDefault="0047164F" w:rsidP="0047164F">
      <w:pPr>
        <w:pStyle w:val="ListParagraph"/>
        <w:numPr>
          <w:ilvl w:val="0"/>
          <w:numId w:val="3"/>
        </w:numPr>
      </w:pPr>
      <w:r w:rsidRPr="008F16BB">
        <w:t>establish a working party to develop guidance on evidentiary requirements for extending the use of therapies registered with the Therapeutic Goods Administration (TGA) to paediatric populations. The working party should be jointly led by representatives of the TGA and the PBAC and include representation from industry and patient sectors.</w:t>
      </w:r>
    </w:p>
    <w:p w14:paraId="089C015D" w14:textId="77777777" w:rsidR="00943763" w:rsidRPr="002724B9" w:rsidRDefault="00943763" w:rsidP="00484B58">
      <w:pPr>
        <w:pStyle w:val="Recommendation1"/>
      </w:pPr>
      <w:r w:rsidRPr="00FE5F69">
        <w:t xml:space="preserve">Overarching recommendations for all </w:t>
      </w:r>
      <w:r>
        <w:t>HTA</w:t>
      </w:r>
      <w:r w:rsidRPr="00FE5F69">
        <w:t xml:space="preserve"> funding and assessment pathways and processes</w:t>
      </w:r>
      <w:bookmarkEnd w:id="2"/>
      <w:r>
        <w:t xml:space="preserve"> </w:t>
      </w:r>
    </w:p>
    <w:bookmarkEnd w:id="3"/>
    <w:p w14:paraId="63ED116B" w14:textId="77777777" w:rsidR="00943763" w:rsidRPr="008F16BB" w:rsidRDefault="00943763" w:rsidP="008F16BB">
      <w:r w:rsidRPr="008F16BB">
        <w:t xml:space="preserve">The Review recommends that the Australian Government apply the following overarching principles to the restructuring and development of health technology funding and assessment processes and pathways: </w:t>
      </w:r>
    </w:p>
    <w:p w14:paraId="18C21E66" w14:textId="0488DFDE" w:rsidR="00943763" w:rsidRPr="008F16BB" w:rsidRDefault="00943763" w:rsidP="008D39A2">
      <w:pPr>
        <w:pStyle w:val="ListParagraph"/>
        <w:numPr>
          <w:ilvl w:val="0"/>
          <w:numId w:val="8"/>
        </w:numPr>
        <w:rPr>
          <w:rFonts w:eastAsia="Calibri"/>
        </w:rPr>
      </w:pPr>
      <w:bookmarkStart w:id="4" w:name="_Hlk167963422"/>
      <w:r w:rsidRPr="008F16BB">
        <w:rPr>
          <w:rFonts w:eastAsia="Calibri"/>
        </w:rPr>
        <w:t>Health technology funding and assessment processes, including the level of evaluation, should be fit-for-purpose and proportionate to the level of clinical benefit, clinical need, complexity and financial risk relating to the health technology submission</w:t>
      </w:r>
      <w:bookmarkEnd w:id="4"/>
    </w:p>
    <w:p w14:paraId="6A14F170" w14:textId="1200E7F2" w:rsidR="00943763" w:rsidRPr="008F16BB" w:rsidRDefault="00943763" w:rsidP="008D39A2">
      <w:pPr>
        <w:pStyle w:val="ListParagraph"/>
        <w:numPr>
          <w:ilvl w:val="0"/>
          <w:numId w:val="8"/>
        </w:numPr>
        <w:rPr>
          <w:rFonts w:eastAsia="Calibri"/>
        </w:rPr>
      </w:pPr>
      <w:r w:rsidRPr="008F16BB">
        <w:rPr>
          <w:rFonts w:eastAsia="Calibri"/>
        </w:rPr>
        <w:t>Health technology funding and assessment processes should be streamlined and simplified, with unnecessary complexity removed</w:t>
      </w:r>
    </w:p>
    <w:p w14:paraId="407F5358" w14:textId="77777777" w:rsidR="00943763" w:rsidRPr="008F16BB" w:rsidRDefault="00943763" w:rsidP="008D39A2">
      <w:pPr>
        <w:pStyle w:val="ListParagraph"/>
        <w:numPr>
          <w:ilvl w:val="0"/>
          <w:numId w:val="8"/>
        </w:numPr>
        <w:rPr>
          <w:rFonts w:eastAsia="Calibri"/>
        </w:rPr>
      </w:pPr>
      <w:r w:rsidRPr="008F16BB">
        <w:rPr>
          <w:rFonts w:eastAsia="Calibri"/>
        </w:rPr>
        <w:lastRenderedPageBreak/>
        <w:t>Consistency and clarity should be created for all health technology submissions for Australian Government funding by developing a unified HTA pathway and committee approach, progressed in stages. This should start with better aligning the HTA pathways, and removing duplication between them. It should be designed to ensure that the health technology funding and assessment processes, pathways and committees support optimal patient care and reduce any fragmentation in care pathways (see ‘Recommendation 4. Unified HTA pathway and committee approach for all applications for Australian Government funding for health technologies’). This would be supported by:</w:t>
      </w:r>
    </w:p>
    <w:p w14:paraId="6FAD21E5" w14:textId="77777777" w:rsidR="00943763" w:rsidRPr="008F16BB" w:rsidRDefault="00943763" w:rsidP="008D39A2">
      <w:pPr>
        <w:pStyle w:val="ListParagraph"/>
        <w:numPr>
          <w:ilvl w:val="1"/>
          <w:numId w:val="4"/>
        </w:numPr>
      </w:pPr>
      <w:r w:rsidRPr="008F16BB">
        <w:t>the HTA pathway and committee being determined by the assessment requirement for the health technology</w:t>
      </w:r>
    </w:p>
    <w:p w14:paraId="5FFA409B" w14:textId="77777777" w:rsidR="00943763" w:rsidRPr="008F16BB" w:rsidRDefault="00943763" w:rsidP="008D39A2">
      <w:pPr>
        <w:pStyle w:val="ListParagraph"/>
        <w:numPr>
          <w:ilvl w:val="1"/>
          <w:numId w:val="4"/>
        </w:numPr>
      </w:pPr>
      <w:r w:rsidRPr="008F16BB">
        <w:t>the assessment committee being able to recommend the most appropriate funding mechanism for optimal patient care.</w:t>
      </w:r>
    </w:p>
    <w:p w14:paraId="1E8D623D" w14:textId="77777777" w:rsidR="00943763" w:rsidRPr="002724B9" w:rsidRDefault="00943763" w:rsidP="00484B58">
      <w:pPr>
        <w:pStyle w:val="Recommendation1"/>
      </w:pPr>
      <w:bookmarkStart w:id="5" w:name="_Ref166785329"/>
      <w:bookmarkStart w:id="6" w:name="_Hlk167301610"/>
      <w:r w:rsidRPr="002724B9">
        <w:t xml:space="preserve">Unified </w:t>
      </w:r>
      <w:r>
        <w:t xml:space="preserve">HTA </w:t>
      </w:r>
      <w:r w:rsidRPr="002724B9">
        <w:t xml:space="preserve">pathway </w:t>
      </w:r>
      <w:r>
        <w:t>and committee approach</w:t>
      </w:r>
      <w:r w:rsidRPr="002724B9">
        <w:t xml:space="preserve"> for all Australian </w:t>
      </w:r>
      <w:r>
        <w:t>G</w:t>
      </w:r>
      <w:r w:rsidRPr="002724B9">
        <w:t>overnment funding</w:t>
      </w:r>
      <w:r>
        <w:t xml:space="preserve"> of health technologies</w:t>
      </w:r>
      <w:bookmarkEnd w:id="5"/>
    </w:p>
    <w:bookmarkEnd w:id="6"/>
    <w:p w14:paraId="30FE6F2A" w14:textId="77777777" w:rsidR="00943763" w:rsidRPr="00786AA4" w:rsidRDefault="00943763" w:rsidP="008F16BB">
      <w:r w:rsidRPr="00E432E2">
        <w:t xml:space="preserve">The Review recommends </w:t>
      </w:r>
      <w:r>
        <w:t xml:space="preserve">that </w:t>
      </w:r>
      <w:r w:rsidRPr="00E432E2">
        <w:t>the Australian Government</w:t>
      </w:r>
      <w:r>
        <w:t xml:space="preserve"> develop, in </w:t>
      </w:r>
      <w:r w:rsidRPr="00B86397">
        <w:rPr>
          <w:rFonts w:eastAsia="Calibri"/>
        </w:rPr>
        <w:t>consultation</w:t>
      </w:r>
      <w:r>
        <w:t xml:space="preserve"> with stakeholders, </w:t>
      </w:r>
      <w:r w:rsidRPr="00824739">
        <w:t xml:space="preserve">a unified, national </w:t>
      </w:r>
      <w:r w:rsidRPr="005424B2">
        <w:t>HTA</w:t>
      </w:r>
      <w:r>
        <w:t xml:space="preserve"> </w:t>
      </w:r>
      <w:r w:rsidRPr="00824739">
        <w:t xml:space="preserve">pathway </w:t>
      </w:r>
      <w:r>
        <w:t xml:space="preserve">and committee approach </w:t>
      </w:r>
      <w:r w:rsidRPr="00824739">
        <w:t xml:space="preserve">for all health technology evaluation. </w:t>
      </w:r>
      <w:r>
        <w:t>The unified approach should include:</w:t>
      </w:r>
    </w:p>
    <w:p w14:paraId="2BFB7028" w14:textId="77777777" w:rsidR="00943763" w:rsidRPr="00824739" w:rsidRDefault="00943763" w:rsidP="008D39A2">
      <w:pPr>
        <w:pStyle w:val="ListParagraph"/>
        <w:numPr>
          <w:ilvl w:val="0"/>
          <w:numId w:val="7"/>
        </w:numPr>
      </w:pPr>
      <w:r>
        <w:t>d</w:t>
      </w:r>
      <w:r w:rsidRPr="00D876CF">
        <w:t>evelop</w:t>
      </w:r>
      <w:r>
        <w:t>ing</w:t>
      </w:r>
      <w:r w:rsidRPr="00D876CF">
        <w:t xml:space="preserve"> </w:t>
      </w:r>
      <w:r w:rsidRPr="00824739">
        <w:t xml:space="preserve">a unified HTA </w:t>
      </w:r>
      <w:r>
        <w:t xml:space="preserve">advisory </w:t>
      </w:r>
      <w:r w:rsidRPr="00824739">
        <w:t>committee approach</w:t>
      </w:r>
      <w:r>
        <w:t xml:space="preserve">, including </w:t>
      </w:r>
      <w:r w:rsidRPr="00D876CF">
        <w:t xml:space="preserve">changes to the </w:t>
      </w:r>
      <w:r>
        <w:t>c</w:t>
      </w:r>
      <w:r w:rsidRPr="00D876CF">
        <w:t>ommittee</w:t>
      </w:r>
      <w:r w:rsidRPr="00824739">
        <w:t xml:space="preserve"> composition and scope to ensure </w:t>
      </w:r>
      <w:r>
        <w:t>it</w:t>
      </w:r>
      <w:r w:rsidRPr="00D876CF">
        <w:t xml:space="preserve"> </w:t>
      </w:r>
      <w:r w:rsidRPr="00824739">
        <w:t xml:space="preserve">is resourced to consider the </w:t>
      </w:r>
      <w:r w:rsidRPr="00D876CF">
        <w:t xml:space="preserve">breadth of </w:t>
      </w:r>
      <w:r w:rsidRPr="00824739">
        <w:t>different health technologies. Consideration should be given to</w:t>
      </w:r>
      <w:r>
        <w:t xml:space="preserve"> the following options for achieving this</w:t>
      </w:r>
      <w:r w:rsidRPr="00824739">
        <w:t xml:space="preserve">: </w:t>
      </w:r>
    </w:p>
    <w:p w14:paraId="680A7676" w14:textId="77777777" w:rsidR="00943763" w:rsidRPr="00824739" w:rsidRDefault="00943763" w:rsidP="008D39A2">
      <w:pPr>
        <w:pStyle w:val="ListParagraph"/>
        <w:numPr>
          <w:ilvl w:val="1"/>
          <w:numId w:val="7"/>
        </w:numPr>
      </w:pPr>
      <w:r>
        <w:t>t</w:t>
      </w:r>
      <w:r w:rsidRPr="00824739">
        <w:t>he feasibility of having a smaller core committee membership (for example, 6</w:t>
      </w:r>
      <w:r>
        <w:t>–</w:t>
      </w:r>
      <w:r w:rsidRPr="00824739">
        <w:t>10 core members)</w:t>
      </w:r>
      <w:r>
        <w:t>,</w:t>
      </w:r>
      <w:r w:rsidRPr="00824739">
        <w:t xml:space="preserve"> supplemented by other members drawn from a larger membership pool of different experts, as needed</w:t>
      </w:r>
    </w:p>
    <w:p w14:paraId="746F7517" w14:textId="77777777" w:rsidR="00943763" w:rsidRPr="00824739" w:rsidRDefault="00943763" w:rsidP="008D39A2">
      <w:pPr>
        <w:pStyle w:val="ListParagraph"/>
        <w:numPr>
          <w:ilvl w:val="1"/>
          <w:numId w:val="7"/>
        </w:numPr>
      </w:pPr>
      <w:r>
        <w:t>t</w:t>
      </w:r>
      <w:r w:rsidRPr="00824739">
        <w:t xml:space="preserve">he feasibility of having two committees, with the same approach, that have </w:t>
      </w:r>
      <w:r>
        <w:t>alternating</w:t>
      </w:r>
      <w:r w:rsidRPr="00824739">
        <w:t xml:space="preserve"> meeting</w:t>
      </w:r>
      <w:r>
        <w:t xml:space="preserve"> cycles</w:t>
      </w:r>
    </w:p>
    <w:p w14:paraId="72EBE698" w14:textId="796E6098" w:rsidR="00943763" w:rsidRPr="00824739" w:rsidRDefault="00943763" w:rsidP="008D39A2">
      <w:pPr>
        <w:pStyle w:val="ListParagraph"/>
        <w:numPr>
          <w:ilvl w:val="1"/>
          <w:numId w:val="7"/>
        </w:numPr>
      </w:pPr>
      <w:r>
        <w:t>the most appropriate submission cycle duration and whether more flexibility or time is desirable and feasible</w:t>
      </w:r>
      <w:r w:rsidR="009357AC">
        <w:t>.</w:t>
      </w:r>
    </w:p>
    <w:p w14:paraId="5EFA3D25" w14:textId="77777777" w:rsidR="00943763" w:rsidRDefault="00943763" w:rsidP="008D39A2">
      <w:pPr>
        <w:pStyle w:val="ListParagraph"/>
        <w:numPr>
          <w:ilvl w:val="0"/>
          <w:numId w:val="7"/>
        </w:numPr>
      </w:pPr>
      <w:r>
        <w:t>a</w:t>
      </w:r>
      <w:r w:rsidRPr="00903060">
        <w:t xml:space="preserve"> staged approach</w:t>
      </w:r>
      <w:r w:rsidRPr="760B44C9">
        <w:t xml:space="preserve"> to implementation</w:t>
      </w:r>
      <w:r w:rsidRPr="00903060">
        <w:t xml:space="preserve">, with set review points along the stages to ensure changes are meeting objectives. Stages in this process </w:t>
      </w:r>
      <w:r>
        <w:t>should include</w:t>
      </w:r>
      <w:r w:rsidRPr="00903060">
        <w:t xml:space="preserve"> </w:t>
      </w:r>
      <w:r>
        <w:t>the entire or components of</w:t>
      </w:r>
      <w:r w:rsidRPr="00903060">
        <w:t>:</w:t>
      </w:r>
      <w:r>
        <w:t xml:space="preserve"> </w:t>
      </w:r>
    </w:p>
    <w:p w14:paraId="41088BE2" w14:textId="77777777" w:rsidR="00943763" w:rsidRPr="00987D45" w:rsidRDefault="00943763" w:rsidP="008D39A2">
      <w:pPr>
        <w:pStyle w:val="ListParagraph"/>
        <w:numPr>
          <w:ilvl w:val="1"/>
          <w:numId w:val="7"/>
        </w:numPr>
      </w:pPr>
      <w:r>
        <w:t xml:space="preserve">Recommendation 5. </w:t>
      </w:r>
      <w:r w:rsidRPr="00987D45">
        <w:t>Triaging submissions</w:t>
      </w:r>
    </w:p>
    <w:p w14:paraId="7FEB35F7" w14:textId="77777777" w:rsidR="00943763" w:rsidRPr="008D7B0F" w:rsidRDefault="00943763" w:rsidP="008D39A2">
      <w:pPr>
        <w:pStyle w:val="ListParagraph"/>
        <w:numPr>
          <w:ilvl w:val="1"/>
          <w:numId w:val="7"/>
        </w:numPr>
      </w:pPr>
      <w:r>
        <w:t xml:space="preserve">Recommendation 6. </w:t>
      </w:r>
      <w:r w:rsidRPr="008D7B0F">
        <w:t>Expand</w:t>
      </w:r>
      <w:r>
        <w:t>ing</w:t>
      </w:r>
      <w:r w:rsidRPr="008D7B0F">
        <w:t xml:space="preserve"> the advisory role of the </w:t>
      </w:r>
      <w:r w:rsidRPr="00924DE3">
        <w:t xml:space="preserve">Pharmaceutical Benefits Advisory Committee </w:t>
      </w:r>
      <w:r w:rsidRPr="008D7B0F">
        <w:t xml:space="preserve">beyond </w:t>
      </w:r>
      <w:r>
        <w:t xml:space="preserve">the </w:t>
      </w:r>
      <w:r w:rsidRPr="00C248EE">
        <w:t xml:space="preserve">Pharmaceutical Benefits Scheme </w:t>
      </w:r>
    </w:p>
    <w:p w14:paraId="7D822EE7" w14:textId="77777777" w:rsidR="00943763" w:rsidRPr="001E7C2C" w:rsidRDefault="00943763" w:rsidP="008D39A2">
      <w:pPr>
        <w:pStyle w:val="ListParagraph"/>
        <w:numPr>
          <w:ilvl w:val="1"/>
          <w:numId w:val="7"/>
        </w:numPr>
      </w:pPr>
      <w:r>
        <w:lastRenderedPageBreak/>
        <w:t xml:space="preserve">Recommendation 11. </w:t>
      </w:r>
      <w:r w:rsidRPr="000B1C48">
        <w:t>Proportionate appraisal pathways to align the Australian Technical Advisory Group on Immunisation assessments with the level of risk and complexity of the product</w:t>
      </w:r>
    </w:p>
    <w:p w14:paraId="064E3C99" w14:textId="77777777" w:rsidR="00943763" w:rsidRPr="008D7B0F" w:rsidRDefault="00943763" w:rsidP="008D39A2">
      <w:pPr>
        <w:pStyle w:val="ListParagraph"/>
        <w:numPr>
          <w:ilvl w:val="1"/>
          <w:numId w:val="7"/>
        </w:numPr>
      </w:pPr>
      <w:r>
        <w:t xml:space="preserve">Recommendation 14. Improving time to access </w:t>
      </w:r>
      <w:r w:rsidRPr="008D7B0F">
        <w:t>life-saving drugs for patients with ultra-rare diseases (Life Saving Drugs Program)</w:t>
      </w:r>
      <w:r>
        <w:t>.</w:t>
      </w:r>
    </w:p>
    <w:p w14:paraId="0277639F" w14:textId="77777777" w:rsidR="00943763" w:rsidRPr="002724B9" w:rsidRDefault="00943763" w:rsidP="00484B58">
      <w:pPr>
        <w:pStyle w:val="Recommendation1"/>
      </w:pPr>
      <w:bookmarkStart w:id="7" w:name="_Hlk164287437"/>
      <w:r w:rsidRPr="002724B9">
        <w:t>Triaging submissions</w:t>
      </w:r>
    </w:p>
    <w:bookmarkEnd w:id="7"/>
    <w:p w14:paraId="39357A6B" w14:textId="77777777" w:rsidR="00943763" w:rsidRPr="00824739" w:rsidRDefault="00943763" w:rsidP="009216D3">
      <w:pPr>
        <w:rPr>
          <w:rFonts w:eastAsia="Calibri"/>
        </w:rPr>
      </w:pPr>
      <w:r w:rsidRPr="006624B4">
        <w:t xml:space="preserve">The Review recommends </w:t>
      </w:r>
      <w:r>
        <w:t xml:space="preserve">that </w:t>
      </w:r>
      <w:r w:rsidRPr="006624B4">
        <w:t xml:space="preserve">the Australian Government </w:t>
      </w:r>
      <w:r w:rsidRPr="00D76896">
        <w:t>develop</w:t>
      </w:r>
      <w:r>
        <w:t xml:space="preserve"> processes, in consultation with stakeholders, to</w:t>
      </w:r>
      <w:r w:rsidRPr="00824739">
        <w:t xml:space="preserve"> enable </w:t>
      </w:r>
      <w:r>
        <w:t xml:space="preserve">triaging of </w:t>
      </w:r>
      <w:r w:rsidRPr="00824739">
        <w:t xml:space="preserve">submissions to determine the </w:t>
      </w:r>
      <w:r w:rsidRPr="00C9025A">
        <w:rPr>
          <w:rFonts w:eastAsia="Calibri"/>
        </w:rPr>
        <w:t>appropriate</w:t>
      </w:r>
      <w:r w:rsidRPr="00824739">
        <w:t xml:space="preserve"> evaluation and appraisal mechanisms</w:t>
      </w:r>
      <w:r w:rsidRPr="00D76896">
        <w:t>.</w:t>
      </w:r>
      <w:r w:rsidRPr="00824739">
        <w:t xml:space="preserve"> The process for triaging should include: </w:t>
      </w:r>
    </w:p>
    <w:p w14:paraId="53A6226E" w14:textId="77777777" w:rsidR="00943763" w:rsidRPr="008F16BB" w:rsidRDefault="00943763" w:rsidP="008D39A2">
      <w:pPr>
        <w:pStyle w:val="ListParagraph"/>
        <w:numPr>
          <w:ilvl w:val="0"/>
          <w:numId w:val="5"/>
        </w:numPr>
        <w:rPr>
          <w:rFonts w:eastAsia="Calibri"/>
        </w:rPr>
      </w:pPr>
      <w:r w:rsidRPr="008F16BB">
        <w:rPr>
          <w:rFonts w:eastAsia="Calibri"/>
        </w:rPr>
        <w:t>submitting all HTA applications</w:t>
      </w:r>
      <w:r w:rsidRPr="00824739">
        <w:t xml:space="preserve"> </w:t>
      </w:r>
      <w:r>
        <w:t xml:space="preserve">for </w:t>
      </w:r>
      <w:r w:rsidRPr="00824739">
        <w:t xml:space="preserve">Australian Government </w:t>
      </w:r>
      <w:r>
        <w:t xml:space="preserve">reimbursement </w:t>
      </w:r>
      <w:r w:rsidRPr="00824739">
        <w:t>u</w:t>
      </w:r>
      <w:r>
        <w:t xml:space="preserve">sing </w:t>
      </w:r>
      <w:r w:rsidRPr="00824739">
        <w:t>a ‘single front door’ approach</w:t>
      </w:r>
      <w:r>
        <w:t xml:space="preserve">. </w:t>
      </w:r>
    </w:p>
    <w:p w14:paraId="2783B259" w14:textId="77777777" w:rsidR="00943763" w:rsidRPr="008F16BB" w:rsidRDefault="00943763" w:rsidP="008D39A2">
      <w:pPr>
        <w:pStyle w:val="ListParagraph"/>
        <w:numPr>
          <w:ilvl w:val="0"/>
          <w:numId w:val="5"/>
        </w:numPr>
        <w:rPr>
          <w:rFonts w:eastAsia="Calibri"/>
        </w:rPr>
      </w:pPr>
      <w:r w:rsidRPr="008F16BB">
        <w:rPr>
          <w:rFonts w:eastAsia="Calibri"/>
        </w:rPr>
        <w:t>developing a clear and transparent decision tool, such as a decision tree, to guide sponsors’ nomination, and to triage selection of the most appropriate HTA pathway</w:t>
      </w:r>
    </w:p>
    <w:p w14:paraId="025DD8C0" w14:textId="77777777" w:rsidR="00943763" w:rsidRPr="008F16BB" w:rsidRDefault="00943763" w:rsidP="008D39A2">
      <w:pPr>
        <w:pStyle w:val="ListParagraph"/>
        <w:numPr>
          <w:ilvl w:val="0"/>
          <w:numId w:val="5"/>
        </w:numPr>
        <w:rPr>
          <w:rFonts w:eastAsia="Calibri"/>
        </w:rPr>
      </w:pPr>
      <w:r w:rsidRPr="008F16BB">
        <w:rPr>
          <w:rFonts w:eastAsia="Calibri"/>
        </w:rPr>
        <w:t xml:space="preserve">establishing a triaging committee for example comprising of the chairs and deputy chairs of the Pharmaceutical Benefits Advisory Committee (PBAC), Medical Services Advisory Committee (MSAC), </w:t>
      </w:r>
      <w:r w:rsidRPr="003817EE">
        <w:t>Australian</w:t>
      </w:r>
      <w:r>
        <w:t xml:space="preserve"> Technical Advisory Group on Immunisation (ATAGI)</w:t>
      </w:r>
      <w:r w:rsidRPr="008F16BB" w:rsidDel="003817EE">
        <w:rPr>
          <w:rFonts w:eastAsia="Calibri"/>
        </w:rPr>
        <w:t xml:space="preserve"> </w:t>
      </w:r>
      <w:r w:rsidRPr="008F16BB">
        <w:rPr>
          <w:rFonts w:eastAsia="Calibri"/>
        </w:rPr>
        <w:t xml:space="preserve">and technical sub-committees </w:t>
      </w:r>
    </w:p>
    <w:p w14:paraId="6550FE1D" w14:textId="77777777" w:rsidR="00943763" w:rsidRPr="008F16BB" w:rsidRDefault="00943763" w:rsidP="008D39A2">
      <w:pPr>
        <w:pStyle w:val="ListParagraph"/>
        <w:numPr>
          <w:ilvl w:val="0"/>
          <w:numId w:val="5"/>
        </w:numPr>
        <w:rPr>
          <w:rFonts w:eastAsia="Calibri"/>
        </w:rPr>
      </w:pPr>
      <w:r w:rsidRPr="008F16BB">
        <w:rPr>
          <w:rFonts w:eastAsia="Calibri"/>
        </w:rPr>
        <w:t>allowing sponsors to nominate their preferred or appropriate pathway based on their intended submission</w:t>
      </w:r>
    </w:p>
    <w:p w14:paraId="6F31797F" w14:textId="77777777" w:rsidR="00943763" w:rsidRPr="00C87991" w:rsidRDefault="00943763" w:rsidP="008D39A2">
      <w:pPr>
        <w:pStyle w:val="ListParagraph"/>
        <w:numPr>
          <w:ilvl w:val="0"/>
          <w:numId w:val="5"/>
        </w:numPr>
      </w:pPr>
      <w:r>
        <w:t xml:space="preserve">giving the triaging </w:t>
      </w:r>
      <w:r w:rsidRPr="00C87991">
        <w:t>committee</w:t>
      </w:r>
      <w:r>
        <w:t xml:space="preserve"> responsibility for c</w:t>
      </w:r>
      <w:r w:rsidRPr="00C87991">
        <w:t>onsidering the submission’s product type, risk, complexity, potential benefit and</w:t>
      </w:r>
      <w:r>
        <w:t xml:space="preserve"> the sponsors</w:t>
      </w:r>
      <w:r w:rsidRPr="00C87991">
        <w:t xml:space="preserve"> nominated pathway to confirm an appropriate and proportionate:</w:t>
      </w:r>
    </w:p>
    <w:p w14:paraId="580F019C" w14:textId="77777777" w:rsidR="00943763" w:rsidRPr="00C87991" w:rsidRDefault="00943763" w:rsidP="008D39A2">
      <w:pPr>
        <w:pStyle w:val="ListParagraph"/>
        <w:numPr>
          <w:ilvl w:val="1"/>
          <w:numId w:val="5"/>
        </w:numPr>
      </w:pPr>
      <w:r>
        <w:t xml:space="preserve">health technology funding and assessment </w:t>
      </w:r>
      <w:r w:rsidRPr="00C87991">
        <w:t xml:space="preserve">pathway </w:t>
      </w:r>
    </w:p>
    <w:p w14:paraId="52BD9CE8" w14:textId="77777777" w:rsidR="00943763" w:rsidRPr="00C87991" w:rsidRDefault="00943763" w:rsidP="008D39A2">
      <w:pPr>
        <w:pStyle w:val="ListParagraph"/>
        <w:numPr>
          <w:ilvl w:val="1"/>
          <w:numId w:val="5"/>
        </w:numPr>
      </w:pPr>
      <w:r w:rsidRPr="00C87991">
        <w:t xml:space="preserve">HTA </w:t>
      </w:r>
      <w:r>
        <w:t xml:space="preserve">advisory </w:t>
      </w:r>
      <w:r w:rsidRPr="00C87991">
        <w:t xml:space="preserve">committee and technical sub-committees </w:t>
      </w:r>
    </w:p>
    <w:p w14:paraId="4F3944F3" w14:textId="77777777" w:rsidR="00943763" w:rsidRPr="00C87991" w:rsidRDefault="00943763" w:rsidP="008D39A2">
      <w:pPr>
        <w:pStyle w:val="ListParagraph"/>
        <w:numPr>
          <w:ilvl w:val="1"/>
          <w:numId w:val="5"/>
        </w:numPr>
      </w:pPr>
      <w:r w:rsidRPr="008C6DAF">
        <w:t>Population, Intervention, Comparator, and Outcome (PICO)</w:t>
      </w:r>
      <w:r>
        <w:t xml:space="preserve"> </w:t>
      </w:r>
      <w:r w:rsidRPr="00C87991">
        <w:t>scoping and engagement approach</w:t>
      </w:r>
    </w:p>
    <w:p w14:paraId="04AF17C3" w14:textId="5ECA1684" w:rsidR="00943763" w:rsidRPr="006D1649" w:rsidRDefault="00943763" w:rsidP="008F16BB">
      <w:pPr>
        <w:pStyle w:val="ListParagraph"/>
        <w:numPr>
          <w:ilvl w:val="1"/>
          <w:numId w:val="5"/>
        </w:numPr>
      </w:pPr>
      <w:r w:rsidRPr="00C87991">
        <w:t>HTA meeting date.</w:t>
      </w:r>
    </w:p>
    <w:p w14:paraId="4C2F4837" w14:textId="77777777" w:rsidR="00943763" w:rsidRPr="00C87991" w:rsidRDefault="00943763" w:rsidP="009216D3">
      <w:r w:rsidRPr="00F71249">
        <w:t>The triaging processes should facilitate ‘Recommendation 3.</w:t>
      </w:r>
      <w:r>
        <w:t xml:space="preserve"> Overarching recommendations for all health technology finding and assessment processes and pathways</w:t>
      </w:r>
      <w:r w:rsidRPr="00F71249">
        <w:t xml:space="preserve">’ and ‘Recommendation 4. Unified HTA pathway and committee approach for all Australian Government funding of health </w:t>
      </w:r>
      <w:proofErr w:type="gramStart"/>
      <w:r w:rsidRPr="00F71249">
        <w:t>technologies’</w:t>
      </w:r>
      <w:proofErr w:type="gramEnd"/>
      <w:r w:rsidRPr="00F71249">
        <w:t>.</w:t>
      </w:r>
    </w:p>
    <w:p w14:paraId="4CF23E8C" w14:textId="77777777" w:rsidR="00943763" w:rsidRPr="002724B9" w:rsidRDefault="00943763" w:rsidP="00484B58">
      <w:pPr>
        <w:pStyle w:val="Recommendation1"/>
      </w:pPr>
      <w:bookmarkStart w:id="8" w:name="_Hlk167301628"/>
      <w:r w:rsidRPr="002724B9">
        <w:lastRenderedPageBreak/>
        <w:t>Expand</w:t>
      </w:r>
      <w:r>
        <w:t>ing</w:t>
      </w:r>
      <w:r w:rsidRPr="002724B9">
        <w:t xml:space="preserve"> the </w:t>
      </w:r>
      <w:r w:rsidRPr="005B4965">
        <w:t>advisory</w:t>
      </w:r>
      <w:r w:rsidRPr="002724B9">
        <w:t xml:space="preserve"> role of the </w:t>
      </w:r>
      <w:r w:rsidRPr="00FE6A94">
        <w:t>Pharmaceutical Benefits Advisory Committee</w:t>
      </w:r>
      <w:r>
        <w:t xml:space="preserve"> </w:t>
      </w:r>
      <w:r w:rsidRPr="002724B9">
        <w:t xml:space="preserve">beyond </w:t>
      </w:r>
      <w:r>
        <w:t xml:space="preserve">the </w:t>
      </w:r>
      <w:r w:rsidRPr="002724B9">
        <w:t>P</w:t>
      </w:r>
      <w:r>
        <w:t xml:space="preserve">harmaceutical </w:t>
      </w:r>
      <w:r w:rsidRPr="002724B9">
        <w:t>B</w:t>
      </w:r>
      <w:r>
        <w:t xml:space="preserve">enefits </w:t>
      </w:r>
      <w:r w:rsidRPr="002724B9">
        <w:t>S</w:t>
      </w:r>
      <w:r>
        <w:t xml:space="preserve">cheme </w:t>
      </w:r>
    </w:p>
    <w:bookmarkEnd w:id="8"/>
    <w:p w14:paraId="04564F2A" w14:textId="77777777" w:rsidR="00943763" w:rsidRPr="00824739" w:rsidRDefault="00943763" w:rsidP="009216D3">
      <w:r w:rsidRPr="007864C9">
        <w:t>The Review recommends</w:t>
      </w:r>
      <w:r>
        <w:t xml:space="preserve"> that</w:t>
      </w:r>
      <w:r w:rsidRPr="007864C9">
        <w:t xml:space="preserve"> the Australian Government</w:t>
      </w:r>
      <w:r>
        <w:t xml:space="preserve">, as a stage in the development of a unified </w:t>
      </w:r>
      <w:r w:rsidRPr="008C6DAF">
        <w:t>HTA</w:t>
      </w:r>
      <w:r>
        <w:t xml:space="preserve"> pathway (see ‘</w:t>
      </w:r>
      <w:r>
        <w:fldChar w:fldCharType="begin" w:fldLock="1"/>
      </w:r>
      <w:r>
        <w:instrText xml:space="preserve"> REF _Ref166785329 \r \h </w:instrText>
      </w:r>
      <w:r>
        <w:fldChar w:fldCharType="separate"/>
      </w:r>
      <w:r>
        <w:t>Recommendation 4</w:t>
      </w:r>
      <w:r>
        <w:fldChar w:fldCharType="end"/>
      </w:r>
      <w:r>
        <w:t>.</w:t>
      </w:r>
      <w:r w:rsidRPr="00AE3CEE">
        <w:rPr>
          <w:i/>
        </w:rPr>
        <w:t xml:space="preserve"> </w:t>
      </w:r>
      <w:r w:rsidRPr="000C5623">
        <w:rPr>
          <w:iCs/>
        </w:rPr>
        <w:t xml:space="preserve">Unified HTA pathway and committee approach for all Australian </w:t>
      </w:r>
      <w:r>
        <w:rPr>
          <w:iCs/>
        </w:rPr>
        <w:t>G</w:t>
      </w:r>
      <w:r w:rsidRPr="000C5623">
        <w:rPr>
          <w:iCs/>
        </w:rPr>
        <w:t>overnment funding of health technologies’</w:t>
      </w:r>
      <w:r>
        <w:t>), e</w:t>
      </w:r>
      <w:r w:rsidRPr="00824739">
        <w:t xml:space="preserve">xpand the advisory role of the </w:t>
      </w:r>
      <w:r w:rsidRPr="00F63F32">
        <w:t>Pharmaceutical Benefits Advisory Committee</w:t>
      </w:r>
      <w:r>
        <w:t xml:space="preserve"> (PBAC)</w:t>
      </w:r>
      <w:r w:rsidRPr="00F63F32">
        <w:t xml:space="preserve"> </w:t>
      </w:r>
      <w:r w:rsidRPr="00824739">
        <w:t>to enable it to make HTA recommendation</w:t>
      </w:r>
      <w:r>
        <w:t>s</w:t>
      </w:r>
      <w:r w:rsidRPr="00824739">
        <w:t xml:space="preserve"> to the Minister for Health and Aged Care for a broader range of health technologies across different funding and subsidy programs. This</w:t>
      </w:r>
      <w:r>
        <w:t xml:space="preserve"> could</w:t>
      </w:r>
      <w:r w:rsidRPr="00824739">
        <w:t xml:space="preserve"> include</w:t>
      </w:r>
      <w:r>
        <w:t>:</w:t>
      </w:r>
    </w:p>
    <w:p w14:paraId="7E27AA9D" w14:textId="31A73407" w:rsidR="00943763" w:rsidRDefault="00943763" w:rsidP="008D39A2">
      <w:pPr>
        <w:pStyle w:val="ListParagraph"/>
        <w:numPr>
          <w:ilvl w:val="0"/>
          <w:numId w:val="6"/>
        </w:numPr>
      </w:pPr>
      <w:r>
        <w:t>medicines for inclusion on the Life Saving Drugs Program (see ‘</w:t>
      </w:r>
      <w:r>
        <w:fldChar w:fldCharType="begin" w:fldLock="1"/>
      </w:r>
      <w:r>
        <w:instrText xml:space="preserve"> REF _Ref166784680 \r \h </w:instrText>
      </w:r>
      <w:r>
        <w:fldChar w:fldCharType="separate"/>
      </w:r>
      <w:r>
        <w:t>Recommendation 14</w:t>
      </w:r>
      <w:r>
        <w:fldChar w:fldCharType="end"/>
      </w:r>
      <w:r>
        <w:t>.</w:t>
      </w:r>
      <w:r w:rsidRPr="00CA7DA9">
        <w:t xml:space="preserve"> </w:t>
      </w:r>
      <w:r w:rsidRPr="000C5623">
        <w:t>Improving time to access life-saving drugs for patients with ultra-rare diseases</w:t>
      </w:r>
      <w:r w:rsidR="004B0DBD">
        <w:t xml:space="preserve"> (Life Saving Drugs Program)</w:t>
      </w:r>
      <w:r>
        <w:t xml:space="preserve">’) </w:t>
      </w:r>
    </w:p>
    <w:p w14:paraId="52C93741" w14:textId="77777777" w:rsidR="00943763" w:rsidRDefault="00943763" w:rsidP="008D39A2">
      <w:pPr>
        <w:pStyle w:val="ListParagraph"/>
        <w:numPr>
          <w:ilvl w:val="0"/>
          <w:numId w:val="6"/>
        </w:numPr>
      </w:pPr>
      <w:r>
        <w:t>c</w:t>
      </w:r>
      <w:r w:rsidRPr="00D97616">
        <w:t>o</w:t>
      </w:r>
      <w:r>
        <w:t>-</w:t>
      </w:r>
      <w:r w:rsidRPr="00D97616">
        <w:t>depend</w:t>
      </w:r>
      <w:r>
        <w:t>e</w:t>
      </w:r>
      <w:r w:rsidRPr="00D97616">
        <w:t xml:space="preserve">nt health technologies funded through the </w:t>
      </w:r>
      <w:r w:rsidRPr="00027836">
        <w:t>Medicare Benefits Schedule</w:t>
      </w:r>
      <w:r>
        <w:t xml:space="preserve"> (MBS)</w:t>
      </w:r>
      <w:r w:rsidRPr="00027836">
        <w:t xml:space="preserve"> </w:t>
      </w:r>
      <w:r w:rsidRPr="00D97616">
        <w:t xml:space="preserve">and </w:t>
      </w:r>
      <w:r w:rsidRPr="00027836">
        <w:t>Pharmaceutical Benefits Scheme</w:t>
      </w:r>
      <w:r>
        <w:t xml:space="preserve"> (PBS)</w:t>
      </w:r>
    </w:p>
    <w:p w14:paraId="0C5999F3" w14:textId="0D6B7BE9" w:rsidR="00943763" w:rsidRDefault="00943763" w:rsidP="008D39A2">
      <w:pPr>
        <w:pStyle w:val="ListParagraph"/>
        <w:numPr>
          <w:ilvl w:val="0"/>
          <w:numId w:val="6"/>
        </w:numPr>
      </w:pPr>
      <w:r>
        <w:t>Highly specialised therapies</w:t>
      </w:r>
      <w:r w:rsidRPr="00824739">
        <w:t xml:space="preserve"> funded through the </w:t>
      </w:r>
      <w:r>
        <w:t xml:space="preserve">2020–25 Addendum to the </w:t>
      </w:r>
      <w:r w:rsidRPr="00824739">
        <w:t>National Health Reform Agreement</w:t>
      </w:r>
      <w:r w:rsidR="004512BD">
        <w:t xml:space="preserve"> (NHRA)</w:t>
      </w:r>
      <w:r>
        <w:t xml:space="preserve">. </w:t>
      </w:r>
    </w:p>
    <w:p w14:paraId="6EB4E428" w14:textId="77777777" w:rsidR="00141937" w:rsidRPr="002724B9" w:rsidRDefault="00141937" w:rsidP="00484B58">
      <w:pPr>
        <w:pStyle w:val="Recommendation1"/>
      </w:pPr>
      <w:bookmarkStart w:id="9" w:name="_Hlk167301674"/>
      <w:r w:rsidRPr="002724B9">
        <w:t>Streamlined pathway for submissions using cost-</w:t>
      </w:r>
      <w:proofErr w:type="spellStart"/>
      <w:r w:rsidRPr="002724B9">
        <w:t>minimisation</w:t>
      </w:r>
      <w:proofErr w:type="spellEnd"/>
      <w:r w:rsidRPr="002724B9">
        <w:t xml:space="preserve"> analysis </w:t>
      </w:r>
      <w:bookmarkStart w:id="10" w:name="_Hlk164109798"/>
    </w:p>
    <w:bookmarkEnd w:id="9"/>
    <w:bookmarkEnd w:id="10"/>
    <w:p w14:paraId="2CA1BE34" w14:textId="77777777" w:rsidR="00141937" w:rsidRPr="009B7634" w:rsidRDefault="00141937" w:rsidP="0071637D">
      <w:r w:rsidRPr="009B7634">
        <w:t xml:space="preserve">The Review </w:t>
      </w:r>
      <w:r>
        <w:t>recommends:</w:t>
      </w:r>
    </w:p>
    <w:p w14:paraId="540AAB7A" w14:textId="77777777" w:rsidR="00141937" w:rsidRDefault="00141937" w:rsidP="00F20014">
      <w:pPr>
        <w:pStyle w:val="ListParagraph"/>
        <w:numPr>
          <w:ilvl w:val="0"/>
          <w:numId w:val="41"/>
        </w:numPr>
      </w:pPr>
      <w:r>
        <w:t>t</w:t>
      </w:r>
      <w:r w:rsidRPr="006F40B5">
        <w:t xml:space="preserve">he </w:t>
      </w:r>
      <w:r>
        <w:t>Australian Government</w:t>
      </w:r>
      <w:r w:rsidRPr="006F40B5">
        <w:t xml:space="preserve">, in consultation with stakeholders, </w:t>
      </w:r>
      <w:r>
        <w:t xml:space="preserve">develop and implement </w:t>
      </w:r>
      <w:r w:rsidRPr="000F0452">
        <w:t>a streamlined appraisal pathway for submissions using cost-minimisation analysis</w:t>
      </w:r>
      <w:r>
        <w:t xml:space="preserve">. This pathway should include: </w:t>
      </w:r>
    </w:p>
    <w:p w14:paraId="38615850" w14:textId="77777777" w:rsidR="00141937" w:rsidRPr="00BB4DA2" w:rsidRDefault="00141937" w:rsidP="00F20014">
      <w:pPr>
        <w:pStyle w:val="ListParagraph"/>
        <w:numPr>
          <w:ilvl w:val="1"/>
          <w:numId w:val="41"/>
        </w:numPr>
      </w:pPr>
      <w:r w:rsidRPr="00BB4DA2">
        <w:t>developing criteria for therapies to be eligible for a streamlined pathway for submissions using cost-minimisation analysis</w:t>
      </w:r>
    </w:p>
    <w:p w14:paraId="0985CB9C" w14:textId="77777777" w:rsidR="00141937" w:rsidRPr="00BB4DA2" w:rsidRDefault="00141937" w:rsidP="00F20014">
      <w:pPr>
        <w:pStyle w:val="ListParagraph"/>
        <w:numPr>
          <w:ilvl w:val="1"/>
          <w:numId w:val="41"/>
        </w:numPr>
      </w:pPr>
      <w:r w:rsidRPr="00BB4DA2">
        <w:t>using an abbreviated evaluation for submissions for therapies that meet the criteria, and fast-tracking them to the price agreement stage after consideration by the Pharmaceutical Benefits Advisory Committee (PBAC)/PBAC Executive (or similar)</w:t>
      </w:r>
    </w:p>
    <w:p w14:paraId="6CE0CB47" w14:textId="147D5552" w:rsidR="00141937" w:rsidRPr="00BB4DA2" w:rsidRDefault="00141937" w:rsidP="00F20014">
      <w:pPr>
        <w:pStyle w:val="ListParagraph"/>
        <w:numPr>
          <w:ilvl w:val="1"/>
          <w:numId w:val="41"/>
        </w:numPr>
      </w:pPr>
      <w:r w:rsidRPr="00BB4DA2">
        <w:t>for submissions that do not meet the developed criteria, granting the PBAC Executive the ability to nominate for the submission to be considered without change by the PBAC or in the next cycle, to allow the sponsor time to address issues raised, noting the sponsor would have the discretion to withdraw their submission</w:t>
      </w:r>
      <w:r w:rsidR="00796D12">
        <w:t>.</w:t>
      </w:r>
    </w:p>
    <w:p w14:paraId="06E3580F" w14:textId="77777777" w:rsidR="00141937" w:rsidRPr="00824739" w:rsidRDefault="00141937" w:rsidP="00F20014">
      <w:pPr>
        <w:pStyle w:val="ListParagraph"/>
        <w:numPr>
          <w:ilvl w:val="0"/>
          <w:numId w:val="41"/>
        </w:numPr>
        <w:rPr>
          <w:rFonts w:cs="Segoe UI"/>
        </w:rPr>
      </w:pPr>
      <w:r>
        <w:rPr>
          <w:rFonts w:cs="Segoe UI"/>
        </w:rPr>
        <w:t>i</w:t>
      </w:r>
      <w:r w:rsidRPr="00824739">
        <w:rPr>
          <w:rFonts w:cs="Segoe UI"/>
        </w:rPr>
        <w:t xml:space="preserve">ndustry </w:t>
      </w:r>
      <w:r>
        <w:rPr>
          <w:rFonts w:cs="Segoe UI"/>
        </w:rPr>
        <w:t>examines the feasibility</w:t>
      </w:r>
      <w:r w:rsidRPr="00824739">
        <w:rPr>
          <w:rFonts w:cs="Segoe UI"/>
        </w:rPr>
        <w:t xml:space="preserve"> and </w:t>
      </w:r>
      <w:r w:rsidRPr="00BB4DA2">
        <w:t>constraints</w:t>
      </w:r>
      <w:r w:rsidRPr="00824739">
        <w:rPr>
          <w:rFonts w:cs="Segoe UI"/>
        </w:rPr>
        <w:t xml:space="preserve">, in consultation with relevant stakeholders, </w:t>
      </w:r>
      <w:r>
        <w:rPr>
          <w:rFonts w:cs="Segoe UI"/>
        </w:rPr>
        <w:t>of sharing</w:t>
      </w:r>
      <w:r w:rsidRPr="00824739">
        <w:rPr>
          <w:rFonts w:cs="Segoe UI"/>
        </w:rPr>
        <w:t xml:space="preserve"> information </w:t>
      </w:r>
      <w:r>
        <w:rPr>
          <w:rFonts w:cs="Segoe UI"/>
        </w:rPr>
        <w:t>about</w:t>
      </w:r>
      <w:r w:rsidRPr="00824739">
        <w:rPr>
          <w:rFonts w:cs="Segoe UI"/>
        </w:rPr>
        <w:t xml:space="preserve"> the </w:t>
      </w:r>
      <w:r>
        <w:rPr>
          <w:rFonts w:cs="Segoe UI"/>
        </w:rPr>
        <w:t xml:space="preserve">effective </w:t>
      </w:r>
      <w:r w:rsidRPr="00824739">
        <w:rPr>
          <w:rFonts w:cs="Segoe UI"/>
        </w:rPr>
        <w:t>price of the comparator</w:t>
      </w:r>
      <w:r>
        <w:rPr>
          <w:rFonts w:cs="Segoe UI"/>
        </w:rPr>
        <w:t xml:space="preserve"> </w:t>
      </w:r>
      <w:r>
        <w:rPr>
          <w:rFonts w:cs="Segoe UI"/>
        </w:rPr>
        <w:lastRenderedPageBreak/>
        <w:t>for</w:t>
      </w:r>
      <w:r w:rsidRPr="00824739">
        <w:rPr>
          <w:rFonts w:cs="Segoe UI"/>
        </w:rPr>
        <w:t xml:space="preserve"> cost</w:t>
      </w:r>
      <w:r>
        <w:rPr>
          <w:rFonts w:cs="Segoe UI"/>
        </w:rPr>
        <w:t xml:space="preserve">-minimisation submissions </w:t>
      </w:r>
      <w:r w:rsidRPr="00824739">
        <w:rPr>
          <w:rFonts w:cs="Segoe UI"/>
        </w:rPr>
        <w:t xml:space="preserve">with the </w:t>
      </w:r>
      <w:r>
        <w:rPr>
          <w:rFonts w:cs="Segoe UI"/>
        </w:rPr>
        <w:t xml:space="preserve">applicant </w:t>
      </w:r>
      <w:r w:rsidRPr="00824739">
        <w:rPr>
          <w:rFonts w:cs="Segoe UI"/>
        </w:rPr>
        <w:t xml:space="preserve">sponsor </w:t>
      </w:r>
      <w:r>
        <w:rPr>
          <w:rFonts w:cs="Segoe UI"/>
        </w:rPr>
        <w:t>before the</w:t>
      </w:r>
      <w:r w:rsidRPr="00824739">
        <w:rPr>
          <w:rFonts w:cs="Segoe UI"/>
        </w:rPr>
        <w:t xml:space="preserve"> </w:t>
      </w:r>
      <w:r w:rsidRPr="00E4651B">
        <w:rPr>
          <w:rFonts w:cs="Segoe UI"/>
        </w:rPr>
        <w:t>HTA</w:t>
      </w:r>
      <w:r>
        <w:rPr>
          <w:rFonts w:cs="Segoe UI"/>
        </w:rPr>
        <w:t xml:space="preserve"> advisory </w:t>
      </w:r>
      <w:r w:rsidRPr="00824739">
        <w:rPr>
          <w:rFonts w:cs="Segoe UI"/>
        </w:rPr>
        <w:t>committee consider</w:t>
      </w:r>
      <w:r>
        <w:rPr>
          <w:rFonts w:cs="Segoe UI"/>
        </w:rPr>
        <w:t>s it</w:t>
      </w:r>
      <w:r w:rsidRPr="00824739">
        <w:rPr>
          <w:rFonts w:cs="Segoe UI"/>
        </w:rPr>
        <w:t xml:space="preserve">. </w:t>
      </w:r>
    </w:p>
    <w:p w14:paraId="5AB5F544" w14:textId="77777777" w:rsidR="00141937" w:rsidRPr="005E5E5F" w:rsidRDefault="00141937" w:rsidP="00484B58">
      <w:pPr>
        <w:pStyle w:val="Recommendation1"/>
      </w:pPr>
      <w:bookmarkStart w:id="11" w:name="_Ref166787239"/>
      <w:bookmarkStart w:id="12" w:name="_Hlk167301687"/>
      <w:r>
        <w:t>Improve the pathways and processes for listing t</w:t>
      </w:r>
      <w:r w:rsidRPr="005E5E5F">
        <w:t xml:space="preserve">herapies with high added therapeutic value in areas of unmet clinical need </w:t>
      </w:r>
      <w:r>
        <w:t>on the</w:t>
      </w:r>
      <w:r w:rsidRPr="005E5E5F">
        <w:t xml:space="preserve"> P</w:t>
      </w:r>
      <w:r>
        <w:t xml:space="preserve">harmaceutical </w:t>
      </w:r>
      <w:r w:rsidRPr="005E5E5F">
        <w:t>B</w:t>
      </w:r>
      <w:r>
        <w:t xml:space="preserve">enefits </w:t>
      </w:r>
      <w:r w:rsidRPr="005E5E5F">
        <w:t>S</w:t>
      </w:r>
      <w:r>
        <w:t>cheme</w:t>
      </w:r>
      <w:bookmarkEnd w:id="11"/>
    </w:p>
    <w:bookmarkEnd w:id="12"/>
    <w:p w14:paraId="118F05ED" w14:textId="77777777" w:rsidR="00141937" w:rsidRDefault="00141937" w:rsidP="00141937">
      <w:r>
        <w:t xml:space="preserve">The Review recommends: </w:t>
      </w:r>
    </w:p>
    <w:p w14:paraId="36E30EDE" w14:textId="77777777" w:rsidR="00141937" w:rsidRPr="00824739" w:rsidRDefault="00141937" w:rsidP="00F20014">
      <w:pPr>
        <w:pStyle w:val="ListParagraph"/>
        <w:numPr>
          <w:ilvl w:val="0"/>
          <w:numId w:val="43"/>
        </w:numPr>
        <w:rPr>
          <w:rFonts w:cs="Segoe UI"/>
        </w:rPr>
      </w:pPr>
      <w:r>
        <w:rPr>
          <w:rFonts w:cs="Segoe UI"/>
        </w:rPr>
        <w:t>the Australian Government, in consultation with stakeholders, enhance</w:t>
      </w:r>
      <w:r w:rsidRPr="00824739">
        <w:rPr>
          <w:rFonts w:cs="Segoe UI"/>
        </w:rPr>
        <w:t xml:space="preserve"> or replace the early resolution and</w:t>
      </w:r>
      <w:r>
        <w:rPr>
          <w:rFonts w:cs="Segoe UI"/>
        </w:rPr>
        <w:t>/</w:t>
      </w:r>
      <w:r w:rsidRPr="00824739">
        <w:rPr>
          <w:rFonts w:cs="Segoe UI"/>
        </w:rPr>
        <w:t xml:space="preserve">or facilitated resolution pathway </w:t>
      </w:r>
      <w:r>
        <w:rPr>
          <w:rFonts w:cs="Segoe UI"/>
        </w:rPr>
        <w:t>with</w:t>
      </w:r>
      <w:r w:rsidRPr="00824739">
        <w:rPr>
          <w:rFonts w:cs="Segoe UI"/>
        </w:rPr>
        <w:t xml:space="preserve"> a more flexible pathway. The new pathway should support sponsors of therapies with </w:t>
      </w:r>
      <w:r>
        <w:rPr>
          <w:rFonts w:cs="Segoe UI"/>
        </w:rPr>
        <w:t>high added therapeutic value</w:t>
      </w:r>
      <w:r w:rsidRPr="00824739" w:rsidDel="00CD465F">
        <w:rPr>
          <w:rFonts w:cs="Segoe UI"/>
        </w:rPr>
        <w:t xml:space="preserve"> </w:t>
      </w:r>
      <w:r>
        <w:rPr>
          <w:rFonts w:cs="Segoe UI"/>
        </w:rPr>
        <w:t xml:space="preserve">in areas of high unmet clinical (HUCN) need </w:t>
      </w:r>
      <w:r w:rsidRPr="00824739">
        <w:rPr>
          <w:rFonts w:cs="Segoe UI"/>
        </w:rPr>
        <w:t>to improve the quality of their resubmission</w:t>
      </w:r>
      <w:r>
        <w:rPr>
          <w:rFonts w:cs="Segoe UI"/>
        </w:rPr>
        <w:t>s.</w:t>
      </w:r>
      <w:r w:rsidRPr="00824739">
        <w:rPr>
          <w:rFonts w:cs="Segoe UI"/>
        </w:rPr>
        <w:t xml:space="preserve"> </w:t>
      </w:r>
      <w:r>
        <w:rPr>
          <w:rFonts w:cs="Segoe UI"/>
        </w:rPr>
        <w:t>The HTA advisory committee</w:t>
      </w:r>
      <w:r w:rsidRPr="00824739">
        <w:rPr>
          <w:rFonts w:cs="Segoe UI"/>
        </w:rPr>
        <w:t xml:space="preserve"> </w:t>
      </w:r>
      <w:r>
        <w:rPr>
          <w:rFonts w:cs="Segoe UI"/>
        </w:rPr>
        <w:t>should also be</w:t>
      </w:r>
      <w:r w:rsidRPr="00824739" w:rsidDel="005E5E5F">
        <w:rPr>
          <w:rFonts w:cs="Segoe UI"/>
        </w:rPr>
        <w:t xml:space="preserve"> </w:t>
      </w:r>
      <w:r w:rsidRPr="00824739">
        <w:rPr>
          <w:rFonts w:cs="Segoe UI"/>
        </w:rPr>
        <w:t>give</w:t>
      </w:r>
      <w:r>
        <w:rPr>
          <w:rFonts w:cs="Segoe UI"/>
        </w:rPr>
        <w:t>n</w:t>
      </w:r>
      <w:r w:rsidRPr="00824739">
        <w:rPr>
          <w:rFonts w:cs="Segoe UI"/>
        </w:rPr>
        <w:t xml:space="preserve"> more time </w:t>
      </w:r>
      <w:r>
        <w:rPr>
          <w:rFonts w:cs="Segoe UI"/>
        </w:rPr>
        <w:t>to consider</w:t>
      </w:r>
      <w:r w:rsidRPr="00824739">
        <w:rPr>
          <w:rFonts w:cs="Segoe UI"/>
        </w:rPr>
        <w:t xml:space="preserve"> submission</w:t>
      </w:r>
      <w:r>
        <w:rPr>
          <w:rFonts w:cs="Segoe UI"/>
        </w:rPr>
        <w:t>s</w:t>
      </w:r>
      <w:r w:rsidRPr="00824739">
        <w:rPr>
          <w:rFonts w:cs="Segoe UI"/>
        </w:rPr>
        <w:t xml:space="preserve">. This pathway should be proportionate, </w:t>
      </w:r>
      <w:r>
        <w:rPr>
          <w:rFonts w:cs="Segoe UI"/>
        </w:rPr>
        <w:t>and</w:t>
      </w:r>
      <w:r w:rsidRPr="00824739">
        <w:rPr>
          <w:rFonts w:cs="Segoe UI"/>
        </w:rPr>
        <w:t xml:space="preserve"> the level of facilitation </w:t>
      </w:r>
      <w:r>
        <w:rPr>
          <w:rFonts w:cs="Segoe UI"/>
        </w:rPr>
        <w:t xml:space="preserve">should be </w:t>
      </w:r>
      <w:r w:rsidRPr="00824739">
        <w:rPr>
          <w:rFonts w:cs="Segoe UI"/>
        </w:rPr>
        <w:t xml:space="preserve">commensurate </w:t>
      </w:r>
      <w:r>
        <w:rPr>
          <w:rFonts w:cs="Segoe UI"/>
        </w:rPr>
        <w:t>with</w:t>
      </w:r>
      <w:r w:rsidRPr="00824739">
        <w:rPr>
          <w:rFonts w:cs="Segoe UI"/>
        </w:rPr>
        <w:t xml:space="preserve"> the level of complexity and added therapeutic value of the submission. </w:t>
      </w:r>
      <w:r>
        <w:rPr>
          <w:rFonts w:cs="Segoe UI"/>
        </w:rPr>
        <w:t>Enhancements should</w:t>
      </w:r>
      <w:r w:rsidRPr="00824739">
        <w:rPr>
          <w:rFonts w:cs="Segoe UI"/>
        </w:rPr>
        <w:t xml:space="preserve"> include: </w:t>
      </w:r>
    </w:p>
    <w:p w14:paraId="3FBE3636" w14:textId="77777777" w:rsidR="00141937" w:rsidRPr="00824739" w:rsidRDefault="00141937" w:rsidP="00F20014">
      <w:pPr>
        <w:pStyle w:val="ListParagraph"/>
        <w:numPr>
          <w:ilvl w:val="1"/>
          <w:numId w:val="43"/>
        </w:numPr>
        <w:rPr>
          <w:rFonts w:cs="Segoe UI"/>
        </w:rPr>
      </w:pPr>
      <w:r>
        <w:rPr>
          <w:rFonts w:cs="Segoe UI"/>
        </w:rPr>
        <w:t>g</w:t>
      </w:r>
      <w:r w:rsidRPr="00824739">
        <w:rPr>
          <w:rFonts w:cs="Segoe UI"/>
        </w:rPr>
        <w:t xml:space="preserve">reater flexibility </w:t>
      </w:r>
      <w:r>
        <w:rPr>
          <w:rFonts w:cs="Segoe UI"/>
        </w:rPr>
        <w:t>in</w:t>
      </w:r>
      <w:r w:rsidRPr="00824739">
        <w:rPr>
          <w:rFonts w:cs="Segoe UI"/>
        </w:rPr>
        <w:t xml:space="preserve"> the</w:t>
      </w:r>
      <w:r>
        <w:rPr>
          <w:rFonts w:cs="Segoe UI"/>
        </w:rPr>
        <w:t xml:space="preserve"> amount of</w:t>
      </w:r>
      <w:r w:rsidRPr="00824739">
        <w:rPr>
          <w:rFonts w:cs="Segoe UI"/>
        </w:rPr>
        <w:t xml:space="preserve"> time for resubmission tha</w:t>
      </w:r>
      <w:r>
        <w:rPr>
          <w:rFonts w:cs="Segoe UI"/>
        </w:rPr>
        <w:t>n</w:t>
      </w:r>
      <w:r w:rsidRPr="00824739">
        <w:rPr>
          <w:rFonts w:cs="Segoe UI"/>
        </w:rPr>
        <w:t xml:space="preserve"> the current</w:t>
      </w:r>
      <w:r>
        <w:rPr>
          <w:rFonts w:cs="Segoe UI"/>
        </w:rPr>
        <w:t xml:space="preserve"> maximum of 19 weeks for the</w:t>
      </w:r>
      <w:r w:rsidRPr="00824739">
        <w:rPr>
          <w:rFonts w:cs="Segoe UI"/>
        </w:rPr>
        <w:t xml:space="preserve"> facilitated and</w:t>
      </w:r>
      <w:r>
        <w:rPr>
          <w:rFonts w:cs="Segoe UI"/>
        </w:rPr>
        <w:t>/or</w:t>
      </w:r>
      <w:r w:rsidRPr="00824739">
        <w:rPr>
          <w:rFonts w:cs="Segoe UI"/>
        </w:rPr>
        <w:t xml:space="preserve"> early resolution pathways, </w:t>
      </w:r>
      <w:r>
        <w:rPr>
          <w:rFonts w:cs="Segoe UI"/>
        </w:rPr>
        <w:t>with the amount of time</w:t>
      </w:r>
      <w:r w:rsidRPr="00824739" w:rsidDel="00E1511D">
        <w:rPr>
          <w:rFonts w:cs="Segoe UI"/>
        </w:rPr>
        <w:t xml:space="preserve"> </w:t>
      </w:r>
      <w:r w:rsidRPr="00824739">
        <w:rPr>
          <w:rFonts w:cs="Segoe UI"/>
        </w:rPr>
        <w:t xml:space="preserve">determined by the HTA </w:t>
      </w:r>
      <w:r>
        <w:rPr>
          <w:rFonts w:cs="Segoe UI"/>
        </w:rPr>
        <w:t xml:space="preserve">advisory </w:t>
      </w:r>
      <w:r w:rsidRPr="00824739">
        <w:rPr>
          <w:rFonts w:cs="Segoe UI"/>
        </w:rPr>
        <w:t>committee</w:t>
      </w:r>
    </w:p>
    <w:p w14:paraId="7F328E1B" w14:textId="77777777" w:rsidR="00141937" w:rsidRPr="00824739" w:rsidRDefault="00141937" w:rsidP="00F20014">
      <w:pPr>
        <w:pStyle w:val="ListParagraph"/>
        <w:numPr>
          <w:ilvl w:val="1"/>
          <w:numId w:val="43"/>
        </w:numPr>
        <w:rPr>
          <w:rFonts w:cs="Segoe UI"/>
        </w:rPr>
      </w:pPr>
      <w:r>
        <w:rPr>
          <w:rFonts w:cs="Segoe UI"/>
        </w:rPr>
        <w:t>a</w:t>
      </w:r>
      <w:r w:rsidRPr="00824739">
        <w:rPr>
          <w:rFonts w:cs="Segoe UI"/>
        </w:rPr>
        <w:t xml:space="preserve"> resubmission timeline, where needed, </w:t>
      </w:r>
      <w:r>
        <w:rPr>
          <w:rFonts w:cs="Segoe UI"/>
        </w:rPr>
        <w:t xml:space="preserve">to </w:t>
      </w:r>
      <w:r w:rsidRPr="00824739">
        <w:rPr>
          <w:rFonts w:cs="Segoe UI"/>
        </w:rPr>
        <w:t>allow time for the Department</w:t>
      </w:r>
      <w:r>
        <w:rPr>
          <w:rFonts w:cs="Segoe UI"/>
        </w:rPr>
        <w:t xml:space="preserve"> of Health and Aged Care</w:t>
      </w:r>
      <w:r w:rsidRPr="00824739">
        <w:rPr>
          <w:rFonts w:cs="Segoe UI"/>
        </w:rPr>
        <w:t xml:space="preserve"> to: </w:t>
      </w:r>
    </w:p>
    <w:p w14:paraId="51828F81" w14:textId="589A2EFA" w:rsidR="00141937" w:rsidRPr="00824739" w:rsidRDefault="00141937" w:rsidP="00F20014">
      <w:pPr>
        <w:pStyle w:val="ListParagraph"/>
        <w:numPr>
          <w:ilvl w:val="2"/>
          <w:numId w:val="43"/>
        </w:numPr>
        <w:rPr>
          <w:rFonts w:cs="Segoe UI"/>
        </w:rPr>
      </w:pPr>
      <w:r w:rsidRPr="00824739">
        <w:rPr>
          <w:rFonts w:cs="Segoe UI"/>
        </w:rPr>
        <w:t xml:space="preserve">review the information in the resubmission to determine if and how the issues raised by the </w:t>
      </w:r>
      <w:r w:rsidR="00A908D8" w:rsidRPr="0009197E">
        <w:rPr>
          <w:rFonts w:cs="Segoe UI"/>
        </w:rPr>
        <w:t xml:space="preserve">Pharmaceutical Benefits Advisory Committee </w:t>
      </w:r>
      <w:r w:rsidR="00A908D8">
        <w:rPr>
          <w:rFonts w:cs="Segoe UI"/>
        </w:rPr>
        <w:t>(</w:t>
      </w:r>
      <w:r w:rsidRPr="00824739">
        <w:rPr>
          <w:rFonts w:cs="Segoe UI"/>
        </w:rPr>
        <w:t>PBAC</w:t>
      </w:r>
      <w:r w:rsidR="00A908D8">
        <w:rPr>
          <w:rFonts w:cs="Segoe UI"/>
        </w:rPr>
        <w:t>)</w:t>
      </w:r>
      <w:r w:rsidRPr="00824739">
        <w:rPr>
          <w:rFonts w:cs="Segoe UI"/>
        </w:rPr>
        <w:t xml:space="preserve"> have been addressed</w:t>
      </w:r>
    </w:p>
    <w:p w14:paraId="18C81EB5" w14:textId="2B1E87F2" w:rsidR="00141937" w:rsidRPr="00824739" w:rsidRDefault="00141937" w:rsidP="00F20014">
      <w:pPr>
        <w:pStyle w:val="ListParagraph"/>
        <w:numPr>
          <w:ilvl w:val="2"/>
          <w:numId w:val="43"/>
        </w:numPr>
        <w:rPr>
          <w:rFonts w:cs="Segoe UI"/>
        </w:rPr>
      </w:pPr>
      <w:r w:rsidRPr="00824739">
        <w:rPr>
          <w:rFonts w:cs="Segoe UI"/>
        </w:rPr>
        <w:t xml:space="preserve">clarify outstanding issues with the </w:t>
      </w:r>
      <w:r>
        <w:rPr>
          <w:rFonts w:cs="Segoe UI"/>
        </w:rPr>
        <w:t>s</w:t>
      </w:r>
      <w:r w:rsidRPr="00824739">
        <w:rPr>
          <w:rFonts w:cs="Segoe UI"/>
        </w:rPr>
        <w:t xml:space="preserve">ponsor, including </w:t>
      </w:r>
      <w:r>
        <w:rPr>
          <w:rFonts w:cs="Segoe UI"/>
        </w:rPr>
        <w:t>whether</w:t>
      </w:r>
      <w:r w:rsidRPr="00824739">
        <w:rPr>
          <w:rFonts w:cs="Segoe UI"/>
        </w:rPr>
        <w:t xml:space="preserve"> the </w:t>
      </w:r>
      <w:r w:rsidRPr="0009197E">
        <w:rPr>
          <w:rFonts w:cs="Segoe UI"/>
        </w:rPr>
        <w:t>PBAC</w:t>
      </w:r>
      <w:r>
        <w:rPr>
          <w:rFonts w:cs="Segoe UI"/>
        </w:rPr>
        <w:t xml:space="preserve"> </w:t>
      </w:r>
      <w:r w:rsidRPr="00824739">
        <w:rPr>
          <w:rFonts w:cs="Segoe UI"/>
        </w:rPr>
        <w:t>advice has been adequately addressed</w:t>
      </w:r>
    </w:p>
    <w:p w14:paraId="504ECD3C" w14:textId="77777777" w:rsidR="00141937" w:rsidRPr="00824739" w:rsidRDefault="00141937" w:rsidP="00F20014">
      <w:pPr>
        <w:pStyle w:val="ListParagraph"/>
        <w:numPr>
          <w:ilvl w:val="2"/>
          <w:numId w:val="43"/>
        </w:numPr>
        <w:rPr>
          <w:rFonts w:cs="Segoe UI"/>
        </w:rPr>
      </w:pPr>
      <w:r w:rsidRPr="00824739">
        <w:rPr>
          <w:rFonts w:cs="Segoe UI"/>
        </w:rPr>
        <w:t>support the PBAC if</w:t>
      </w:r>
      <w:r>
        <w:rPr>
          <w:rFonts w:cs="Segoe UI"/>
        </w:rPr>
        <w:t xml:space="preserve"> it has</w:t>
      </w:r>
      <w:r w:rsidRPr="00824739" w:rsidDel="00BE070A">
        <w:rPr>
          <w:rFonts w:cs="Segoe UI"/>
        </w:rPr>
        <w:t xml:space="preserve"> </w:t>
      </w:r>
      <w:r w:rsidRPr="00824739">
        <w:rPr>
          <w:rFonts w:cs="Segoe UI"/>
        </w:rPr>
        <w:t xml:space="preserve">questions or </w:t>
      </w:r>
      <w:r>
        <w:rPr>
          <w:rFonts w:cs="Segoe UI"/>
        </w:rPr>
        <w:t xml:space="preserve">requires </w:t>
      </w:r>
      <w:r w:rsidRPr="00824739">
        <w:rPr>
          <w:rFonts w:cs="Segoe UI"/>
        </w:rPr>
        <w:t xml:space="preserve">additional </w:t>
      </w:r>
      <w:r w:rsidRPr="7589E48D">
        <w:rPr>
          <w:rFonts w:cs="Segoe UI"/>
        </w:rPr>
        <w:t>information</w:t>
      </w:r>
      <w:r w:rsidRPr="00824739">
        <w:rPr>
          <w:rFonts w:cs="Segoe UI"/>
        </w:rPr>
        <w:t>.</w:t>
      </w:r>
    </w:p>
    <w:p w14:paraId="7A245B92" w14:textId="77777777" w:rsidR="00141937" w:rsidRPr="00824739" w:rsidRDefault="00141937" w:rsidP="00770F12">
      <w:pPr>
        <w:pStyle w:val="ListParagraph"/>
        <w:numPr>
          <w:ilvl w:val="1"/>
          <w:numId w:val="43"/>
        </w:numPr>
        <w:rPr>
          <w:rFonts w:cs="Segoe UI"/>
        </w:rPr>
      </w:pPr>
      <w:r>
        <w:rPr>
          <w:rFonts w:cs="Segoe UI"/>
        </w:rPr>
        <w:t xml:space="preserve">facilitate these tasks </w:t>
      </w:r>
      <w:r w:rsidRPr="00824739">
        <w:rPr>
          <w:rFonts w:cs="Segoe UI"/>
        </w:rPr>
        <w:t>by:</w:t>
      </w:r>
    </w:p>
    <w:p w14:paraId="5FD9FC01" w14:textId="77777777" w:rsidR="00141937" w:rsidRPr="00824739" w:rsidRDefault="00141937" w:rsidP="00F20014">
      <w:pPr>
        <w:pStyle w:val="ListParagraph"/>
        <w:numPr>
          <w:ilvl w:val="2"/>
          <w:numId w:val="45"/>
        </w:numPr>
        <w:rPr>
          <w:rFonts w:cs="Segoe UI"/>
        </w:rPr>
      </w:pPr>
      <w:r>
        <w:rPr>
          <w:rFonts w:cs="Segoe UI"/>
        </w:rPr>
        <w:t>a</w:t>
      </w:r>
      <w:r w:rsidRPr="00824739">
        <w:rPr>
          <w:rFonts w:cs="Segoe UI"/>
        </w:rPr>
        <w:t>ssigning a case manager for the application</w:t>
      </w:r>
    </w:p>
    <w:p w14:paraId="48A597E4" w14:textId="5D8800FF" w:rsidR="00141937" w:rsidRPr="00897CB5" w:rsidRDefault="00141937" w:rsidP="00F20014">
      <w:pPr>
        <w:pStyle w:val="ListParagraph"/>
        <w:numPr>
          <w:ilvl w:val="2"/>
          <w:numId w:val="45"/>
        </w:numPr>
        <w:rPr>
          <w:rFonts w:cs="Segoe UI"/>
        </w:rPr>
      </w:pPr>
      <w:r>
        <w:rPr>
          <w:rFonts w:cs="Segoe UI"/>
        </w:rPr>
        <w:t>providing additional</w:t>
      </w:r>
      <w:r w:rsidRPr="00824739">
        <w:rPr>
          <w:rFonts w:cs="Segoe UI"/>
        </w:rPr>
        <w:t xml:space="preserve"> commercial negotiation and economic modelling resources to work with the sponsor to resolve matters and present</w:t>
      </w:r>
      <w:r>
        <w:rPr>
          <w:rFonts w:cs="Segoe UI"/>
        </w:rPr>
        <w:t xml:space="preserve"> </w:t>
      </w:r>
      <w:r w:rsidRPr="00824739">
        <w:rPr>
          <w:rFonts w:cs="Segoe UI"/>
        </w:rPr>
        <w:t xml:space="preserve">a comprehensive </w:t>
      </w:r>
      <w:r>
        <w:rPr>
          <w:rFonts w:cs="Segoe UI"/>
        </w:rPr>
        <w:t>data</w:t>
      </w:r>
      <w:r w:rsidRPr="00824739">
        <w:rPr>
          <w:rFonts w:cs="Segoe UI"/>
        </w:rPr>
        <w:t xml:space="preserve">set to the PBAC to enable </w:t>
      </w:r>
      <w:r>
        <w:rPr>
          <w:rFonts w:cs="Segoe UI"/>
        </w:rPr>
        <w:t xml:space="preserve">the committee to make </w:t>
      </w:r>
      <w:r w:rsidRPr="00897CB5">
        <w:rPr>
          <w:rFonts w:cs="Segoe UI"/>
        </w:rPr>
        <w:t>decisions</w:t>
      </w:r>
      <w:r w:rsidRPr="00897CB5" w:rsidDel="00BE070A">
        <w:rPr>
          <w:rFonts w:cs="Segoe UI"/>
        </w:rPr>
        <w:t xml:space="preserve"> </w:t>
      </w:r>
      <w:r w:rsidRPr="00897CB5">
        <w:rPr>
          <w:rFonts w:cs="Segoe UI"/>
        </w:rPr>
        <w:t xml:space="preserve">with the greatest degree of confidence </w:t>
      </w:r>
    </w:p>
    <w:p w14:paraId="13C0E464" w14:textId="77777777" w:rsidR="00141937" w:rsidRPr="00B61FDC" w:rsidRDefault="00141937" w:rsidP="00F20014">
      <w:pPr>
        <w:pStyle w:val="ListParagraph"/>
        <w:numPr>
          <w:ilvl w:val="2"/>
          <w:numId w:val="45"/>
        </w:numPr>
        <w:rPr>
          <w:rFonts w:cs="Segoe UI"/>
        </w:rPr>
      </w:pPr>
      <w:r w:rsidRPr="00897CB5">
        <w:rPr>
          <w:rFonts w:cs="Segoe UI"/>
        </w:rPr>
        <w:t>the ability for the PBAC to hold stakeholder meetings with key patient and clinical organisations. The purpose of these meetings would be to make issues transparent to stakeholders, including making difficult trade-</w:t>
      </w:r>
      <w:r w:rsidRPr="00B61FDC">
        <w:rPr>
          <w:rFonts w:cs="Segoe UI"/>
        </w:rPr>
        <w:t xml:space="preserve">offs </w:t>
      </w:r>
      <w:r>
        <w:rPr>
          <w:rFonts w:cs="Segoe UI"/>
        </w:rPr>
        <w:t xml:space="preserve">between the </w:t>
      </w:r>
      <w:r w:rsidRPr="00B61FDC">
        <w:rPr>
          <w:rFonts w:cs="Segoe UI"/>
        </w:rPr>
        <w:t>seller and buyer</w:t>
      </w:r>
      <w:r>
        <w:rPr>
          <w:rFonts w:cs="Segoe UI"/>
        </w:rPr>
        <w:t xml:space="preserve">, </w:t>
      </w:r>
      <w:r w:rsidRPr="00B61FDC">
        <w:rPr>
          <w:rFonts w:cs="Segoe UI"/>
        </w:rPr>
        <w:t xml:space="preserve">transparent </w:t>
      </w:r>
      <w:r>
        <w:rPr>
          <w:rFonts w:cs="Segoe UI"/>
        </w:rPr>
        <w:t>to other stakeholders</w:t>
      </w:r>
      <w:r w:rsidRPr="00B61FDC">
        <w:rPr>
          <w:rFonts w:cs="Segoe UI"/>
        </w:rPr>
        <w:t xml:space="preserve">. </w:t>
      </w:r>
    </w:p>
    <w:p w14:paraId="6A068CA5" w14:textId="77777777" w:rsidR="00141937" w:rsidRPr="00F1405C" w:rsidRDefault="00141937" w:rsidP="009216D3">
      <w:pPr>
        <w:rPr>
          <w:rFonts w:ascii="Calibri" w:hAnsi="Calibri"/>
        </w:rPr>
      </w:pPr>
      <w:bookmarkStart w:id="13" w:name="_Hlk171527471"/>
      <w:r w:rsidRPr="0023693C">
        <w:lastRenderedPageBreak/>
        <w:t xml:space="preserve">Comment by </w:t>
      </w:r>
      <w:proofErr w:type="spellStart"/>
      <w:r w:rsidRPr="0023693C">
        <w:t>Ms</w:t>
      </w:r>
      <w:proofErr w:type="spellEnd"/>
      <w:r w:rsidRPr="0023693C">
        <w:t xml:space="preserve"> Elizabeth de </w:t>
      </w:r>
      <w:proofErr w:type="spellStart"/>
      <w:r w:rsidRPr="0023693C">
        <w:t>Somer</w:t>
      </w:r>
      <w:proofErr w:type="spellEnd"/>
      <w:r w:rsidRPr="0023693C">
        <w:t>, Member</w:t>
      </w:r>
      <w:r w:rsidRPr="00B93127">
        <w:t xml:space="preserve"> Nominated by Medicines Australia</w:t>
      </w:r>
      <w:r>
        <w:t>:</w:t>
      </w:r>
      <w:r w:rsidRPr="000C5623">
        <w:t xml:space="preserve"> </w:t>
      </w:r>
      <w:r>
        <w:t>‘</w:t>
      </w:r>
      <w:r w:rsidRPr="00B93127">
        <w:t>The</w:t>
      </w:r>
      <w:r>
        <w:t xml:space="preserve"> industry </w:t>
      </w:r>
      <w:proofErr w:type="spellStart"/>
      <w:r>
        <w:t>recognises</w:t>
      </w:r>
      <w:proofErr w:type="spellEnd"/>
      <w:r>
        <w:t xml:space="preserve"> the need to ensure no perverse incentives are introduced into these pathways and recommends establishing independent dispute resolution and commercial negotiation processes.’ </w:t>
      </w:r>
    </w:p>
    <w:bookmarkEnd w:id="13"/>
    <w:p w14:paraId="184E7840" w14:textId="77777777" w:rsidR="00141937" w:rsidRPr="001C1082" w:rsidRDefault="00141937" w:rsidP="00F20014">
      <w:pPr>
        <w:pStyle w:val="ListParagraph"/>
        <w:numPr>
          <w:ilvl w:val="0"/>
          <w:numId w:val="46"/>
        </w:numPr>
        <w:rPr>
          <w:rFonts w:cs="Segoe UI"/>
        </w:rPr>
      </w:pPr>
      <w:r w:rsidRPr="001C1082">
        <w:rPr>
          <w:rFonts w:cs="Segoe UI"/>
        </w:rPr>
        <w:t xml:space="preserve">resource case managers to facilitate </w:t>
      </w:r>
      <w:r w:rsidRPr="00317479">
        <w:rPr>
          <w:rFonts w:cs="Segoe UI"/>
        </w:rPr>
        <w:t>communication</w:t>
      </w:r>
      <w:r w:rsidRPr="001C1082">
        <w:rPr>
          <w:rFonts w:cs="Segoe UI"/>
        </w:rPr>
        <w:t xml:space="preserve"> and information sharing between the Department and applicant for health technologies with likely high added therapeutic value in areas of HUCN and are using a cost-utility analysis or cost effectiveness analysis in their submissions. Consistent with other recommendations, the case management approach should be:</w:t>
      </w:r>
    </w:p>
    <w:p w14:paraId="1567EEB8" w14:textId="77777777" w:rsidR="00141937" w:rsidRPr="00824739" w:rsidRDefault="00141937" w:rsidP="00F20014">
      <w:pPr>
        <w:pStyle w:val="ListParagraph"/>
        <w:numPr>
          <w:ilvl w:val="1"/>
          <w:numId w:val="46"/>
        </w:numPr>
        <w:rPr>
          <w:rFonts w:cs="Segoe UI"/>
        </w:rPr>
      </w:pPr>
      <w:r w:rsidRPr="00824739">
        <w:rPr>
          <w:rFonts w:cs="Segoe UI"/>
        </w:rPr>
        <w:t>proportiona</w:t>
      </w:r>
      <w:r>
        <w:rPr>
          <w:rFonts w:cs="Segoe UI"/>
        </w:rPr>
        <w:t>te</w:t>
      </w:r>
      <w:r w:rsidRPr="00824739">
        <w:rPr>
          <w:rFonts w:cs="Segoe UI"/>
        </w:rPr>
        <w:t xml:space="preserve"> to the level of complexity and potential clinical benefit of the therapy</w:t>
      </w:r>
    </w:p>
    <w:p w14:paraId="4F3DB68D" w14:textId="77777777" w:rsidR="00141937" w:rsidRPr="00824739" w:rsidRDefault="00141937" w:rsidP="00F20014">
      <w:pPr>
        <w:pStyle w:val="ListParagraph"/>
        <w:numPr>
          <w:ilvl w:val="1"/>
          <w:numId w:val="46"/>
        </w:numPr>
        <w:rPr>
          <w:rFonts w:cs="Segoe UI"/>
        </w:rPr>
      </w:pPr>
      <w:r w:rsidRPr="00824739">
        <w:rPr>
          <w:rFonts w:cs="Segoe UI"/>
        </w:rPr>
        <w:t>developed in consultation with relevant stakeholders</w:t>
      </w:r>
    </w:p>
    <w:p w14:paraId="0D91116C" w14:textId="77777777" w:rsidR="00141937" w:rsidRPr="00824739" w:rsidRDefault="00141937" w:rsidP="00F20014">
      <w:pPr>
        <w:pStyle w:val="ListParagraph"/>
        <w:numPr>
          <w:ilvl w:val="1"/>
          <w:numId w:val="46"/>
        </w:numPr>
        <w:rPr>
          <w:rFonts w:cs="Segoe UI"/>
        </w:rPr>
      </w:pPr>
      <w:r w:rsidRPr="00824739">
        <w:rPr>
          <w:rFonts w:cs="Segoe UI"/>
        </w:rPr>
        <w:t>consistent with best practi</w:t>
      </w:r>
      <w:r>
        <w:rPr>
          <w:rFonts w:cs="Segoe UI"/>
        </w:rPr>
        <w:t>c</w:t>
      </w:r>
      <w:r w:rsidRPr="00824739">
        <w:rPr>
          <w:rFonts w:cs="Segoe UI"/>
        </w:rPr>
        <w:t>e approaches across government and</w:t>
      </w:r>
      <w:r>
        <w:rPr>
          <w:rFonts w:cs="Segoe UI"/>
        </w:rPr>
        <w:t>,</w:t>
      </w:r>
      <w:r w:rsidRPr="00824739">
        <w:rPr>
          <w:rFonts w:cs="Segoe UI"/>
        </w:rPr>
        <w:t xml:space="preserve"> if relevant, international counterparts</w:t>
      </w:r>
    </w:p>
    <w:p w14:paraId="115619AE" w14:textId="77777777" w:rsidR="00141937" w:rsidRDefault="00141937" w:rsidP="00F20014">
      <w:pPr>
        <w:pStyle w:val="ListParagraph"/>
        <w:numPr>
          <w:ilvl w:val="1"/>
          <w:numId w:val="46"/>
        </w:numPr>
        <w:rPr>
          <w:rFonts w:cs="Segoe UI"/>
        </w:rPr>
      </w:pPr>
      <w:r w:rsidRPr="00824739">
        <w:rPr>
          <w:rFonts w:cs="Segoe UI"/>
        </w:rPr>
        <w:t>developed with clear and transparent roles and responsibilities</w:t>
      </w:r>
      <w:r>
        <w:rPr>
          <w:rFonts w:cs="Segoe UI"/>
        </w:rPr>
        <w:t>,</w:t>
      </w:r>
      <w:r w:rsidRPr="00824739">
        <w:rPr>
          <w:rFonts w:cs="Segoe UI"/>
        </w:rPr>
        <w:t xml:space="preserve"> </w:t>
      </w:r>
      <w:r>
        <w:rPr>
          <w:rFonts w:cs="Segoe UI"/>
        </w:rPr>
        <w:t>and principles governing interactions</w:t>
      </w:r>
    </w:p>
    <w:p w14:paraId="2F23D997" w14:textId="77777777" w:rsidR="00141937" w:rsidRPr="00824739" w:rsidRDefault="00141937" w:rsidP="00F20014">
      <w:pPr>
        <w:pStyle w:val="ListParagraph"/>
        <w:numPr>
          <w:ilvl w:val="1"/>
          <w:numId w:val="46"/>
        </w:numPr>
        <w:rPr>
          <w:rFonts w:cs="Segoe UI"/>
        </w:rPr>
      </w:pPr>
      <w:r w:rsidRPr="00824739">
        <w:rPr>
          <w:rFonts w:cs="Segoe UI"/>
        </w:rPr>
        <w:t xml:space="preserve">reviewed after 2 years against </w:t>
      </w:r>
      <w:r>
        <w:rPr>
          <w:rFonts w:cs="Segoe UI"/>
        </w:rPr>
        <w:t>key performance indicator</w:t>
      </w:r>
      <w:r w:rsidRPr="00824739">
        <w:rPr>
          <w:rFonts w:cs="Segoe UI"/>
        </w:rPr>
        <w:t xml:space="preserve">s and </w:t>
      </w:r>
      <w:r>
        <w:rPr>
          <w:rFonts w:cs="Segoe UI"/>
        </w:rPr>
        <w:t xml:space="preserve">the </w:t>
      </w:r>
      <w:r w:rsidRPr="00824739">
        <w:rPr>
          <w:rFonts w:cs="Segoe UI"/>
        </w:rPr>
        <w:t>approach adjusted accordingly</w:t>
      </w:r>
      <w:r>
        <w:rPr>
          <w:rFonts w:cs="Segoe UI"/>
        </w:rPr>
        <w:t>.</w:t>
      </w:r>
    </w:p>
    <w:p w14:paraId="0D5F443C" w14:textId="2E89C30C" w:rsidR="00141937" w:rsidRDefault="00141937" w:rsidP="00F20014">
      <w:pPr>
        <w:pStyle w:val="ListParagraph"/>
        <w:numPr>
          <w:ilvl w:val="0"/>
          <w:numId w:val="46"/>
        </w:numPr>
        <w:rPr>
          <w:rFonts w:cs="Segoe UI"/>
        </w:rPr>
      </w:pPr>
      <w:r>
        <w:rPr>
          <w:rFonts w:cs="Segoe UI"/>
        </w:rPr>
        <w:t>e</w:t>
      </w:r>
      <w:r w:rsidRPr="00824739">
        <w:rPr>
          <w:rFonts w:cs="Segoe UI"/>
        </w:rPr>
        <w:t xml:space="preserve">nable full parallel processing of </w:t>
      </w:r>
      <w:r w:rsidRPr="0009197E">
        <w:rPr>
          <w:rFonts w:cs="Segoe UI"/>
        </w:rPr>
        <w:t>Therapeutic Goods Administration (TGA)</w:t>
      </w:r>
      <w:r>
        <w:rPr>
          <w:rFonts w:cs="Segoe UI"/>
        </w:rPr>
        <w:t xml:space="preserve"> </w:t>
      </w:r>
      <w:r w:rsidRPr="00824739">
        <w:rPr>
          <w:rFonts w:cs="Segoe UI"/>
        </w:rPr>
        <w:t xml:space="preserve">and </w:t>
      </w:r>
      <w:r w:rsidRPr="0009197E">
        <w:rPr>
          <w:rFonts w:cs="Segoe UI"/>
        </w:rPr>
        <w:t>PBAC</w:t>
      </w:r>
      <w:r w:rsidRPr="00824739">
        <w:rPr>
          <w:rFonts w:cs="Segoe UI"/>
        </w:rPr>
        <w:t xml:space="preserve"> submissions</w:t>
      </w:r>
      <w:r>
        <w:rPr>
          <w:rFonts w:cs="Segoe UI"/>
        </w:rPr>
        <w:t>. It should do this</w:t>
      </w:r>
      <w:r w:rsidRPr="00824739">
        <w:rPr>
          <w:rFonts w:cs="Segoe UI"/>
        </w:rPr>
        <w:t xml:space="preserve"> by updating the PBAC </w:t>
      </w:r>
      <w:r>
        <w:rPr>
          <w:rFonts w:cs="Segoe UI"/>
        </w:rPr>
        <w:t>G</w:t>
      </w:r>
      <w:r w:rsidRPr="00824739">
        <w:rPr>
          <w:rFonts w:cs="Segoe UI"/>
        </w:rPr>
        <w:t xml:space="preserve">uidelines to enable the PBAC to communicate its likely advice to sponsors </w:t>
      </w:r>
      <w:r>
        <w:rPr>
          <w:rFonts w:cs="Segoe UI"/>
        </w:rPr>
        <w:t>before</w:t>
      </w:r>
      <w:r w:rsidRPr="00824739">
        <w:rPr>
          <w:rFonts w:cs="Segoe UI"/>
        </w:rPr>
        <w:t xml:space="preserve"> receiving the TGA </w:t>
      </w:r>
      <w:r>
        <w:rPr>
          <w:rFonts w:cs="Segoe UI"/>
        </w:rPr>
        <w:t>d</w:t>
      </w:r>
      <w:r w:rsidRPr="00824739">
        <w:rPr>
          <w:rFonts w:cs="Segoe UI"/>
        </w:rPr>
        <w:t>elegate</w:t>
      </w:r>
      <w:r>
        <w:rPr>
          <w:rFonts w:cs="Segoe UI"/>
        </w:rPr>
        <w:t>’s</w:t>
      </w:r>
      <w:r w:rsidRPr="00824739">
        <w:rPr>
          <w:rFonts w:cs="Segoe UI"/>
        </w:rPr>
        <w:t xml:space="preserve"> </w:t>
      </w:r>
      <w:r>
        <w:rPr>
          <w:rFonts w:cs="Segoe UI"/>
        </w:rPr>
        <w:t>o</w:t>
      </w:r>
      <w:r w:rsidRPr="00824739">
        <w:rPr>
          <w:rFonts w:cs="Segoe UI"/>
        </w:rPr>
        <w:t xml:space="preserve">verview. The PBAC’s final advice to </w:t>
      </w:r>
      <w:r>
        <w:rPr>
          <w:rFonts w:cs="Segoe UI"/>
        </w:rPr>
        <w:t xml:space="preserve">the </w:t>
      </w:r>
      <w:r w:rsidRPr="00824739">
        <w:rPr>
          <w:rFonts w:cs="Segoe UI"/>
        </w:rPr>
        <w:t xml:space="preserve">Government, the PBS listing, and resulting funding arrangements, would still </w:t>
      </w:r>
      <w:r>
        <w:rPr>
          <w:rFonts w:cs="Segoe UI"/>
        </w:rPr>
        <w:t>need</w:t>
      </w:r>
      <w:r w:rsidRPr="00824739">
        <w:rPr>
          <w:rFonts w:cs="Segoe UI"/>
        </w:rPr>
        <w:t xml:space="preserve"> to </w:t>
      </w:r>
      <w:r w:rsidRPr="00824739" w:rsidDel="00173CD8">
        <w:rPr>
          <w:rFonts w:cs="Segoe UI"/>
        </w:rPr>
        <w:t>be consistent with</w:t>
      </w:r>
      <w:r w:rsidRPr="00824739">
        <w:rPr>
          <w:rFonts w:cs="Segoe UI"/>
        </w:rPr>
        <w:t xml:space="preserve"> the Australian Register of Therapeutic Goods (ARTG) listing</w:t>
      </w:r>
      <w:r>
        <w:rPr>
          <w:rFonts w:cs="Segoe UI"/>
        </w:rPr>
        <w:t>.</w:t>
      </w:r>
      <w:r w:rsidRPr="002077A7">
        <w:rPr>
          <w:rFonts w:cs="Segoe UI"/>
        </w:rPr>
        <w:t xml:space="preserve"> (Note</w:t>
      </w:r>
      <w:r>
        <w:rPr>
          <w:rFonts w:cs="Segoe UI"/>
        </w:rPr>
        <w:t>:</w:t>
      </w:r>
      <w:r w:rsidRPr="002077A7">
        <w:rPr>
          <w:rFonts w:cs="Segoe UI"/>
        </w:rPr>
        <w:t xml:space="preserve"> this recommendation is not intended to limit the execution of </w:t>
      </w:r>
      <w:r>
        <w:rPr>
          <w:rFonts w:cs="Segoe UI"/>
        </w:rPr>
        <w:t>‘</w:t>
      </w:r>
      <w:r>
        <w:rPr>
          <w:rFonts w:cs="Segoe UI"/>
        </w:rPr>
        <w:fldChar w:fldCharType="begin" w:fldLock="1"/>
      </w:r>
      <w:r>
        <w:rPr>
          <w:rFonts w:cs="Segoe UI"/>
        </w:rPr>
        <w:instrText xml:space="preserve"> REF _Ref166786902 \r \h </w:instrText>
      </w:r>
      <w:r w:rsidR="001C1082">
        <w:rPr>
          <w:rFonts w:cs="Segoe UI"/>
        </w:rPr>
        <w:instrText xml:space="preserve"> \* MERGEFORMAT </w:instrText>
      </w:r>
      <w:r>
        <w:rPr>
          <w:rFonts w:cs="Segoe UI"/>
        </w:rPr>
      </w:r>
      <w:r>
        <w:rPr>
          <w:rFonts w:cs="Segoe UI"/>
        </w:rPr>
        <w:fldChar w:fldCharType="separate"/>
      </w:r>
      <w:r>
        <w:rPr>
          <w:rFonts w:cs="Segoe UI"/>
        </w:rPr>
        <w:t>Recommendation 2</w:t>
      </w:r>
      <w:r>
        <w:rPr>
          <w:rFonts w:cs="Segoe UI"/>
        </w:rPr>
        <w:fldChar w:fldCharType="end"/>
      </w:r>
      <w:r>
        <w:rPr>
          <w:rFonts w:cs="Segoe UI"/>
        </w:rPr>
        <w:t>. Creating equitable access to medicines for children and young people’</w:t>
      </w:r>
      <w:r w:rsidRPr="002077A7">
        <w:rPr>
          <w:rFonts w:cs="Segoe UI"/>
        </w:rPr>
        <w:t>)</w:t>
      </w:r>
      <w:r>
        <w:rPr>
          <w:rFonts w:cs="Segoe UI"/>
        </w:rPr>
        <w:t xml:space="preserve">. </w:t>
      </w:r>
    </w:p>
    <w:p w14:paraId="1AC96520" w14:textId="77777777" w:rsidR="00141937" w:rsidRPr="002724B9" w:rsidRDefault="00141937" w:rsidP="00484B58">
      <w:pPr>
        <w:pStyle w:val="Recommendation1"/>
      </w:pPr>
      <w:bookmarkStart w:id="14" w:name="_Hlk167301725"/>
      <w:r w:rsidRPr="002724B9">
        <w:t xml:space="preserve">Therapies </w:t>
      </w:r>
      <w:r>
        <w:t>with added therapeutic value</w:t>
      </w:r>
    </w:p>
    <w:bookmarkEnd w:id="14"/>
    <w:p w14:paraId="3B39405C" w14:textId="77777777" w:rsidR="00141937" w:rsidRPr="00651AB4" w:rsidRDefault="00141937" w:rsidP="009216D3">
      <w:r>
        <w:t>The Review recommends that the Australian Government, after a trial period and review, extend the mechanisms covered in ‘</w:t>
      </w:r>
      <w:r w:rsidRPr="0049530C">
        <w:fldChar w:fldCharType="begin" w:fldLock="1"/>
      </w:r>
      <w:r w:rsidRPr="0049530C">
        <w:instrText xml:space="preserve"> REF _Ref166787239 \r \h  \* MERGEFORMAT </w:instrText>
      </w:r>
      <w:r w:rsidRPr="0049530C">
        <w:fldChar w:fldCharType="separate"/>
      </w:r>
      <w:r w:rsidRPr="0049530C">
        <w:t>Recommendation 8</w:t>
      </w:r>
      <w:r w:rsidRPr="0049530C">
        <w:fldChar w:fldCharType="end"/>
      </w:r>
      <w:r w:rsidRPr="0049530C">
        <w:t>.</w:t>
      </w:r>
      <w:r w:rsidRPr="0049530C">
        <w:rPr>
          <w:i/>
          <w:iCs/>
        </w:rPr>
        <w:t xml:space="preserve"> </w:t>
      </w:r>
      <w:r w:rsidRPr="008B6F09">
        <w:t>Improve the pathways and processes for listing therapies with high added therapeutic value in areas of unmet clinical need on the Pharmaceutical Benefits Scheme</w:t>
      </w:r>
      <w:r w:rsidRPr="0049530C">
        <w:t>’</w:t>
      </w:r>
      <w:r w:rsidRPr="00DC10D3">
        <w:rPr>
          <w:i/>
          <w:iCs/>
        </w:rPr>
        <w:t>,</w:t>
      </w:r>
      <w:r>
        <w:t xml:space="preserve"> to all therapies claiming clinical benefit over existing alternatives. In line with ‘</w:t>
      </w:r>
      <w:r>
        <w:fldChar w:fldCharType="begin" w:fldLock="1"/>
      </w:r>
      <w:r>
        <w:instrText xml:space="preserve"> REF _Ref166787472 \r \h </w:instrText>
      </w:r>
      <w:r>
        <w:fldChar w:fldCharType="separate"/>
      </w:r>
      <w:r>
        <w:t>Recommendation 3</w:t>
      </w:r>
      <w:r>
        <w:fldChar w:fldCharType="end"/>
      </w:r>
      <w:r>
        <w:t>.</w:t>
      </w:r>
      <w:r>
        <w:rPr>
          <w:i/>
          <w:iCs/>
        </w:rPr>
        <w:t> </w:t>
      </w:r>
      <w:r w:rsidRPr="000C5623">
        <w:t xml:space="preserve">Overarching recommendations for all </w:t>
      </w:r>
      <w:r>
        <w:t>HTA</w:t>
      </w:r>
      <w:r w:rsidRPr="000C5623">
        <w:t xml:space="preserve"> funding and assessment pathways and processes</w:t>
      </w:r>
      <w:r>
        <w:t>’</w:t>
      </w:r>
      <w:r>
        <w:rPr>
          <w:i/>
          <w:iCs/>
        </w:rPr>
        <w:t xml:space="preserve">, </w:t>
      </w:r>
      <w:r>
        <w:t xml:space="preserve">this should follow a proportional approach. </w:t>
      </w:r>
    </w:p>
    <w:p w14:paraId="1E66EB0E" w14:textId="77777777" w:rsidR="00141937" w:rsidRDefault="00141937" w:rsidP="00484B58">
      <w:pPr>
        <w:pStyle w:val="Recommendation1"/>
      </w:pPr>
      <w:bookmarkStart w:id="15" w:name="_Hlk167301733"/>
      <w:bookmarkStart w:id="16" w:name="_Hlk167301835"/>
      <w:r w:rsidRPr="002724B9">
        <w:lastRenderedPageBreak/>
        <w:t>Alternative modelling and analysis types for disease areas</w:t>
      </w:r>
      <w:bookmarkEnd w:id="15"/>
    </w:p>
    <w:bookmarkEnd w:id="16"/>
    <w:p w14:paraId="6D54458F" w14:textId="77777777" w:rsidR="00141937" w:rsidRPr="00824739" w:rsidRDefault="00141937" w:rsidP="00527BD9">
      <w:pPr>
        <w:spacing w:before="240"/>
      </w:pPr>
      <w:r>
        <w:t xml:space="preserve">The Review recommends that the Australian </w:t>
      </w:r>
      <w:r w:rsidRPr="00824739" w:rsidDel="008C639E">
        <w:t>Government</w:t>
      </w:r>
      <w:r w:rsidRPr="00824739">
        <w:t>, in consultation with industry and other relevant stakeholders, investigate the feasibility and potential place for alternative types of analysis and modelling for disease areas</w:t>
      </w:r>
      <w:r>
        <w:t>. These should i</w:t>
      </w:r>
      <w:r w:rsidRPr="00824739">
        <w:t>nclud</w:t>
      </w:r>
      <w:r>
        <w:t>e</w:t>
      </w:r>
      <w:r w:rsidRPr="00824739">
        <w:t xml:space="preserve">: </w:t>
      </w:r>
    </w:p>
    <w:p w14:paraId="54FD781B" w14:textId="77777777" w:rsidR="00141937" w:rsidRPr="00824739" w:rsidRDefault="00141937" w:rsidP="00F20014">
      <w:pPr>
        <w:pStyle w:val="ListParagraph"/>
        <w:numPr>
          <w:ilvl w:val="0"/>
          <w:numId w:val="47"/>
        </w:numPr>
        <w:rPr>
          <w:rFonts w:cs="Segoe UI"/>
        </w:rPr>
      </w:pPr>
      <w:r>
        <w:rPr>
          <w:rFonts w:cs="Segoe UI"/>
        </w:rPr>
        <w:t>a d</w:t>
      </w:r>
      <w:r w:rsidRPr="00824739">
        <w:rPr>
          <w:rFonts w:cs="Segoe UI"/>
        </w:rPr>
        <w:t>isease</w:t>
      </w:r>
      <w:r>
        <w:rPr>
          <w:rFonts w:cs="Segoe UI"/>
        </w:rPr>
        <w:t>-</w:t>
      </w:r>
      <w:r w:rsidRPr="00824739">
        <w:rPr>
          <w:rFonts w:cs="Segoe UI"/>
        </w:rPr>
        <w:t>specific common mode</w:t>
      </w:r>
      <w:r>
        <w:rPr>
          <w:rFonts w:cs="Segoe UI"/>
        </w:rPr>
        <w:t>l</w:t>
      </w:r>
    </w:p>
    <w:p w14:paraId="1AF59913" w14:textId="77777777" w:rsidR="00141937" w:rsidRPr="00824739" w:rsidRDefault="00141937" w:rsidP="00F20014">
      <w:pPr>
        <w:pStyle w:val="ListParagraph"/>
        <w:numPr>
          <w:ilvl w:val="0"/>
          <w:numId w:val="47"/>
        </w:numPr>
        <w:rPr>
          <w:rFonts w:cs="Segoe UI"/>
        </w:rPr>
      </w:pPr>
      <w:r>
        <w:rPr>
          <w:rFonts w:cs="Segoe UI"/>
        </w:rPr>
        <w:t>r</w:t>
      </w:r>
      <w:r w:rsidRPr="00824739">
        <w:rPr>
          <w:rFonts w:cs="Segoe UI"/>
        </w:rPr>
        <w:t>eference case modelling</w:t>
      </w:r>
    </w:p>
    <w:p w14:paraId="5AFE2BA4" w14:textId="77777777" w:rsidR="00141937" w:rsidRDefault="00141937" w:rsidP="00F20014">
      <w:pPr>
        <w:pStyle w:val="ListParagraph"/>
        <w:numPr>
          <w:ilvl w:val="0"/>
          <w:numId w:val="47"/>
        </w:numPr>
        <w:rPr>
          <w:rFonts w:cs="Segoe UI"/>
        </w:rPr>
      </w:pPr>
      <w:r>
        <w:rPr>
          <w:rFonts w:cs="Segoe UI"/>
        </w:rPr>
        <w:t>w</w:t>
      </w:r>
      <w:r w:rsidRPr="00B1246C">
        <w:rPr>
          <w:rFonts w:cs="Segoe UI"/>
        </w:rPr>
        <w:t>hole</w:t>
      </w:r>
      <w:r>
        <w:rPr>
          <w:rFonts w:cs="Segoe UI"/>
        </w:rPr>
        <w:t>-</w:t>
      </w:r>
      <w:r w:rsidRPr="00B1246C">
        <w:rPr>
          <w:rFonts w:cs="Segoe UI"/>
        </w:rPr>
        <w:t xml:space="preserve">care pathway modelling that would enable the evaluation of </w:t>
      </w:r>
      <w:r>
        <w:rPr>
          <w:rFonts w:cs="Segoe UI"/>
        </w:rPr>
        <w:t xml:space="preserve">the </w:t>
      </w:r>
      <w:r w:rsidRPr="00B1246C">
        <w:rPr>
          <w:rFonts w:cs="Segoe UI"/>
        </w:rPr>
        <w:t>cost</w:t>
      </w:r>
      <w:r>
        <w:rPr>
          <w:rFonts w:cs="Segoe UI"/>
        </w:rPr>
        <w:noBreakHyphen/>
      </w:r>
      <w:r w:rsidRPr="00B1246C">
        <w:rPr>
          <w:rFonts w:cs="Segoe UI"/>
        </w:rPr>
        <w:t>effectiveness of different diagnostics and therapies across the care pathway</w:t>
      </w:r>
      <w:r>
        <w:rPr>
          <w:rFonts w:cs="Segoe UI"/>
        </w:rPr>
        <w:t>.</w:t>
      </w:r>
    </w:p>
    <w:p w14:paraId="63DD2631" w14:textId="77777777" w:rsidR="00141937" w:rsidRPr="005C208A" w:rsidRDefault="00141937" w:rsidP="00141937">
      <w:pPr>
        <w:ind w:left="357"/>
      </w:pPr>
      <w:r w:rsidRPr="005C208A">
        <w:t>The feasibility testing should include:</w:t>
      </w:r>
    </w:p>
    <w:p w14:paraId="360F0A0E" w14:textId="77777777" w:rsidR="00141937" w:rsidRPr="00824739" w:rsidRDefault="00141937" w:rsidP="00E97E5D">
      <w:pPr>
        <w:pStyle w:val="ListParagraph"/>
        <w:numPr>
          <w:ilvl w:val="0"/>
          <w:numId w:val="74"/>
        </w:numPr>
        <w:rPr>
          <w:rFonts w:cs="Segoe UI"/>
        </w:rPr>
      </w:pPr>
      <w:r w:rsidRPr="00824739">
        <w:rPr>
          <w:rFonts w:cs="Segoe UI"/>
        </w:rPr>
        <w:t>the potential for international collaboration in the development of models</w:t>
      </w:r>
    </w:p>
    <w:p w14:paraId="7A019645" w14:textId="77777777" w:rsidR="00141937" w:rsidRDefault="00141937" w:rsidP="00E97E5D">
      <w:pPr>
        <w:pStyle w:val="ListParagraph"/>
        <w:numPr>
          <w:ilvl w:val="0"/>
          <w:numId w:val="74"/>
        </w:numPr>
        <w:rPr>
          <w:rFonts w:cs="Segoe UI"/>
        </w:rPr>
      </w:pPr>
      <w:r w:rsidRPr="00824739">
        <w:rPr>
          <w:rFonts w:cs="Segoe UI"/>
        </w:rPr>
        <w:t>consultation with industry and other stakeholders</w:t>
      </w:r>
    </w:p>
    <w:p w14:paraId="29EED771" w14:textId="77777777" w:rsidR="00141937" w:rsidRPr="00824739" w:rsidRDefault="00141937" w:rsidP="00E97E5D">
      <w:pPr>
        <w:pStyle w:val="ListParagraph"/>
        <w:numPr>
          <w:ilvl w:val="0"/>
          <w:numId w:val="74"/>
        </w:numPr>
        <w:rPr>
          <w:rFonts w:cs="Segoe UI"/>
        </w:rPr>
      </w:pPr>
      <w:r w:rsidRPr="00824739">
        <w:rPr>
          <w:rFonts w:cs="Segoe UI"/>
        </w:rPr>
        <w:t>the rol</w:t>
      </w:r>
      <w:r>
        <w:rPr>
          <w:rFonts w:cs="Segoe UI"/>
        </w:rPr>
        <w:t>e</w:t>
      </w:r>
      <w:r w:rsidRPr="00824739">
        <w:rPr>
          <w:rFonts w:cs="Segoe UI"/>
        </w:rPr>
        <w:t xml:space="preserve"> of horizon scanning</w:t>
      </w:r>
      <w:r>
        <w:rPr>
          <w:rFonts w:cs="Segoe UI"/>
        </w:rPr>
        <w:t>.</w:t>
      </w:r>
      <w:r w:rsidRPr="00824739">
        <w:rPr>
          <w:rFonts w:cs="Segoe UI"/>
        </w:rPr>
        <w:t xml:space="preserve"> </w:t>
      </w:r>
    </w:p>
    <w:p w14:paraId="5275276F" w14:textId="77777777" w:rsidR="00BE2414" w:rsidRPr="002724B9" w:rsidRDefault="00BE2414" w:rsidP="00484B58">
      <w:pPr>
        <w:pStyle w:val="Recommendation1"/>
      </w:pPr>
      <w:bookmarkStart w:id="17" w:name="_Hlk167301286"/>
      <w:r w:rsidRPr="002724B9">
        <w:t xml:space="preserve">Proportionate appraisal pathways to align </w:t>
      </w:r>
      <w:r>
        <w:t xml:space="preserve">the </w:t>
      </w:r>
      <w:r w:rsidRPr="002724B9">
        <w:t>A</w:t>
      </w:r>
      <w:r>
        <w:t xml:space="preserve">ustralian </w:t>
      </w:r>
      <w:r w:rsidRPr="002724B9">
        <w:t>T</w:t>
      </w:r>
      <w:r>
        <w:t xml:space="preserve">echnical </w:t>
      </w:r>
      <w:r w:rsidRPr="002724B9">
        <w:t>A</w:t>
      </w:r>
      <w:r>
        <w:t xml:space="preserve">dvisory </w:t>
      </w:r>
      <w:r w:rsidRPr="002724B9">
        <w:t>G</w:t>
      </w:r>
      <w:r>
        <w:t xml:space="preserve">roup on </w:t>
      </w:r>
      <w:r w:rsidRPr="002724B9">
        <w:t>I</w:t>
      </w:r>
      <w:r>
        <w:t>mmunisation</w:t>
      </w:r>
      <w:r w:rsidRPr="002724B9">
        <w:t xml:space="preserve"> assessments </w:t>
      </w:r>
      <w:r>
        <w:t>with</w:t>
      </w:r>
      <w:r w:rsidRPr="002724B9">
        <w:t xml:space="preserve"> the level of risk and complexity of the product</w:t>
      </w:r>
    </w:p>
    <w:bookmarkEnd w:id="17"/>
    <w:p w14:paraId="7376BAF1" w14:textId="77777777" w:rsidR="00BE2414" w:rsidRPr="00B324DD" w:rsidRDefault="00BE2414" w:rsidP="00527BD9">
      <w:pPr>
        <w:spacing w:before="240"/>
      </w:pPr>
      <w:r>
        <w:t>The Review recommends that the Australian Government:</w:t>
      </w:r>
    </w:p>
    <w:p w14:paraId="2CEEA5CA" w14:textId="77777777" w:rsidR="00BE2414" w:rsidRPr="00F42661" w:rsidRDefault="00BE2414" w:rsidP="00F20014">
      <w:pPr>
        <w:pStyle w:val="ListParagraph"/>
        <w:numPr>
          <w:ilvl w:val="0"/>
          <w:numId w:val="48"/>
        </w:numPr>
        <w:rPr>
          <w:rFonts w:cs="Segoe UI"/>
        </w:rPr>
      </w:pPr>
      <w:r>
        <w:rPr>
          <w:rFonts w:cs="Segoe UI"/>
        </w:rPr>
        <w:t>s</w:t>
      </w:r>
      <w:r w:rsidRPr="00F42661">
        <w:rPr>
          <w:rFonts w:cs="Segoe UI"/>
        </w:rPr>
        <w:t>upport and resource the development of a framework to assess</w:t>
      </w:r>
      <w:r w:rsidRPr="00F42661" w:rsidDel="008F1706">
        <w:rPr>
          <w:rFonts w:cs="Segoe UI"/>
        </w:rPr>
        <w:t xml:space="preserve"> </w:t>
      </w:r>
      <w:r w:rsidRPr="00F42661">
        <w:rPr>
          <w:rFonts w:cs="Segoe UI"/>
        </w:rPr>
        <w:t>vaccine submission</w:t>
      </w:r>
      <w:r>
        <w:rPr>
          <w:rFonts w:cs="Segoe UI"/>
        </w:rPr>
        <w:t>s</w:t>
      </w:r>
      <w:r w:rsidRPr="00F42661">
        <w:rPr>
          <w:rFonts w:cs="Segoe UI"/>
        </w:rPr>
        <w:t xml:space="preserve"> for the level of risk and complexity of advice required</w:t>
      </w:r>
      <w:r>
        <w:rPr>
          <w:rFonts w:cs="Segoe UI"/>
        </w:rPr>
        <w:t xml:space="preserve">, building on </w:t>
      </w:r>
      <w:r w:rsidRPr="00F42661">
        <w:rPr>
          <w:rFonts w:cs="Segoe UI"/>
        </w:rPr>
        <w:t>the advice provided for sponsors through the</w:t>
      </w:r>
      <w:hyperlink r:id="rId13" w:tgtFrame="_blank" w:history="1">
        <w:r w:rsidRPr="001C1082">
          <w:rPr>
            <w:rFonts w:cs="Segoe UI"/>
          </w:rPr>
          <w:t xml:space="preserve"> </w:t>
        </w:r>
        <w:r w:rsidRPr="00A6244E">
          <w:rPr>
            <w:rFonts w:cs="Segoe UI"/>
          </w:rPr>
          <w:t>Australian Technical Advisory Group on Immunisation (ATAGI)</w:t>
        </w:r>
        <w:r>
          <w:rPr>
            <w:rFonts w:cs="Segoe UI"/>
          </w:rPr>
          <w:t xml:space="preserve"> G</w:t>
        </w:r>
        <w:r w:rsidRPr="00F42661">
          <w:rPr>
            <w:rFonts w:cs="Segoe UI"/>
          </w:rPr>
          <w:t>uidelines</w:t>
        </w:r>
      </w:hyperlink>
      <w:r w:rsidRPr="00F42661">
        <w:rPr>
          <w:rFonts w:cs="Segoe UI"/>
        </w:rPr>
        <w:t xml:space="preserve">. This </w:t>
      </w:r>
      <w:r>
        <w:rPr>
          <w:rFonts w:cs="Segoe UI"/>
        </w:rPr>
        <w:t xml:space="preserve">framework </w:t>
      </w:r>
      <w:r w:rsidRPr="00F42661">
        <w:rPr>
          <w:rFonts w:cs="Segoe UI"/>
        </w:rPr>
        <w:t>should be developed in consultation with stakeholders</w:t>
      </w:r>
      <w:r>
        <w:rPr>
          <w:rFonts w:cs="Segoe UI"/>
        </w:rPr>
        <w:t>,</w:t>
      </w:r>
      <w:r w:rsidRPr="00F42661">
        <w:rPr>
          <w:rFonts w:cs="Segoe UI"/>
        </w:rPr>
        <w:t xml:space="preserve"> including ATAGI, </w:t>
      </w:r>
      <w:r>
        <w:rPr>
          <w:rFonts w:cs="Segoe UI"/>
        </w:rPr>
        <w:t xml:space="preserve">the </w:t>
      </w:r>
      <w:r w:rsidRPr="00A6244E">
        <w:rPr>
          <w:rFonts w:cs="Segoe UI"/>
        </w:rPr>
        <w:t>Pharmaceutical Benefits Advisory Committee (PBAC)</w:t>
      </w:r>
      <w:r w:rsidRPr="00F42661">
        <w:rPr>
          <w:rFonts w:cs="Segoe UI"/>
        </w:rPr>
        <w:t>, and academi</w:t>
      </w:r>
      <w:r>
        <w:rPr>
          <w:rFonts w:cs="Segoe UI"/>
        </w:rPr>
        <w:t>c experts and</w:t>
      </w:r>
      <w:r w:rsidRPr="00F42661" w:rsidDel="00A11F05">
        <w:rPr>
          <w:rFonts w:cs="Segoe UI"/>
        </w:rPr>
        <w:t xml:space="preserve"> </w:t>
      </w:r>
      <w:r w:rsidRPr="00F42661">
        <w:rPr>
          <w:rFonts w:cs="Segoe UI"/>
        </w:rPr>
        <w:t>evaluators</w:t>
      </w:r>
    </w:p>
    <w:p w14:paraId="5A5B0222" w14:textId="77777777" w:rsidR="00BE2414" w:rsidRPr="00F42661" w:rsidRDefault="00BE2414" w:rsidP="00F20014">
      <w:pPr>
        <w:pStyle w:val="ListParagraph"/>
        <w:numPr>
          <w:ilvl w:val="0"/>
          <w:numId w:val="48"/>
        </w:numPr>
        <w:rPr>
          <w:rFonts w:cs="Segoe UI"/>
        </w:rPr>
      </w:pPr>
      <w:r>
        <w:rPr>
          <w:rFonts w:cs="Segoe UI"/>
        </w:rPr>
        <w:t>d</w:t>
      </w:r>
      <w:r w:rsidRPr="00F42661">
        <w:rPr>
          <w:rFonts w:cs="Segoe UI"/>
        </w:rPr>
        <w:t xml:space="preserve">evelop a proportionate appraisal mechanism and pathway for vaccine submissions in consultation with ATAGI, </w:t>
      </w:r>
      <w:r>
        <w:rPr>
          <w:rFonts w:cs="Segoe UI"/>
        </w:rPr>
        <w:t xml:space="preserve">the </w:t>
      </w:r>
      <w:r w:rsidRPr="00A6244E">
        <w:rPr>
          <w:rFonts w:cs="Segoe UI"/>
        </w:rPr>
        <w:t>Therapeutic Goods Administration (TGA)</w:t>
      </w:r>
      <w:r>
        <w:rPr>
          <w:rFonts w:cs="Segoe UI"/>
        </w:rPr>
        <w:t xml:space="preserve">, </w:t>
      </w:r>
      <w:r w:rsidRPr="00F42661">
        <w:rPr>
          <w:rFonts w:cs="Segoe UI"/>
        </w:rPr>
        <w:t>the PBAC</w:t>
      </w:r>
      <w:r>
        <w:rPr>
          <w:rFonts w:cs="Segoe UI"/>
        </w:rPr>
        <w:t xml:space="preserve"> and industry</w:t>
      </w:r>
      <w:r w:rsidRPr="00F42661">
        <w:rPr>
          <w:rFonts w:cs="Segoe UI"/>
        </w:rPr>
        <w:t xml:space="preserve"> that:​</w:t>
      </w:r>
    </w:p>
    <w:p w14:paraId="706DC4B1" w14:textId="77777777" w:rsidR="00BE2414" w:rsidRPr="001C1082" w:rsidRDefault="00BE2414" w:rsidP="00F20014">
      <w:pPr>
        <w:pStyle w:val="ListParagraph"/>
        <w:numPr>
          <w:ilvl w:val="1"/>
          <w:numId w:val="48"/>
        </w:numPr>
        <w:rPr>
          <w:rFonts w:cs="Segoe UI"/>
        </w:rPr>
      </w:pPr>
      <w:r w:rsidRPr="001C1082">
        <w:rPr>
          <w:rFonts w:cs="Segoe UI"/>
        </w:rPr>
        <w:t>has a single front door mechanism for vaccine sponsors to make submissions for the National Immunisation Program (NIP) to the TGA, ATAGI and the PBAC</w:t>
      </w:r>
    </w:p>
    <w:p w14:paraId="3E1F9B2F" w14:textId="77777777" w:rsidR="00BE2414" w:rsidRPr="001C1082" w:rsidRDefault="00BE2414" w:rsidP="00F20014">
      <w:pPr>
        <w:pStyle w:val="ListParagraph"/>
        <w:numPr>
          <w:ilvl w:val="1"/>
          <w:numId w:val="48"/>
        </w:numPr>
        <w:rPr>
          <w:rFonts w:cs="Segoe UI"/>
        </w:rPr>
      </w:pPr>
      <w:r w:rsidRPr="001C1082">
        <w:rPr>
          <w:rFonts w:cs="Segoe UI"/>
        </w:rPr>
        <w:t>includes resourcing to enable early triaging and preliminary evaluation of vaccine submissions to determine the complexity and risk of each vaccine submitted (based on the sponsor’s self-nomination)</w:t>
      </w:r>
    </w:p>
    <w:p w14:paraId="5D912EAB" w14:textId="77777777" w:rsidR="00BE2414" w:rsidRPr="001C1082" w:rsidRDefault="00BE2414" w:rsidP="00F20014">
      <w:pPr>
        <w:pStyle w:val="ListParagraph"/>
        <w:numPr>
          <w:ilvl w:val="1"/>
          <w:numId w:val="48"/>
        </w:numPr>
        <w:rPr>
          <w:rFonts w:cs="Segoe UI"/>
        </w:rPr>
      </w:pPr>
      <w:r w:rsidRPr="001C1082">
        <w:rPr>
          <w:rFonts w:cs="Segoe UI"/>
        </w:rPr>
        <w:t>ensures the level of assessment effort is proportionate to the level of risk and complexity of the submission</w:t>
      </w:r>
    </w:p>
    <w:p w14:paraId="25B832BC" w14:textId="77777777" w:rsidR="00BE2414" w:rsidRPr="001C1082" w:rsidRDefault="00BE2414" w:rsidP="00F20014">
      <w:pPr>
        <w:pStyle w:val="ListParagraph"/>
        <w:numPr>
          <w:ilvl w:val="1"/>
          <w:numId w:val="48"/>
        </w:numPr>
        <w:rPr>
          <w:rFonts w:cs="Segoe UI"/>
        </w:rPr>
      </w:pPr>
      <w:r w:rsidRPr="001C1082">
        <w:rPr>
          <w:rFonts w:cs="Segoe UI"/>
        </w:rPr>
        <w:lastRenderedPageBreak/>
        <w:t xml:space="preserve">is supported by the expansion of the evaluator groups used for the PBAC submissions </w:t>
      </w:r>
      <w:r w:rsidRPr="001C1082" w:rsidDel="008346E4">
        <w:rPr>
          <w:rFonts w:cs="Segoe UI"/>
        </w:rPr>
        <w:t xml:space="preserve">to </w:t>
      </w:r>
      <w:r w:rsidRPr="001C1082">
        <w:rPr>
          <w:rFonts w:cs="Segoe UI"/>
        </w:rPr>
        <w:t>include vaccine evaluation experts to assess each sponsor’s submission and produce a single comprehensive assessment report (reducing the time needed and duplication, and adding consistency and continuity)</w:t>
      </w:r>
    </w:p>
    <w:p w14:paraId="267F1D41" w14:textId="77777777" w:rsidR="00BE2414" w:rsidRPr="001C1082" w:rsidRDefault="00BE2414" w:rsidP="00F20014">
      <w:pPr>
        <w:pStyle w:val="ListParagraph"/>
        <w:numPr>
          <w:ilvl w:val="1"/>
          <w:numId w:val="48"/>
        </w:numPr>
        <w:rPr>
          <w:rFonts w:cs="Segoe UI"/>
        </w:rPr>
      </w:pPr>
      <w:r w:rsidRPr="001C1082">
        <w:rPr>
          <w:rFonts w:cs="Segoe UI"/>
        </w:rPr>
        <w:t>aligns ATAGI and PBAC Secretariat processes and functions</w:t>
      </w:r>
    </w:p>
    <w:p w14:paraId="759220F9" w14:textId="7B498D78" w:rsidR="00BE2414" w:rsidRPr="001C1082" w:rsidRDefault="00BE2414" w:rsidP="00F20014">
      <w:pPr>
        <w:pStyle w:val="ListParagraph"/>
        <w:numPr>
          <w:ilvl w:val="1"/>
          <w:numId w:val="48"/>
        </w:numPr>
        <w:rPr>
          <w:rFonts w:cs="Segoe UI"/>
        </w:rPr>
      </w:pPr>
      <w:r w:rsidRPr="001C1082">
        <w:rPr>
          <w:rFonts w:cs="Segoe UI"/>
        </w:rPr>
        <w:t>includes a process that allows for the ATAGI meeting to occur before the PBAC Economic Sub-Committee (PBAC ESC) meeting to enable the PBAC ESC to consider ATAGI advice</w:t>
      </w:r>
      <w:r w:rsidR="00D22EE0">
        <w:rPr>
          <w:rFonts w:cs="Segoe UI"/>
        </w:rPr>
        <w:t>.</w:t>
      </w:r>
    </w:p>
    <w:p w14:paraId="0207F2E9" w14:textId="77777777" w:rsidR="00BE2414" w:rsidRPr="001C1082" w:rsidRDefault="00BE2414" w:rsidP="00F20014">
      <w:pPr>
        <w:pStyle w:val="ListParagraph"/>
        <w:numPr>
          <w:ilvl w:val="0"/>
          <w:numId w:val="48"/>
        </w:numPr>
        <w:rPr>
          <w:rFonts w:cs="Segoe UI"/>
        </w:rPr>
      </w:pPr>
      <w:r w:rsidRPr="001C1082">
        <w:rPr>
          <w:rFonts w:cs="Segoe UI"/>
        </w:rPr>
        <w:t xml:space="preserve">examine the opportunity to delegate to ATAGI the authority to recommend a new vaccine for a </w:t>
      </w:r>
      <w:r w:rsidRPr="00405FD7">
        <w:rPr>
          <w:rFonts w:cs="Segoe UI"/>
        </w:rPr>
        <w:t>disease</w:t>
      </w:r>
      <w:r w:rsidRPr="001C1082">
        <w:rPr>
          <w:rFonts w:cs="Segoe UI"/>
        </w:rPr>
        <w:t xml:space="preserve"> if the vaccine is being cost-minimised to an existing PBAC-recommended vaccine. </w:t>
      </w:r>
    </w:p>
    <w:p w14:paraId="05FE9144" w14:textId="77777777" w:rsidR="00BE2414" w:rsidRPr="002724B9" w:rsidRDefault="00BE2414" w:rsidP="00484B58">
      <w:pPr>
        <w:pStyle w:val="Recommendation1"/>
      </w:pPr>
      <w:bookmarkStart w:id="18" w:name="_Hlk167301866"/>
      <w:r w:rsidRPr="002724B9">
        <w:t xml:space="preserve">Proactive vaccine </w:t>
      </w:r>
      <w:r>
        <w:t>assessment</w:t>
      </w:r>
      <w:r w:rsidRPr="002724B9">
        <w:t xml:space="preserve"> pathway</w:t>
      </w:r>
    </w:p>
    <w:bookmarkEnd w:id="18"/>
    <w:p w14:paraId="12178F29" w14:textId="77777777" w:rsidR="00BE2414" w:rsidRDefault="00BE2414" w:rsidP="00527BD9">
      <w:pPr>
        <w:spacing w:after="0"/>
        <w:rPr>
          <w:rFonts w:eastAsia="Calibri"/>
        </w:rPr>
      </w:pPr>
      <w:r>
        <w:t xml:space="preserve">The Review recommends that the Australian Government </w:t>
      </w:r>
      <w:r>
        <w:rPr>
          <w:rFonts w:eastAsia="Calibri"/>
        </w:rPr>
        <w:t>d</w:t>
      </w:r>
      <w:r w:rsidRPr="005C48C5">
        <w:rPr>
          <w:rFonts w:eastAsia="Calibri"/>
        </w:rPr>
        <w:t xml:space="preserve">evelop a process </w:t>
      </w:r>
      <w:r>
        <w:rPr>
          <w:rFonts w:eastAsia="Calibri"/>
        </w:rPr>
        <w:t>for</w:t>
      </w:r>
      <w:r w:rsidRPr="005C48C5">
        <w:rPr>
          <w:rFonts w:eastAsia="Calibri"/>
        </w:rPr>
        <w:t xml:space="preserve"> proactive</w:t>
      </w:r>
      <w:r>
        <w:rPr>
          <w:rFonts w:eastAsia="Calibri"/>
        </w:rPr>
        <w:t xml:space="preserve"> modelling and</w:t>
      </w:r>
      <w:r w:rsidRPr="005C48C5">
        <w:rPr>
          <w:rFonts w:eastAsia="Calibri"/>
        </w:rPr>
        <w:t xml:space="preserve"> consider</w:t>
      </w:r>
      <w:r>
        <w:rPr>
          <w:rFonts w:eastAsia="Calibri"/>
        </w:rPr>
        <w:t>ing</w:t>
      </w:r>
      <w:r w:rsidRPr="005C48C5">
        <w:rPr>
          <w:rFonts w:eastAsia="Calibri"/>
        </w:rPr>
        <w:t xml:space="preserve"> how new products or potential </w:t>
      </w:r>
      <w:r>
        <w:rPr>
          <w:rFonts w:eastAsia="Calibri"/>
        </w:rPr>
        <w:t xml:space="preserve">changes to the </w:t>
      </w:r>
      <w:r w:rsidRPr="005C48C5">
        <w:rPr>
          <w:rFonts w:eastAsia="Calibri"/>
        </w:rPr>
        <w:t>vaccine program could impact disease burden and inform</w:t>
      </w:r>
      <w:r>
        <w:rPr>
          <w:rFonts w:eastAsia="Calibri"/>
        </w:rPr>
        <w:t xml:space="preserve"> which vaccines, invitations</w:t>
      </w:r>
      <w:r w:rsidRPr="005C48C5">
        <w:rPr>
          <w:rFonts w:eastAsia="Calibri"/>
        </w:rPr>
        <w:t xml:space="preserve"> for submissions or tender</w:t>
      </w:r>
      <w:r>
        <w:rPr>
          <w:rFonts w:eastAsia="Calibri"/>
        </w:rPr>
        <w:t>s are made for</w:t>
      </w:r>
      <w:r w:rsidRPr="005C48C5">
        <w:rPr>
          <w:rFonts w:eastAsia="Calibri"/>
        </w:rPr>
        <w:t>. This process should</w:t>
      </w:r>
      <w:r>
        <w:rPr>
          <w:rFonts w:eastAsia="Calibri"/>
        </w:rPr>
        <w:t>:</w:t>
      </w:r>
    </w:p>
    <w:p w14:paraId="2CDBDDDF" w14:textId="77777777" w:rsidR="00BE2414" w:rsidRPr="001C1082" w:rsidRDefault="00BE2414" w:rsidP="00F20014">
      <w:pPr>
        <w:pStyle w:val="ListParagraph"/>
        <w:numPr>
          <w:ilvl w:val="0"/>
          <w:numId w:val="49"/>
        </w:numPr>
        <w:rPr>
          <w:rFonts w:cs="Segoe UI"/>
        </w:rPr>
      </w:pPr>
      <w:r w:rsidRPr="001C1082">
        <w:rPr>
          <w:rFonts w:cs="Segoe UI"/>
        </w:rPr>
        <w:t xml:space="preserve">be developed in </w:t>
      </w:r>
      <w:r w:rsidRPr="007D73F8">
        <w:rPr>
          <w:rFonts w:cs="Segoe UI"/>
        </w:rPr>
        <w:t>collaboration</w:t>
      </w:r>
      <w:r w:rsidRPr="001C1082">
        <w:rPr>
          <w:rFonts w:cs="Segoe UI"/>
        </w:rPr>
        <w:t xml:space="preserve"> with the Australian Technical Advisory Group on Immunisation (ATAGI) and other relevant stakeholders</w:t>
      </w:r>
    </w:p>
    <w:p w14:paraId="09DB7145" w14:textId="77777777" w:rsidR="00BE2414" w:rsidRPr="001C1082" w:rsidRDefault="00BE2414" w:rsidP="00F20014">
      <w:pPr>
        <w:pStyle w:val="ListParagraph"/>
        <w:numPr>
          <w:ilvl w:val="0"/>
          <w:numId w:val="49"/>
        </w:numPr>
        <w:rPr>
          <w:rFonts w:cs="Segoe UI"/>
        </w:rPr>
      </w:pPr>
      <w:r w:rsidRPr="001C1082">
        <w:rPr>
          <w:rFonts w:cs="Segoe UI"/>
        </w:rPr>
        <w:t xml:space="preserve">include the ability to undertake independent modelling as recommended by ATAGI </w:t>
      </w:r>
    </w:p>
    <w:p w14:paraId="42951735" w14:textId="6BB11E99" w:rsidR="00BE2414" w:rsidRPr="001C1082" w:rsidRDefault="00BE2414" w:rsidP="00F20014">
      <w:pPr>
        <w:pStyle w:val="ListParagraph"/>
        <w:numPr>
          <w:ilvl w:val="0"/>
          <w:numId w:val="49"/>
        </w:numPr>
        <w:rPr>
          <w:rFonts w:cs="Segoe UI"/>
        </w:rPr>
      </w:pPr>
      <w:r w:rsidRPr="001C1082">
        <w:rPr>
          <w:rFonts w:cs="Segoe UI"/>
        </w:rPr>
        <w:t>be supported by the development of a coordinated horizon scanning process including ATAGI, the Therapeutic Goods Administration</w:t>
      </w:r>
      <w:r w:rsidR="00625CFE">
        <w:rPr>
          <w:rFonts w:cs="Segoe UI"/>
        </w:rPr>
        <w:t xml:space="preserve"> (TGA)</w:t>
      </w:r>
      <w:r w:rsidRPr="001C1082">
        <w:rPr>
          <w:rFonts w:cs="Segoe UI"/>
        </w:rPr>
        <w:t xml:space="preserve">, the Pharmaceutical Benefits Advisory Committee (PBAC), the Department </w:t>
      </w:r>
      <w:r>
        <w:rPr>
          <w:rFonts w:cs="Segoe UI"/>
        </w:rPr>
        <w:t>of Health and Aged Care</w:t>
      </w:r>
      <w:r w:rsidRPr="001C1082">
        <w:rPr>
          <w:rFonts w:cs="Segoe UI"/>
        </w:rPr>
        <w:t xml:space="preserve"> and the Australian Centre for Disease Control</w:t>
      </w:r>
    </w:p>
    <w:p w14:paraId="6CA811BF" w14:textId="77777777" w:rsidR="00BE2414" w:rsidRPr="001C1082" w:rsidRDefault="00BE2414" w:rsidP="00F20014">
      <w:pPr>
        <w:pStyle w:val="ListParagraph"/>
        <w:numPr>
          <w:ilvl w:val="0"/>
          <w:numId w:val="49"/>
        </w:numPr>
        <w:rPr>
          <w:rFonts w:cs="Segoe UI"/>
        </w:rPr>
      </w:pPr>
      <w:r w:rsidRPr="001C1082">
        <w:rPr>
          <w:rFonts w:cs="Segoe UI"/>
        </w:rPr>
        <w:t xml:space="preserve">include a process for early alignment of the </w:t>
      </w:r>
      <w:r w:rsidRPr="008C6DAF">
        <w:rPr>
          <w:rFonts w:cs="Segoe UI"/>
        </w:rPr>
        <w:t xml:space="preserve">Population, Intervention, Comparator, and Outcome </w:t>
      </w:r>
      <w:r>
        <w:rPr>
          <w:rFonts w:cs="Segoe UI"/>
        </w:rPr>
        <w:t xml:space="preserve">– or </w:t>
      </w:r>
      <w:r w:rsidRPr="001C1082">
        <w:rPr>
          <w:rFonts w:cs="Segoe UI"/>
        </w:rPr>
        <w:t>PICO – scoping</w:t>
      </w:r>
      <w:r w:rsidRPr="001C1082" w:rsidDel="00CD465F">
        <w:rPr>
          <w:rFonts w:cs="Segoe UI"/>
        </w:rPr>
        <w:t xml:space="preserve"> </w:t>
      </w:r>
      <w:r w:rsidRPr="001C1082">
        <w:rPr>
          <w:rFonts w:cs="Segoe UI"/>
        </w:rPr>
        <w:t xml:space="preserve">criteria </w:t>
      </w:r>
    </w:p>
    <w:p w14:paraId="06BDCB78" w14:textId="77777777" w:rsidR="00BE2414" w:rsidRPr="001C1082" w:rsidRDefault="00BE2414" w:rsidP="00F20014">
      <w:pPr>
        <w:pStyle w:val="ListParagraph"/>
        <w:numPr>
          <w:ilvl w:val="0"/>
          <w:numId w:val="49"/>
        </w:numPr>
        <w:rPr>
          <w:rFonts w:cs="Segoe UI"/>
        </w:rPr>
      </w:pPr>
      <w:r w:rsidRPr="001C1082">
        <w:rPr>
          <w:rFonts w:cs="Segoe UI"/>
        </w:rPr>
        <w:t xml:space="preserve">include requesting that sponsors engage early to discuss their vaccine proposals and provide relevant data to ATAGI as it becomes available, to ensure that ATAGI can prepare to provide advice.​ </w:t>
      </w:r>
    </w:p>
    <w:p w14:paraId="1911B991" w14:textId="77777777" w:rsidR="00E47913" w:rsidRPr="008F01C6" w:rsidRDefault="00E47913" w:rsidP="00484B58">
      <w:pPr>
        <w:pStyle w:val="Recommendation1"/>
      </w:pPr>
      <w:bookmarkStart w:id="19" w:name="_Ref166788898"/>
      <w:bookmarkStart w:id="20" w:name="_Hlk167301883"/>
      <w:r>
        <w:t>Improved</w:t>
      </w:r>
      <w:r w:rsidRPr="00BD105A">
        <w:t xml:space="preserve"> processes, accountability and timeliness for </w:t>
      </w:r>
      <w:r>
        <w:t>h</w:t>
      </w:r>
      <w:r w:rsidRPr="00BD105A">
        <w:t xml:space="preserve">ighly </w:t>
      </w:r>
      <w:proofErr w:type="spellStart"/>
      <w:r>
        <w:t>s</w:t>
      </w:r>
      <w:r w:rsidRPr="00BD105A">
        <w:t>pecialised</w:t>
      </w:r>
      <w:proofErr w:type="spellEnd"/>
      <w:r w:rsidRPr="00BD105A">
        <w:t xml:space="preserve"> </w:t>
      </w:r>
      <w:r>
        <w:t>t</w:t>
      </w:r>
      <w:r w:rsidRPr="00BD105A">
        <w:t xml:space="preserve">herapies and other therapies co-funded between the </w:t>
      </w:r>
      <w:r>
        <w:t>Australian</w:t>
      </w:r>
      <w:r w:rsidRPr="00BD105A">
        <w:t xml:space="preserve"> and state and territory governments</w:t>
      </w:r>
      <w:bookmarkEnd w:id="19"/>
    </w:p>
    <w:bookmarkEnd w:id="20"/>
    <w:p w14:paraId="5808A4F3" w14:textId="77777777" w:rsidR="00E47913" w:rsidRDefault="00E47913" w:rsidP="00527BD9">
      <w:r>
        <w:t>The Review recommends that the Australian Government:</w:t>
      </w:r>
    </w:p>
    <w:p w14:paraId="5EACDDBC" w14:textId="141E5B10" w:rsidR="00E47913" w:rsidRDefault="00E47913" w:rsidP="002F06FE">
      <w:pPr>
        <w:pStyle w:val="ListParagraph"/>
        <w:numPr>
          <w:ilvl w:val="0"/>
          <w:numId w:val="10"/>
        </w:numPr>
        <w:spacing w:before="0" w:after="160"/>
        <w:rPr>
          <w:rFonts w:eastAsia="Calibri" w:cs="Segoe UI"/>
        </w:rPr>
      </w:pPr>
      <w:r>
        <w:rPr>
          <w:rFonts w:eastAsia="Calibri" w:cs="Segoe UI"/>
        </w:rPr>
        <w:lastRenderedPageBreak/>
        <w:t>e</w:t>
      </w:r>
      <w:r w:rsidRPr="00031CA0">
        <w:rPr>
          <w:rFonts w:eastAsia="Calibri" w:cs="Segoe UI"/>
        </w:rPr>
        <w:t xml:space="preserve">ncourage and provide support </w:t>
      </w:r>
      <w:r>
        <w:rPr>
          <w:rFonts w:eastAsia="Calibri" w:cs="Segoe UI"/>
        </w:rPr>
        <w:t xml:space="preserve">for </w:t>
      </w:r>
      <w:r w:rsidRPr="00010391">
        <w:rPr>
          <w:rFonts w:eastAsia="Calibri" w:cs="Segoe UI"/>
        </w:rPr>
        <w:t>expediting</w:t>
      </w:r>
      <w:r w:rsidRPr="00786ED0">
        <w:rPr>
          <w:rFonts w:eastAsia="Calibri" w:cs="Segoe UI"/>
        </w:rPr>
        <w:t xml:space="preserve"> the development and implementation of </w:t>
      </w:r>
      <w:r>
        <w:rPr>
          <w:rFonts w:eastAsia="Calibri" w:cs="Segoe UI"/>
        </w:rPr>
        <w:t>a</w:t>
      </w:r>
      <w:r w:rsidRPr="00786ED0">
        <w:rPr>
          <w:rFonts w:eastAsia="Calibri" w:cs="Segoe UI"/>
        </w:rPr>
        <w:t xml:space="preserve"> nationally cohesive approach to </w:t>
      </w:r>
      <w:r w:rsidRPr="006423D4">
        <w:rPr>
          <w:rFonts w:eastAsia="Calibri" w:cs="Segoe UI"/>
        </w:rPr>
        <w:t>HTA</w:t>
      </w:r>
      <w:r>
        <w:rPr>
          <w:rFonts w:eastAsia="Calibri" w:cs="Segoe UI"/>
        </w:rPr>
        <w:t xml:space="preserve">s </w:t>
      </w:r>
      <w:r w:rsidRPr="00786ED0">
        <w:rPr>
          <w:rFonts w:eastAsia="Calibri" w:cs="Segoe UI"/>
        </w:rPr>
        <w:t xml:space="preserve">as outlined in </w:t>
      </w:r>
      <w:r w:rsidRPr="00DD10A4">
        <w:rPr>
          <w:rFonts w:eastAsia="Calibri" w:cs="Segoe UI"/>
        </w:rPr>
        <w:t>Schedule C of the</w:t>
      </w:r>
      <w:r>
        <w:rPr>
          <w:rFonts w:eastAsia="Calibri" w:cs="Segoe UI"/>
        </w:rPr>
        <w:t xml:space="preserve"> </w:t>
      </w:r>
      <w:r w:rsidRPr="00DD10A4">
        <w:rPr>
          <w:rFonts w:eastAsia="Calibri" w:cs="Segoe UI"/>
        </w:rPr>
        <w:t>2020</w:t>
      </w:r>
      <w:r>
        <w:rPr>
          <w:rFonts w:eastAsia="Calibri" w:cs="Segoe UI"/>
        </w:rPr>
        <w:t>–</w:t>
      </w:r>
      <w:r>
        <w:rPr>
          <w:rFonts w:eastAsia="Calibri" w:cs="Segoe UI"/>
          <w:iCs/>
        </w:rPr>
        <w:t>2</w:t>
      </w:r>
      <w:r w:rsidRPr="00DD10A4">
        <w:rPr>
          <w:rFonts w:eastAsia="Calibri" w:cs="Segoe UI"/>
          <w:iCs/>
        </w:rPr>
        <w:t>5</w:t>
      </w:r>
      <w:r w:rsidRPr="00DD10A4">
        <w:rPr>
          <w:rFonts w:eastAsia="Calibri" w:cs="Segoe UI"/>
        </w:rPr>
        <w:t xml:space="preserve"> Addendum</w:t>
      </w:r>
      <w:r>
        <w:rPr>
          <w:rFonts w:eastAsia="Calibri" w:cs="Segoe UI"/>
        </w:rPr>
        <w:t xml:space="preserve"> to the</w:t>
      </w:r>
      <w:r w:rsidRPr="00DD10A4">
        <w:rPr>
          <w:rFonts w:eastAsia="Calibri" w:cs="Segoe UI"/>
        </w:rPr>
        <w:t xml:space="preserve"> National Health Reform Agreement (NHRA)</w:t>
      </w:r>
      <w:r w:rsidRPr="00786ED0">
        <w:rPr>
          <w:rFonts w:eastAsia="Calibri" w:cs="Segoe UI"/>
        </w:rPr>
        <w:t xml:space="preserve"> </w:t>
      </w:r>
    </w:p>
    <w:p w14:paraId="28C35EDF" w14:textId="77777777" w:rsidR="00E47913" w:rsidRPr="00B61FDC" w:rsidRDefault="00E47913" w:rsidP="002F06FE">
      <w:pPr>
        <w:pStyle w:val="ListParagraph"/>
        <w:numPr>
          <w:ilvl w:val="0"/>
          <w:numId w:val="10"/>
        </w:numPr>
        <w:spacing w:before="0" w:after="160"/>
        <w:rPr>
          <w:rFonts w:eastAsia="Calibri" w:cs="Segoe UI"/>
          <w:iCs/>
        </w:rPr>
      </w:pPr>
      <w:r>
        <w:rPr>
          <w:rFonts w:eastAsia="Calibri" w:cs="Segoe UI"/>
        </w:rPr>
        <w:t>d</w:t>
      </w:r>
      <w:r w:rsidRPr="00FA0FC9">
        <w:rPr>
          <w:rFonts w:eastAsia="Calibri" w:cs="Segoe UI"/>
        </w:rPr>
        <w:t>evelop a national HTA framework</w:t>
      </w:r>
      <w:r>
        <w:rPr>
          <w:rFonts w:eastAsia="Calibri" w:cs="Segoe UI"/>
        </w:rPr>
        <w:t>,</w:t>
      </w:r>
      <w:r w:rsidRPr="00FA0FC9">
        <w:rPr>
          <w:rFonts w:eastAsia="Calibri" w:cs="Segoe UI"/>
        </w:rPr>
        <w:t xml:space="preserve"> including processes for HTA</w:t>
      </w:r>
      <w:r>
        <w:rPr>
          <w:rFonts w:eastAsia="Calibri" w:cs="Segoe UI"/>
        </w:rPr>
        <w:t>s</w:t>
      </w:r>
      <w:r w:rsidRPr="00FA0FC9">
        <w:rPr>
          <w:rFonts w:eastAsia="Calibri" w:cs="Segoe UI"/>
        </w:rPr>
        <w:t xml:space="preserve"> to inform advice on implementation, investment and disinvestment opportunities at </w:t>
      </w:r>
      <w:r>
        <w:rPr>
          <w:rFonts w:eastAsia="Calibri" w:cs="Segoe UI"/>
        </w:rPr>
        <w:t>national</w:t>
      </w:r>
      <w:r w:rsidRPr="00FA0FC9">
        <w:rPr>
          <w:rFonts w:eastAsia="Calibri" w:cs="Segoe UI"/>
        </w:rPr>
        <w:t xml:space="preserve"> and </w:t>
      </w:r>
      <w:r>
        <w:rPr>
          <w:rFonts w:eastAsia="Calibri" w:cs="Segoe UI"/>
        </w:rPr>
        <w:t>s</w:t>
      </w:r>
      <w:r w:rsidRPr="00FA0FC9">
        <w:rPr>
          <w:rFonts w:eastAsia="Calibri" w:cs="Segoe UI"/>
        </w:rPr>
        <w:t xml:space="preserve">tate levels. This work should leverage work already underway through the Health Technology and Genomics Collaboration </w:t>
      </w:r>
      <w:r>
        <w:rPr>
          <w:rFonts w:eastAsia="Calibri" w:cs="Segoe UI"/>
        </w:rPr>
        <w:t>and align with the unified pathway (see ‘</w:t>
      </w:r>
      <w:r w:rsidRPr="00B61FDC">
        <w:rPr>
          <w:rFonts w:eastAsia="Calibri" w:cs="Segoe UI"/>
        </w:rPr>
        <w:fldChar w:fldCharType="begin" w:fldLock="1"/>
      </w:r>
      <w:r w:rsidRPr="00B61FDC">
        <w:rPr>
          <w:rFonts w:eastAsia="Calibri" w:cs="Segoe UI"/>
        </w:rPr>
        <w:instrText xml:space="preserve"> REF _Ref166785329 \r \h  \* MERGEFORMAT </w:instrText>
      </w:r>
      <w:r w:rsidRPr="00B61FDC">
        <w:rPr>
          <w:rFonts w:eastAsia="Calibri" w:cs="Segoe UI"/>
        </w:rPr>
      </w:r>
      <w:r w:rsidRPr="00B61FDC">
        <w:rPr>
          <w:rFonts w:eastAsia="Calibri" w:cs="Segoe UI"/>
        </w:rPr>
        <w:fldChar w:fldCharType="separate"/>
      </w:r>
      <w:r w:rsidRPr="00B61FDC">
        <w:rPr>
          <w:rFonts w:eastAsia="Calibri" w:cs="Segoe UI"/>
        </w:rPr>
        <w:t>Recommendation 4</w:t>
      </w:r>
      <w:r w:rsidRPr="00B61FDC">
        <w:rPr>
          <w:rFonts w:eastAsia="Calibri" w:cs="Segoe UI"/>
        </w:rPr>
        <w:fldChar w:fldCharType="end"/>
      </w:r>
      <w:r>
        <w:rPr>
          <w:rFonts w:eastAsia="Calibri" w:cs="Segoe UI"/>
        </w:rPr>
        <w:t xml:space="preserve">. </w:t>
      </w:r>
      <w:r w:rsidRPr="00CB47E7">
        <w:rPr>
          <w:rFonts w:eastAsia="Calibri" w:cs="Segoe UI"/>
          <w:iCs/>
        </w:rPr>
        <w:t>Unified HTA pathway and committee approach for all Australian government funding of health technologies</w:t>
      </w:r>
      <w:r>
        <w:rPr>
          <w:rFonts w:eastAsia="Calibri" w:cs="Segoe UI"/>
          <w:iCs/>
        </w:rPr>
        <w:t>’</w:t>
      </w:r>
      <w:r w:rsidRPr="00B61FDC">
        <w:rPr>
          <w:rFonts w:eastAsia="Calibri" w:cs="Segoe UI"/>
        </w:rPr>
        <w:t>) where appropriate. The Australian Government should:</w:t>
      </w:r>
    </w:p>
    <w:p w14:paraId="6A1B683A" w14:textId="77777777" w:rsidR="00E47913" w:rsidRPr="00824739" w:rsidRDefault="00E47913" w:rsidP="002F06FE">
      <w:pPr>
        <w:pStyle w:val="ListParagraph"/>
        <w:numPr>
          <w:ilvl w:val="1"/>
          <w:numId w:val="9"/>
        </w:numPr>
        <w:spacing w:before="0" w:after="160"/>
        <w:rPr>
          <w:rFonts w:eastAsia="Calibri" w:cs="Segoe UI"/>
        </w:rPr>
      </w:pPr>
      <w:r>
        <w:rPr>
          <w:rFonts w:eastAsia="Calibri" w:cs="Segoe UI"/>
        </w:rPr>
        <w:t>d</w:t>
      </w:r>
      <w:r w:rsidRPr="00824739">
        <w:rPr>
          <w:rFonts w:eastAsia="Calibri" w:cs="Segoe UI"/>
        </w:rPr>
        <w:t>evelop and implement a methodology, in consultation with stakeholders, to consider the cumulative impact of high-cost</w:t>
      </w:r>
      <w:r>
        <w:rPr>
          <w:rFonts w:eastAsia="Calibri" w:cs="Segoe UI"/>
        </w:rPr>
        <w:t>,</w:t>
      </w:r>
      <w:r w:rsidRPr="00824739">
        <w:rPr>
          <w:rFonts w:eastAsia="Calibri" w:cs="Segoe UI"/>
        </w:rPr>
        <w:t xml:space="preserve"> </w:t>
      </w:r>
      <w:r>
        <w:rPr>
          <w:rFonts w:eastAsia="Calibri" w:cs="Segoe UI"/>
        </w:rPr>
        <w:t>highly specialised therapies (</w:t>
      </w:r>
      <w:r w:rsidRPr="00824739">
        <w:rPr>
          <w:rFonts w:eastAsia="Calibri" w:cs="Segoe UI"/>
        </w:rPr>
        <w:t>HSTs</w:t>
      </w:r>
      <w:r>
        <w:rPr>
          <w:rFonts w:eastAsia="Calibri" w:cs="Segoe UI"/>
        </w:rPr>
        <w:t>)</w:t>
      </w:r>
      <w:r w:rsidRPr="00824739">
        <w:rPr>
          <w:rFonts w:eastAsia="Calibri" w:cs="Segoe UI"/>
        </w:rPr>
        <w:t xml:space="preserve"> on the health system, at a national level. This should be used to inform the HTA decision </w:t>
      </w:r>
      <w:r>
        <w:rPr>
          <w:rFonts w:eastAsia="Calibri" w:cs="Segoe UI"/>
        </w:rPr>
        <w:t>and</w:t>
      </w:r>
      <w:r w:rsidRPr="00824739">
        <w:rPr>
          <w:rFonts w:eastAsia="Calibri" w:cs="Segoe UI"/>
        </w:rPr>
        <w:t xml:space="preserve"> reviews of subsidised therapies that ensure the publicly funded therapies being delivered to patients represent the most appropriate treatment pathway for patients</w:t>
      </w:r>
    </w:p>
    <w:p w14:paraId="387A6365" w14:textId="6B9842F6" w:rsidR="00E47913" w:rsidRDefault="00E47913" w:rsidP="002F06FE">
      <w:pPr>
        <w:pStyle w:val="ListParagraph"/>
        <w:numPr>
          <w:ilvl w:val="1"/>
          <w:numId w:val="9"/>
        </w:numPr>
        <w:spacing w:before="0" w:after="160"/>
        <w:rPr>
          <w:rFonts w:eastAsia="Calibri" w:cs="Segoe UI"/>
        </w:rPr>
      </w:pPr>
      <w:r>
        <w:rPr>
          <w:rFonts w:eastAsia="Calibri" w:cs="Segoe UI"/>
        </w:rPr>
        <w:t>d</w:t>
      </w:r>
      <w:r w:rsidRPr="00824739">
        <w:rPr>
          <w:rFonts w:eastAsia="Calibri" w:cs="Segoe UI"/>
        </w:rPr>
        <w:t>evelop, in consultation with relevant stakeholders, criteria to ensure a nationally consistent process for patient selection and allocation for HSTs</w:t>
      </w:r>
      <w:r w:rsidR="007213B4">
        <w:rPr>
          <w:rFonts w:eastAsia="Calibri" w:cs="Segoe UI"/>
        </w:rPr>
        <w:t>.</w:t>
      </w:r>
    </w:p>
    <w:p w14:paraId="4A43E9DD" w14:textId="77777777" w:rsidR="00E47913" w:rsidRPr="00B61FDC" w:rsidRDefault="00E47913" w:rsidP="002F06FE">
      <w:pPr>
        <w:pStyle w:val="ListParagraph"/>
        <w:numPr>
          <w:ilvl w:val="0"/>
          <w:numId w:val="10"/>
        </w:numPr>
        <w:spacing w:before="0" w:after="160"/>
        <w:rPr>
          <w:rFonts w:eastAsia="Calibri" w:cs="Segoe UI"/>
          <w:iCs/>
        </w:rPr>
      </w:pPr>
      <w:r>
        <w:t xml:space="preserve">establish time frames for implementing </w:t>
      </w:r>
      <w:r w:rsidRPr="006423D4">
        <w:t>HSTs</w:t>
      </w:r>
      <w:r>
        <w:t xml:space="preserve">, funded through the 2020–25 Addendum to the NHRA, where </w:t>
      </w:r>
      <w:r w:rsidRPr="00824739">
        <w:rPr>
          <w:rFonts w:eastAsia="Calibri" w:cs="Segoe UI"/>
        </w:rPr>
        <w:t xml:space="preserve">the therapy has a positive HTA recommendation. This should be modelled on </w:t>
      </w:r>
      <w:r>
        <w:rPr>
          <w:rFonts w:eastAsia="Calibri" w:cs="Segoe UI"/>
        </w:rPr>
        <w:t xml:space="preserve">targets agreed </w:t>
      </w:r>
      <w:r w:rsidRPr="00824739">
        <w:rPr>
          <w:rFonts w:eastAsia="Calibri" w:cs="Segoe UI"/>
        </w:rPr>
        <w:t>with respect to the time</w:t>
      </w:r>
      <w:r>
        <w:rPr>
          <w:rFonts w:eastAsia="Calibri" w:cs="Segoe UI"/>
        </w:rPr>
        <w:t xml:space="preserve"> </w:t>
      </w:r>
      <w:r w:rsidRPr="00824739">
        <w:rPr>
          <w:rFonts w:eastAsia="Calibri" w:cs="Segoe UI"/>
        </w:rPr>
        <w:t xml:space="preserve">frames for listing medicines on the </w:t>
      </w:r>
      <w:r w:rsidRPr="00325A0E">
        <w:rPr>
          <w:rFonts w:eastAsia="Calibri" w:cs="Segoe UI"/>
        </w:rPr>
        <w:t>Pharmaceutical Benefits Scheme (PBS</w:t>
      </w:r>
      <w:r w:rsidRPr="00F84883">
        <w:rPr>
          <w:rFonts w:eastAsia="Calibri" w:cs="Segoe UI"/>
        </w:rPr>
        <w:t xml:space="preserve">) (see </w:t>
      </w:r>
      <w:r>
        <w:rPr>
          <w:rFonts w:eastAsia="Calibri" w:cs="Segoe UI"/>
        </w:rPr>
        <w:t>‘</w:t>
      </w:r>
      <w:r w:rsidRPr="00B61FDC">
        <w:rPr>
          <w:rFonts w:eastAsia="Calibri" w:cs="Segoe UI"/>
        </w:rPr>
        <w:t>Recommendation 1</w:t>
      </w:r>
      <w:r>
        <w:rPr>
          <w:rFonts w:eastAsia="Calibri" w:cs="Segoe UI"/>
        </w:rPr>
        <w:t>5. Jointly owned performance targets</w:t>
      </w:r>
      <w:r w:rsidRPr="00B61FDC">
        <w:rPr>
          <w:rFonts w:eastAsia="Calibri" w:cs="Segoe UI"/>
        </w:rPr>
        <w:t>). This process should include:</w:t>
      </w:r>
    </w:p>
    <w:p w14:paraId="2A6FAAC3" w14:textId="77777777" w:rsidR="00E47913" w:rsidRPr="00824739" w:rsidRDefault="00E47913" w:rsidP="002F06FE">
      <w:pPr>
        <w:pStyle w:val="ListParagraph"/>
        <w:numPr>
          <w:ilvl w:val="1"/>
          <w:numId w:val="11"/>
        </w:numPr>
        <w:spacing w:before="0" w:after="160"/>
        <w:rPr>
          <w:rFonts w:eastAsia="Calibri" w:cs="Segoe UI"/>
        </w:rPr>
      </w:pPr>
      <w:r>
        <w:rPr>
          <w:rFonts w:eastAsia="Calibri" w:cs="Segoe UI"/>
        </w:rPr>
        <w:t>w</w:t>
      </w:r>
      <w:r w:rsidRPr="00824739">
        <w:rPr>
          <w:rFonts w:eastAsia="Calibri" w:cs="Segoe UI"/>
        </w:rPr>
        <w:t xml:space="preserve">ithin </w:t>
      </w:r>
      <w:r>
        <w:rPr>
          <w:rFonts w:eastAsia="Calibri" w:cs="Segoe UI"/>
        </w:rPr>
        <w:t>3</w:t>
      </w:r>
      <w:r w:rsidRPr="00824739">
        <w:rPr>
          <w:rFonts w:eastAsia="Calibri" w:cs="Segoe UI"/>
        </w:rPr>
        <w:t xml:space="preserve"> months of </w:t>
      </w:r>
      <w:r>
        <w:rPr>
          <w:rFonts w:eastAsia="Calibri" w:cs="Segoe UI"/>
        </w:rPr>
        <w:t xml:space="preserve">reaching </w:t>
      </w:r>
      <w:r w:rsidRPr="00824739">
        <w:rPr>
          <w:rFonts w:eastAsia="Calibri" w:cs="Segoe UI"/>
        </w:rPr>
        <w:t>the in-</w:t>
      </w:r>
      <w:bookmarkStart w:id="21" w:name="_Int_NRAI2mMX"/>
      <w:proofErr w:type="gramStart"/>
      <w:r w:rsidRPr="00824739">
        <w:rPr>
          <w:rFonts w:eastAsia="Calibri" w:cs="Segoe UI"/>
        </w:rPr>
        <w:t>principle</w:t>
      </w:r>
      <w:bookmarkEnd w:id="21"/>
      <w:proofErr w:type="gramEnd"/>
      <w:r w:rsidRPr="00824739">
        <w:rPr>
          <w:rFonts w:eastAsia="Calibri" w:cs="Segoe UI"/>
        </w:rPr>
        <w:t xml:space="preserve"> pricing agreement, a national-level implementation plan be</w:t>
      </w:r>
      <w:r>
        <w:rPr>
          <w:rFonts w:eastAsia="Calibri" w:cs="Segoe UI"/>
        </w:rPr>
        <w:t>ing</w:t>
      </w:r>
      <w:r w:rsidRPr="00824739">
        <w:rPr>
          <w:rFonts w:eastAsia="Calibri" w:cs="Segoe UI"/>
        </w:rPr>
        <w:t xml:space="preserve"> published in collaboration with state and territory governments.</w:t>
      </w:r>
      <w:r>
        <w:rPr>
          <w:rFonts w:eastAsia="Calibri" w:cs="Segoe UI"/>
        </w:rPr>
        <w:t xml:space="preserve"> The plan should </w:t>
      </w:r>
      <w:r w:rsidRPr="6CC68A72">
        <w:rPr>
          <w:rFonts w:eastAsia="Calibri" w:cs="Segoe UI"/>
        </w:rPr>
        <w:t>include</w:t>
      </w:r>
      <w:r>
        <w:rPr>
          <w:rFonts w:eastAsia="Calibri" w:cs="Segoe UI"/>
        </w:rPr>
        <w:t xml:space="preserve"> t</w:t>
      </w:r>
      <w:r w:rsidRPr="00824739">
        <w:rPr>
          <w:rFonts w:eastAsia="Calibri" w:cs="Segoe UI"/>
        </w:rPr>
        <w:t>imeline</w:t>
      </w:r>
      <w:r>
        <w:rPr>
          <w:rFonts w:eastAsia="Calibri" w:cs="Segoe UI"/>
        </w:rPr>
        <w:t>s</w:t>
      </w:r>
      <w:r w:rsidRPr="00824739">
        <w:rPr>
          <w:rFonts w:eastAsia="Calibri" w:cs="Segoe UI"/>
        </w:rPr>
        <w:t xml:space="preserve"> for implementation in the different jurisdictions</w:t>
      </w:r>
      <w:r>
        <w:rPr>
          <w:rFonts w:eastAsia="Calibri" w:cs="Segoe UI"/>
        </w:rPr>
        <w:t>,</w:t>
      </w:r>
      <w:r w:rsidRPr="00824739">
        <w:rPr>
          <w:rFonts w:eastAsia="Calibri" w:cs="Segoe UI"/>
        </w:rPr>
        <w:t xml:space="preserve"> and details of how the state and territory governments will ensure their populations (consistent with the HTA recommendation) can access the treatment within </w:t>
      </w:r>
      <w:r>
        <w:rPr>
          <w:rFonts w:eastAsia="Calibri" w:cs="Segoe UI"/>
        </w:rPr>
        <w:t>6</w:t>
      </w:r>
      <w:r w:rsidRPr="00824739">
        <w:rPr>
          <w:rFonts w:eastAsia="Calibri" w:cs="Segoe UI"/>
        </w:rPr>
        <w:t xml:space="preserve"> months</w:t>
      </w:r>
      <w:r w:rsidRPr="760B44C9">
        <w:rPr>
          <w:rFonts w:eastAsia="Calibri" w:cs="Segoe UI"/>
        </w:rPr>
        <w:t xml:space="preserve"> of </w:t>
      </w:r>
      <w:r>
        <w:rPr>
          <w:rFonts w:eastAsia="Calibri" w:cs="Segoe UI"/>
        </w:rPr>
        <w:t xml:space="preserve">the </w:t>
      </w:r>
      <w:r w:rsidRPr="760B44C9">
        <w:rPr>
          <w:rFonts w:eastAsia="Calibri" w:cs="Segoe UI"/>
        </w:rPr>
        <w:t>in-</w:t>
      </w:r>
      <w:proofErr w:type="gramStart"/>
      <w:r w:rsidRPr="760B44C9">
        <w:rPr>
          <w:rFonts w:eastAsia="Calibri" w:cs="Segoe UI"/>
        </w:rPr>
        <w:t>principle</w:t>
      </w:r>
      <w:proofErr w:type="gramEnd"/>
      <w:r w:rsidRPr="760B44C9">
        <w:rPr>
          <w:rFonts w:eastAsia="Calibri" w:cs="Segoe UI"/>
        </w:rPr>
        <w:t xml:space="preserve"> pricing agreement</w:t>
      </w:r>
    </w:p>
    <w:p w14:paraId="18F6CEC3" w14:textId="77777777" w:rsidR="00E47913" w:rsidRPr="00B61FDC" w:rsidRDefault="00E47913" w:rsidP="002F06FE">
      <w:pPr>
        <w:pStyle w:val="ListParagraph"/>
        <w:numPr>
          <w:ilvl w:val="1"/>
          <w:numId w:val="11"/>
        </w:numPr>
        <w:spacing w:before="0" w:after="160"/>
        <w:rPr>
          <w:rFonts w:eastAsia="Calibri" w:cs="Segoe UI"/>
          <w:iCs/>
        </w:rPr>
      </w:pPr>
      <w:r>
        <w:rPr>
          <w:rFonts w:eastAsia="Calibri" w:cs="Segoe UI"/>
        </w:rPr>
        <w:t>an overarching stakeholder e</w:t>
      </w:r>
      <w:r w:rsidRPr="00824739">
        <w:rPr>
          <w:rFonts w:eastAsia="Calibri" w:cs="Segoe UI"/>
        </w:rPr>
        <w:t>xplan</w:t>
      </w:r>
      <w:r>
        <w:rPr>
          <w:rFonts w:eastAsia="Calibri" w:cs="Segoe UI"/>
        </w:rPr>
        <w:t>ation</w:t>
      </w:r>
      <w:r w:rsidRPr="00824739">
        <w:rPr>
          <w:rFonts w:eastAsia="Calibri" w:cs="Segoe UI"/>
        </w:rPr>
        <w:t xml:space="preserve"> </w:t>
      </w:r>
      <w:r>
        <w:rPr>
          <w:rFonts w:eastAsia="Calibri" w:cs="Segoe UI"/>
        </w:rPr>
        <w:t>of</w:t>
      </w:r>
      <w:r w:rsidRPr="00824739">
        <w:rPr>
          <w:rFonts w:eastAsia="Calibri" w:cs="Segoe UI"/>
        </w:rPr>
        <w:t xml:space="preserve"> the process following an HTA </w:t>
      </w:r>
      <w:r>
        <w:rPr>
          <w:rFonts w:eastAsia="Calibri" w:cs="Segoe UI"/>
        </w:rPr>
        <w:t>r</w:t>
      </w:r>
      <w:r w:rsidRPr="00824739">
        <w:rPr>
          <w:rFonts w:eastAsia="Calibri" w:cs="Segoe UI"/>
        </w:rPr>
        <w:t>ecommendation, including the reasonable time</w:t>
      </w:r>
      <w:r>
        <w:rPr>
          <w:rFonts w:eastAsia="Calibri" w:cs="Segoe UI"/>
        </w:rPr>
        <w:t xml:space="preserve"> </w:t>
      </w:r>
      <w:r w:rsidRPr="00824739">
        <w:rPr>
          <w:rFonts w:eastAsia="Calibri" w:cs="Segoe UI"/>
        </w:rPr>
        <w:t xml:space="preserve">frames and responsible party </w:t>
      </w:r>
      <w:r>
        <w:rPr>
          <w:rFonts w:eastAsia="Calibri" w:cs="Segoe UI"/>
        </w:rPr>
        <w:t>for</w:t>
      </w:r>
      <w:r w:rsidRPr="00824739">
        <w:rPr>
          <w:rFonts w:eastAsia="Calibri" w:cs="Segoe UI"/>
        </w:rPr>
        <w:t xml:space="preserve"> each step (in line with </w:t>
      </w:r>
      <w:r>
        <w:rPr>
          <w:rFonts w:eastAsia="Calibri" w:cs="Segoe UI"/>
        </w:rPr>
        <w:t>‘</w:t>
      </w:r>
      <w:r w:rsidRPr="00B61FDC">
        <w:rPr>
          <w:rFonts w:eastAsia="Calibri" w:cs="Segoe UI"/>
        </w:rPr>
        <w:t>Recommendation 3</w:t>
      </w:r>
      <w:r>
        <w:rPr>
          <w:rFonts w:eastAsia="Calibri" w:cs="Segoe UI"/>
        </w:rPr>
        <w:t xml:space="preserve">. </w:t>
      </w:r>
      <w:r w:rsidRPr="00CB47E7">
        <w:rPr>
          <w:rFonts w:eastAsia="Calibri" w:cs="Segoe UI"/>
          <w:iCs/>
        </w:rPr>
        <w:t>Overarching recommendations for all health technology assessment funding and assessment pathways and processes</w:t>
      </w:r>
      <w:r>
        <w:rPr>
          <w:rFonts w:eastAsia="Calibri" w:cs="Segoe UI"/>
          <w:iCs/>
        </w:rPr>
        <w:t>’</w:t>
      </w:r>
      <w:r w:rsidRPr="00B61FDC">
        <w:rPr>
          <w:rFonts w:eastAsia="Calibri" w:cs="Segoe UI"/>
        </w:rPr>
        <w:t xml:space="preserve">. This information should be developed in consultation with stakeholders </w:t>
      </w:r>
    </w:p>
    <w:p w14:paraId="4F66D319" w14:textId="77777777" w:rsidR="00E47913" w:rsidRPr="00824739" w:rsidRDefault="00E47913" w:rsidP="002F06FE">
      <w:pPr>
        <w:pStyle w:val="ListParagraph"/>
        <w:numPr>
          <w:ilvl w:val="1"/>
          <w:numId w:val="11"/>
        </w:numPr>
        <w:spacing w:before="0" w:after="160"/>
        <w:rPr>
          <w:rFonts w:eastAsia="Calibri" w:cs="Segoe UI"/>
        </w:rPr>
      </w:pPr>
      <w:r>
        <w:rPr>
          <w:rFonts w:eastAsia="Calibri" w:cs="Segoe UI"/>
        </w:rPr>
        <w:lastRenderedPageBreak/>
        <w:t>p</w:t>
      </w:r>
      <w:r w:rsidRPr="00824739">
        <w:rPr>
          <w:rFonts w:eastAsia="Calibri" w:cs="Segoe UI"/>
        </w:rPr>
        <w:t xml:space="preserve">ublishing implementation </w:t>
      </w:r>
      <w:r>
        <w:rPr>
          <w:rFonts w:eastAsia="Calibri" w:cs="Segoe UI"/>
        </w:rPr>
        <w:t>progress</w:t>
      </w:r>
      <w:r w:rsidRPr="00824739">
        <w:rPr>
          <w:rFonts w:eastAsia="Calibri" w:cs="Segoe UI"/>
        </w:rPr>
        <w:t xml:space="preserve"> </w:t>
      </w:r>
      <w:r>
        <w:rPr>
          <w:rFonts w:eastAsia="Calibri" w:cs="Segoe UI"/>
        </w:rPr>
        <w:t xml:space="preserve">information </w:t>
      </w:r>
      <w:r w:rsidRPr="00824739">
        <w:rPr>
          <w:rFonts w:eastAsia="Calibri" w:cs="Segoe UI"/>
        </w:rPr>
        <w:t>to improve transparency and accountability for all responsible parties (</w:t>
      </w:r>
      <w:r>
        <w:rPr>
          <w:rFonts w:eastAsia="Calibri" w:cs="Segoe UI"/>
        </w:rPr>
        <w:t>the Australian Government</w:t>
      </w:r>
      <w:r w:rsidRPr="00824739">
        <w:rPr>
          <w:rFonts w:eastAsia="Calibri" w:cs="Segoe UI"/>
        </w:rPr>
        <w:t xml:space="preserve">, </w:t>
      </w:r>
      <w:r>
        <w:rPr>
          <w:rFonts w:eastAsia="Calibri" w:cs="Segoe UI"/>
        </w:rPr>
        <w:t xml:space="preserve">the </w:t>
      </w:r>
      <w:r w:rsidRPr="00824739">
        <w:rPr>
          <w:rFonts w:eastAsia="Calibri" w:cs="Segoe UI"/>
        </w:rPr>
        <w:t>sponsor, and state and territory governments)</w:t>
      </w:r>
      <w:r>
        <w:rPr>
          <w:rFonts w:eastAsia="Calibri" w:cs="Segoe UI"/>
        </w:rPr>
        <w:t xml:space="preserve">, including </w:t>
      </w:r>
      <w:r w:rsidRPr="00824739">
        <w:rPr>
          <w:rFonts w:eastAsia="Calibri" w:cs="Segoe UI"/>
        </w:rPr>
        <w:t xml:space="preserve">clearly highlighting causes of delays relative to the developed </w:t>
      </w:r>
      <w:r>
        <w:rPr>
          <w:rFonts w:eastAsia="Calibri" w:cs="Segoe UI"/>
        </w:rPr>
        <w:t>‘</w:t>
      </w:r>
      <w:r w:rsidRPr="00824739">
        <w:rPr>
          <w:rFonts w:eastAsia="Calibri" w:cs="Segoe UI"/>
        </w:rPr>
        <w:t>reasonable time</w:t>
      </w:r>
      <w:r>
        <w:rPr>
          <w:rFonts w:eastAsia="Calibri" w:cs="Segoe UI"/>
        </w:rPr>
        <w:t xml:space="preserve"> </w:t>
      </w:r>
      <w:r w:rsidRPr="00824739">
        <w:rPr>
          <w:rFonts w:eastAsia="Calibri" w:cs="Segoe UI"/>
        </w:rPr>
        <w:t>frame</w:t>
      </w:r>
      <w:r>
        <w:rPr>
          <w:rFonts w:eastAsia="Calibri" w:cs="Segoe UI"/>
        </w:rPr>
        <w:t>’</w:t>
      </w:r>
      <w:r w:rsidRPr="00824739">
        <w:rPr>
          <w:rFonts w:eastAsia="Calibri" w:cs="Segoe UI"/>
        </w:rPr>
        <w:t xml:space="preserve"> for any steps</w:t>
      </w:r>
    </w:p>
    <w:p w14:paraId="36BD5221" w14:textId="4B4DC284" w:rsidR="00E47913" w:rsidRPr="00293569" w:rsidRDefault="00E47913" w:rsidP="002F06FE">
      <w:pPr>
        <w:pStyle w:val="ListParagraph"/>
        <w:numPr>
          <w:ilvl w:val="1"/>
          <w:numId w:val="11"/>
        </w:numPr>
        <w:spacing w:before="240" w:after="160"/>
        <w:rPr>
          <w:rFonts w:eastAsia="Calibri" w:cs="Segoe UI"/>
        </w:rPr>
      </w:pPr>
      <w:r>
        <w:rPr>
          <w:rFonts w:eastAsia="Calibri" w:cs="Segoe UI"/>
        </w:rPr>
        <w:t>t</w:t>
      </w:r>
      <w:r w:rsidRPr="00824739">
        <w:rPr>
          <w:rFonts w:eastAsia="Calibri" w:cs="Segoe UI"/>
        </w:rPr>
        <w:t xml:space="preserve">he original </w:t>
      </w:r>
      <w:r>
        <w:rPr>
          <w:rFonts w:eastAsia="Calibri" w:cs="Segoe UI"/>
        </w:rPr>
        <w:t>D</w:t>
      </w:r>
      <w:r w:rsidRPr="00824739">
        <w:rPr>
          <w:rFonts w:eastAsia="Calibri" w:cs="Segoe UI"/>
        </w:rPr>
        <w:t xml:space="preserve">eed of </w:t>
      </w:r>
      <w:r>
        <w:rPr>
          <w:rFonts w:eastAsia="Calibri" w:cs="Segoe UI"/>
        </w:rPr>
        <w:t>A</w:t>
      </w:r>
      <w:r w:rsidRPr="00824739">
        <w:rPr>
          <w:rFonts w:eastAsia="Calibri" w:cs="Segoe UI"/>
        </w:rPr>
        <w:t xml:space="preserve">greement to incorporate the requirement for the technology to be reviewed for clinical </w:t>
      </w:r>
      <w:r>
        <w:rPr>
          <w:rFonts w:eastAsia="Calibri" w:cs="Segoe UI"/>
        </w:rPr>
        <w:t xml:space="preserve">effectiveness </w:t>
      </w:r>
      <w:r w:rsidRPr="00824739">
        <w:rPr>
          <w:rFonts w:eastAsia="Calibri" w:cs="Segoe UI"/>
        </w:rPr>
        <w:t>and cost</w:t>
      </w:r>
      <w:r>
        <w:rPr>
          <w:rFonts w:eastAsia="Calibri" w:cs="Segoe UI"/>
        </w:rPr>
        <w:t>-</w:t>
      </w:r>
      <w:r w:rsidRPr="00824739">
        <w:rPr>
          <w:rFonts w:eastAsia="Calibri" w:cs="Segoe UI"/>
        </w:rPr>
        <w:t>effectiveness at an agreed period (this will assist with timeliness as it reduces the initial risk</w:t>
      </w:r>
      <w:r>
        <w:rPr>
          <w:rFonts w:eastAsia="Calibri" w:cs="Segoe UI"/>
        </w:rPr>
        <w:t>,</w:t>
      </w:r>
      <w:r w:rsidRPr="00824739">
        <w:rPr>
          <w:rFonts w:eastAsia="Calibri" w:cs="Segoe UI"/>
        </w:rPr>
        <w:t xml:space="preserve"> allow</w:t>
      </w:r>
      <w:r>
        <w:rPr>
          <w:rFonts w:eastAsia="Calibri" w:cs="Segoe UI"/>
        </w:rPr>
        <w:t>ing</w:t>
      </w:r>
      <w:r w:rsidRPr="00824739">
        <w:rPr>
          <w:rFonts w:eastAsia="Calibri" w:cs="Segoe UI"/>
        </w:rPr>
        <w:t xml:space="preserve"> more flexibility)</w:t>
      </w:r>
      <w:r w:rsidR="007213B4">
        <w:rPr>
          <w:rFonts w:eastAsia="Calibri" w:cs="Segoe UI"/>
        </w:rPr>
        <w:t>.</w:t>
      </w:r>
    </w:p>
    <w:p w14:paraId="180492FC" w14:textId="77777777" w:rsidR="00E47913" w:rsidRPr="00824739" w:rsidRDefault="00E47913" w:rsidP="002F06FE">
      <w:pPr>
        <w:pStyle w:val="ListParagraph"/>
        <w:numPr>
          <w:ilvl w:val="0"/>
          <w:numId w:val="10"/>
        </w:numPr>
        <w:spacing w:before="0" w:after="160"/>
        <w:rPr>
          <w:rFonts w:eastAsia="Calibri" w:cs="Segoe UI"/>
        </w:rPr>
      </w:pPr>
      <w:r>
        <w:rPr>
          <w:rFonts w:eastAsia="Calibri" w:cs="Segoe UI"/>
        </w:rPr>
        <w:t>work with state and territory governments and industry to e</w:t>
      </w:r>
      <w:r w:rsidRPr="00824739">
        <w:rPr>
          <w:rFonts w:eastAsia="Calibri" w:cs="Segoe UI"/>
        </w:rPr>
        <w:t xml:space="preserve">stablish (or participate in </w:t>
      </w:r>
      <w:r>
        <w:rPr>
          <w:rFonts w:eastAsia="Calibri" w:cs="Segoe UI"/>
        </w:rPr>
        <w:t xml:space="preserve">an </w:t>
      </w:r>
      <w:r w:rsidRPr="00824739">
        <w:rPr>
          <w:rFonts w:eastAsia="Calibri" w:cs="Segoe UI"/>
        </w:rPr>
        <w:t>existing international collaboration</w:t>
      </w:r>
      <w:r w:rsidRPr="00CA2A43">
        <w:rPr>
          <w:rFonts w:eastAsia="Calibri" w:cs="Segoe UI"/>
        </w:rPr>
        <w:t>)</w:t>
      </w:r>
      <w:r w:rsidRPr="00824739">
        <w:rPr>
          <w:rFonts w:eastAsia="Calibri" w:cs="Segoe UI"/>
        </w:rPr>
        <w:t xml:space="preserve"> a </w:t>
      </w:r>
      <w:r>
        <w:rPr>
          <w:rFonts w:eastAsia="Calibri" w:cs="Segoe UI"/>
        </w:rPr>
        <w:t>h</w:t>
      </w:r>
      <w:r w:rsidRPr="00824739">
        <w:rPr>
          <w:rFonts w:eastAsia="Calibri" w:cs="Segoe UI"/>
        </w:rPr>
        <w:t xml:space="preserve">orizon </w:t>
      </w:r>
      <w:r>
        <w:rPr>
          <w:rFonts w:eastAsia="Calibri" w:cs="Segoe UI"/>
        </w:rPr>
        <w:t>s</w:t>
      </w:r>
      <w:r w:rsidRPr="00824739">
        <w:rPr>
          <w:rFonts w:eastAsia="Calibri" w:cs="Segoe UI"/>
        </w:rPr>
        <w:t xml:space="preserve">canning process </w:t>
      </w:r>
      <w:r>
        <w:rPr>
          <w:rFonts w:eastAsia="Calibri" w:cs="Segoe UI"/>
        </w:rPr>
        <w:t xml:space="preserve">(consistent with the principles for horizon scanning in </w:t>
      </w:r>
      <w:r w:rsidRPr="00ED20B1">
        <w:rPr>
          <w:rFonts w:eastAsia="Calibri" w:cs="Segoe UI"/>
        </w:rPr>
        <w:t>Chapter 9.2</w:t>
      </w:r>
      <w:r>
        <w:rPr>
          <w:rFonts w:eastAsia="Calibri" w:cs="Segoe UI"/>
        </w:rPr>
        <w:t>) to identify, prioritise, assess and monitor</w:t>
      </w:r>
      <w:r w:rsidRPr="00824739">
        <w:rPr>
          <w:rFonts w:eastAsia="Calibri" w:cs="Segoe UI"/>
        </w:rPr>
        <w:t xml:space="preserve"> high</w:t>
      </w:r>
      <w:r>
        <w:rPr>
          <w:rFonts w:eastAsia="Calibri" w:cs="Segoe UI"/>
        </w:rPr>
        <w:t>-</w:t>
      </w:r>
      <w:r w:rsidRPr="00824739">
        <w:rPr>
          <w:rFonts w:eastAsia="Calibri" w:cs="Segoe UI"/>
        </w:rPr>
        <w:t xml:space="preserve">cost </w:t>
      </w:r>
      <w:r w:rsidRPr="00CA2A43">
        <w:rPr>
          <w:rFonts w:eastAsia="Calibri" w:cs="Segoe UI"/>
        </w:rPr>
        <w:t>HSTs</w:t>
      </w:r>
      <w:r w:rsidRPr="00824739">
        <w:rPr>
          <w:rFonts w:eastAsia="Calibri" w:cs="Segoe UI"/>
        </w:rPr>
        <w:t xml:space="preserve"> funded through the </w:t>
      </w:r>
      <w:r>
        <w:rPr>
          <w:rFonts w:eastAsia="Calibri" w:cs="Segoe UI"/>
        </w:rPr>
        <w:t xml:space="preserve">2020–25 </w:t>
      </w:r>
      <w:r w:rsidRPr="00B61FDC">
        <w:rPr>
          <w:rFonts w:eastAsia="Calibri" w:cs="Segoe UI"/>
        </w:rPr>
        <w:t>NHRA Addendum</w:t>
      </w:r>
      <w:r>
        <w:rPr>
          <w:rFonts w:eastAsia="Calibri" w:cs="Segoe UI"/>
        </w:rPr>
        <w:t>.</w:t>
      </w:r>
      <w:r w:rsidRPr="00824739">
        <w:rPr>
          <w:rFonts w:eastAsia="Calibri" w:cs="Segoe UI"/>
        </w:rPr>
        <w:t xml:space="preserve"> </w:t>
      </w:r>
      <w:r>
        <w:rPr>
          <w:rFonts w:eastAsia="Calibri" w:cs="Segoe UI"/>
        </w:rPr>
        <w:t>This process will</w:t>
      </w:r>
      <w:r w:rsidRPr="00824739">
        <w:rPr>
          <w:rFonts w:eastAsia="Calibri" w:cs="Segoe UI"/>
        </w:rPr>
        <w:t xml:space="preserve"> ensure jurisdictions can begin early implementation planning </w:t>
      </w:r>
      <w:r>
        <w:rPr>
          <w:rFonts w:eastAsia="Calibri" w:cs="Segoe UI"/>
        </w:rPr>
        <w:t>for</w:t>
      </w:r>
      <w:r w:rsidRPr="00824739">
        <w:rPr>
          <w:rFonts w:eastAsia="Calibri" w:cs="Segoe UI"/>
        </w:rPr>
        <w:t xml:space="preserve"> HSTs.</w:t>
      </w:r>
      <w:r>
        <w:rPr>
          <w:rFonts w:eastAsia="Calibri" w:cs="Segoe UI"/>
        </w:rPr>
        <w:t xml:space="preserve"> Additionally:</w:t>
      </w:r>
    </w:p>
    <w:p w14:paraId="02877C9B" w14:textId="77777777" w:rsidR="00E47913" w:rsidRPr="00824739" w:rsidRDefault="00E47913" w:rsidP="002F06FE">
      <w:pPr>
        <w:pStyle w:val="ListParagraph"/>
        <w:numPr>
          <w:ilvl w:val="1"/>
          <w:numId w:val="12"/>
        </w:numPr>
        <w:rPr>
          <w:rFonts w:eastAsia="Calibri" w:cs="Segoe UI"/>
        </w:rPr>
      </w:pPr>
      <w:r w:rsidRPr="00824739">
        <w:rPr>
          <w:rFonts w:eastAsia="Calibri" w:cs="Segoe UI"/>
        </w:rPr>
        <w:t xml:space="preserve">The horizon scanning should include input from a broad range of stakeholders including patients or patient organisations, industry, academia and </w:t>
      </w:r>
      <w:r>
        <w:rPr>
          <w:rFonts w:eastAsia="Calibri" w:cs="Segoe UI"/>
        </w:rPr>
        <w:t xml:space="preserve">the </w:t>
      </w:r>
      <w:r w:rsidRPr="00824739">
        <w:rPr>
          <w:rFonts w:eastAsia="Calibri" w:cs="Segoe UI"/>
        </w:rPr>
        <w:t xml:space="preserve">research sector, and </w:t>
      </w:r>
      <w:r>
        <w:rPr>
          <w:rFonts w:eastAsia="Calibri" w:cs="Segoe UI"/>
        </w:rPr>
        <w:t>s</w:t>
      </w:r>
      <w:r w:rsidRPr="00824739">
        <w:rPr>
          <w:rFonts w:eastAsia="Calibri" w:cs="Segoe UI"/>
        </w:rPr>
        <w:t xml:space="preserve">tate and </w:t>
      </w:r>
      <w:r>
        <w:rPr>
          <w:rFonts w:eastAsia="Calibri" w:cs="Segoe UI"/>
        </w:rPr>
        <w:t>t</w:t>
      </w:r>
      <w:r w:rsidRPr="00824739">
        <w:rPr>
          <w:rFonts w:eastAsia="Calibri" w:cs="Segoe UI"/>
        </w:rPr>
        <w:t xml:space="preserve">erritory governments </w:t>
      </w:r>
    </w:p>
    <w:p w14:paraId="22C3FC7C" w14:textId="77777777" w:rsidR="00E47913" w:rsidRDefault="00E47913" w:rsidP="002F06FE">
      <w:pPr>
        <w:pStyle w:val="ListParagraph"/>
        <w:numPr>
          <w:ilvl w:val="1"/>
          <w:numId w:val="12"/>
        </w:numPr>
        <w:rPr>
          <w:rFonts w:eastAsia="Calibri" w:cs="Segoe UI"/>
        </w:rPr>
      </w:pPr>
      <w:r w:rsidRPr="00824739">
        <w:rPr>
          <w:rFonts w:eastAsia="Calibri" w:cs="Segoe UI"/>
        </w:rPr>
        <w:t>The horizon scanning should have performance measures to ensure it is efficient and effective for its purpose</w:t>
      </w:r>
      <w:r>
        <w:rPr>
          <w:rFonts w:eastAsia="Calibri" w:cs="Segoe UI"/>
        </w:rPr>
        <w:t>,</w:t>
      </w:r>
      <w:r w:rsidRPr="00824739">
        <w:rPr>
          <w:rFonts w:eastAsia="Calibri" w:cs="Segoe UI"/>
        </w:rPr>
        <w:t xml:space="preserve"> and a mechanism </w:t>
      </w:r>
      <w:r>
        <w:rPr>
          <w:rFonts w:eastAsia="Calibri" w:cs="Segoe UI"/>
        </w:rPr>
        <w:t>for</w:t>
      </w:r>
      <w:r w:rsidRPr="00824739">
        <w:rPr>
          <w:rFonts w:eastAsia="Calibri" w:cs="Segoe UI"/>
        </w:rPr>
        <w:t xml:space="preserve"> accountability </w:t>
      </w:r>
      <w:r>
        <w:rPr>
          <w:rFonts w:eastAsia="Calibri" w:cs="Segoe UI"/>
        </w:rPr>
        <w:t>of</w:t>
      </w:r>
      <w:r w:rsidRPr="00824739">
        <w:rPr>
          <w:rFonts w:eastAsia="Calibri" w:cs="Segoe UI"/>
        </w:rPr>
        <w:t xml:space="preserve"> results to be actioned in preparation </w:t>
      </w:r>
      <w:r>
        <w:rPr>
          <w:rFonts w:eastAsia="Calibri" w:cs="Segoe UI"/>
        </w:rPr>
        <w:t xml:space="preserve">for </w:t>
      </w:r>
      <w:r w:rsidRPr="00824739">
        <w:rPr>
          <w:rFonts w:eastAsia="Calibri" w:cs="Segoe UI"/>
        </w:rPr>
        <w:t xml:space="preserve">and </w:t>
      </w:r>
      <w:r>
        <w:rPr>
          <w:rFonts w:eastAsia="Calibri" w:cs="Segoe UI"/>
        </w:rPr>
        <w:t xml:space="preserve">to </w:t>
      </w:r>
      <w:r w:rsidRPr="00824739">
        <w:rPr>
          <w:rFonts w:eastAsia="Calibri" w:cs="Segoe UI"/>
        </w:rPr>
        <w:t>inform implementation planning</w:t>
      </w:r>
    </w:p>
    <w:p w14:paraId="53B9E109" w14:textId="012C1235" w:rsidR="00E47913" w:rsidRPr="00824739" w:rsidRDefault="00E47913" w:rsidP="002F06FE">
      <w:pPr>
        <w:pStyle w:val="ListParagraph"/>
        <w:numPr>
          <w:ilvl w:val="1"/>
          <w:numId w:val="12"/>
        </w:numPr>
        <w:rPr>
          <w:rFonts w:eastAsia="Calibri" w:cs="Segoe UI"/>
        </w:rPr>
      </w:pPr>
      <w:r>
        <w:rPr>
          <w:rFonts w:eastAsia="Calibri" w:cs="Segoe UI"/>
        </w:rPr>
        <w:t>Joint funding by the Australian and state and territory governments and industry should be explored</w:t>
      </w:r>
      <w:r w:rsidR="007213B4">
        <w:rPr>
          <w:rFonts w:eastAsia="Calibri" w:cs="Segoe UI"/>
        </w:rPr>
        <w:t>.</w:t>
      </w:r>
      <w:r>
        <w:rPr>
          <w:rFonts w:eastAsia="Calibri" w:cs="Segoe UI"/>
        </w:rPr>
        <w:t xml:space="preserve"> </w:t>
      </w:r>
    </w:p>
    <w:p w14:paraId="1CFB0BC2" w14:textId="53F84BF8" w:rsidR="00E47913" w:rsidRDefault="00E47913" w:rsidP="002F06FE">
      <w:pPr>
        <w:pStyle w:val="ListParagraph"/>
        <w:numPr>
          <w:ilvl w:val="0"/>
          <w:numId w:val="10"/>
        </w:numPr>
        <w:spacing w:before="0" w:after="160"/>
        <w:rPr>
          <w:rFonts w:eastAsia="Calibri" w:cs="Segoe UI"/>
        </w:rPr>
      </w:pPr>
      <w:r>
        <w:rPr>
          <w:rFonts w:eastAsia="Calibri" w:cs="Segoe UI"/>
        </w:rPr>
        <w:t>develop a framework for systematic input</w:t>
      </w:r>
      <w:r w:rsidRPr="00ED4ED2">
        <w:rPr>
          <w:rFonts w:eastAsia="Calibri" w:cs="Segoe UI"/>
        </w:rPr>
        <w:t>, consultation and work sharing by state and territory governments across the health technology lifecycle to support efficient and effective implementation and use of health technologies</w:t>
      </w:r>
      <w:r>
        <w:rPr>
          <w:rFonts w:eastAsia="Calibri" w:cs="Segoe UI"/>
        </w:rPr>
        <w:t>. This</w:t>
      </w:r>
      <w:r w:rsidRPr="00ED4ED2">
        <w:rPr>
          <w:rFonts w:eastAsia="Calibri" w:cs="Segoe UI"/>
        </w:rPr>
        <w:t xml:space="preserve"> includ</w:t>
      </w:r>
      <w:r>
        <w:rPr>
          <w:rFonts w:eastAsia="Calibri" w:cs="Segoe UI"/>
        </w:rPr>
        <w:t>es</w:t>
      </w:r>
      <w:r w:rsidRPr="00ED4ED2">
        <w:rPr>
          <w:rFonts w:eastAsia="Calibri" w:cs="Segoe UI"/>
        </w:rPr>
        <w:t xml:space="preserve"> providing </w:t>
      </w:r>
      <w:r>
        <w:rPr>
          <w:rFonts w:eastAsia="Calibri" w:cs="Segoe UI"/>
        </w:rPr>
        <w:t>s</w:t>
      </w:r>
      <w:r w:rsidRPr="00ED4ED2">
        <w:rPr>
          <w:rFonts w:eastAsia="Calibri" w:cs="Segoe UI"/>
        </w:rPr>
        <w:t xml:space="preserve">tate and </w:t>
      </w:r>
      <w:r>
        <w:rPr>
          <w:rFonts w:eastAsia="Calibri" w:cs="Segoe UI"/>
        </w:rPr>
        <w:t>t</w:t>
      </w:r>
      <w:r w:rsidRPr="00ED4ED2">
        <w:rPr>
          <w:rFonts w:eastAsia="Calibri" w:cs="Segoe UI"/>
        </w:rPr>
        <w:t xml:space="preserve">erritory health departments </w:t>
      </w:r>
      <w:r>
        <w:rPr>
          <w:rFonts w:eastAsia="Calibri" w:cs="Segoe UI"/>
        </w:rPr>
        <w:t xml:space="preserve">with </w:t>
      </w:r>
      <w:r w:rsidRPr="00ED4ED2">
        <w:rPr>
          <w:rFonts w:eastAsia="Calibri" w:cs="Segoe UI"/>
        </w:rPr>
        <w:t xml:space="preserve">opportunities for consultation and collaboration on HTA decisions that will have a significant financial or operational impact on them (see </w:t>
      </w:r>
      <w:r>
        <w:rPr>
          <w:rFonts w:eastAsia="Calibri" w:cs="Segoe UI"/>
        </w:rPr>
        <w:t>Chapter 9.4</w:t>
      </w:r>
      <w:r w:rsidRPr="00ED4ED2">
        <w:rPr>
          <w:rFonts w:eastAsia="Calibri" w:cs="Segoe UI"/>
        </w:rPr>
        <w:t>)</w:t>
      </w:r>
      <w:r w:rsidR="00BF7887">
        <w:rPr>
          <w:rFonts w:eastAsia="Calibri" w:cs="Segoe UI"/>
        </w:rPr>
        <w:t>.</w:t>
      </w:r>
    </w:p>
    <w:p w14:paraId="136BF0A0" w14:textId="77777777" w:rsidR="004237B1" w:rsidRPr="00A65F35" w:rsidRDefault="004237B1" w:rsidP="00484B58">
      <w:pPr>
        <w:pStyle w:val="Recommendation1"/>
      </w:pPr>
      <w:bookmarkStart w:id="22" w:name="_Ref166784680"/>
      <w:bookmarkStart w:id="23" w:name="_Hlk167301901"/>
      <w:r>
        <w:t>Improving time to access</w:t>
      </w:r>
      <w:r w:rsidRPr="00DD3843">
        <w:t xml:space="preserve"> life-saving drugs for patients with ultra-rare diseases (Life Saving Drugs Program)</w:t>
      </w:r>
      <w:bookmarkEnd w:id="22"/>
    </w:p>
    <w:bookmarkEnd w:id="23"/>
    <w:p w14:paraId="2EFAEDF0" w14:textId="77777777" w:rsidR="004237B1" w:rsidRPr="006E12DF" w:rsidRDefault="004237B1" w:rsidP="00527BD9">
      <w:r w:rsidRPr="008D52AA">
        <w:t>The Review recommends</w:t>
      </w:r>
      <w:r>
        <w:t xml:space="preserve"> that</w:t>
      </w:r>
      <w:r w:rsidRPr="008D52AA">
        <w:t xml:space="preserve"> </w:t>
      </w:r>
      <w:r>
        <w:t>the</w:t>
      </w:r>
      <w:r w:rsidRPr="008D52AA">
        <w:t xml:space="preserve"> </w:t>
      </w:r>
      <w:r w:rsidRPr="008D52AA">
        <w:rPr>
          <w:rFonts w:eastAsia="Calibri"/>
        </w:rPr>
        <w:t>Australian</w:t>
      </w:r>
      <w:r w:rsidRPr="008D52AA">
        <w:t xml:space="preserve"> Government</w:t>
      </w:r>
      <w:r w:rsidRPr="39D602E1">
        <w:t>:</w:t>
      </w:r>
    </w:p>
    <w:p w14:paraId="6B86D26C" w14:textId="77777777" w:rsidR="004237B1" w:rsidRPr="00FE3FAC" w:rsidRDefault="004237B1" w:rsidP="00F20014">
      <w:pPr>
        <w:pStyle w:val="ListParagraph"/>
        <w:numPr>
          <w:ilvl w:val="0"/>
          <w:numId w:val="50"/>
        </w:numPr>
        <w:spacing w:before="0" w:after="160"/>
        <w:rPr>
          <w:rFonts w:eastAsia="Calibri" w:cs="Segoe UI"/>
        </w:rPr>
      </w:pPr>
      <w:r w:rsidRPr="00FE3FAC">
        <w:rPr>
          <w:rFonts w:eastAsia="Calibri" w:cs="Segoe UI"/>
        </w:rPr>
        <w:t>develop and publish a statement of rationale for the Life Saving Drugs Program (LSDP) in consultation with stakeholders, including the LSDP Expert Panel. The statement should outline:</w:t>
      </w:r>
    </w:p>
    <w:p w14:paraId="2E4368F4" w14:textId="77777777" w:rsidR="004237B1" w:rsidRPr="00FE3FAC" w:rsidRDefault="004237B1" w:rsidP="00F20014">
      <w:pPr>
        <w:pStyle w:val="ListParagraph"/>
        <w:numPr>
          <w:ilvl w:val="1"/>
          <w:numId w:val="50"/>
        </w:numPr>
        <w:spacing w:before="0" w:after="160"/>
        <w:rPr>
          <w:rFonts w:eastAsia="Calibri" w:cs="Segoe UI"/>
        </w:rPr>
      </w:pPr>
      <w:r w:rsidRPr="00FE3FAC">
        <w:rPr>
          <w:rFonts w:eastAsia="Calibri" w:cs="Segoe UI"/>
        </w:rPr>
        <w:lastRenderedPageBreak/>
        <w:t>principles underpinning the program</w:t>
      </w:r>
    </w:p>
    <w:p w14:paraId="6B1E2BE2" w14:textId="3BBBFB9F" w:rsidR="004237B1" w:rsidRPr="00FE3FAC" w:rsidRDefault="004237B1" w:rsidP="00F20014">
      <w:pPr>
        <w:pStyle w:val="ListParagraph"/>
        <w:numPr>
          <w:ilvl w:val="1"/>
          <w:numId w:val="50"/>
        </w:numPr>
        <w:spacing w:before="0" w:after="160"/>
        <w:rPr>
          <w:rFonts w:eastAsia="Calibri" w:cs="Segoe UI"/>
        </w:rPr>
      </w:pPr>
      <w:r w:rsidRPr="00FE3FAC">
        <w:rPr>
          <w:rFonts w:eastAsia="Calibri" w:cs="Segoe UI"/>
        </w:rPr>
        <w:t>the eligibility criteria, including the value-for-money consideration, by reference to the overarching recommendations of the LSDP medicines reviews in 2022</w:t>
      </w:r>
      <w:r w:rsidR="00655450">
        <w:rPr>
          <w:rFonts w:eastAsia="Calibri" w:cs="Segoe UI"/>
        </w:rPr>
        <w:t>.</w:t>
      </w:r>
    </w:p>
    <w:p w14:paraId="7F8675BC" w14:textId="77777777" w:rsidR="004237B1" w:rsidRPr="006E12DF" w:rsidRDefault="004237B1" w:rsidP="00F20014">
      <w:pPr>
        <w:pStyle w:val="ListParagraph"/>
        <w:numPr>
          <w:ilvl w:val="0"/>
          <w:numId w:val="50"/>
        </w:numPr>
        <w:spacing w:before="0" w:after="160"/>
        <w:rPr>
          <w:rFonts w:cs="Segoe UI"/>
        </w:rPr>
      </w:pPr>
      <w:r w:rsidRPr="00FE3FAC">
        <w:rPr>
          <w:rFonts w:eastAsia="Calibri" w:cs="Segoe UI"/>
        </w:rPr>
        <w:t>make</w:t>
      </w:r>
      <w:r w:rsidRPr="39D602E1">
        <w:rPr>
          <w:rFonts w:cs="Segoe UI"/>
        </w:rPr>
        <w:t xml:space="preserve"> necessary process and policy reforms (including updates to guidelines and stakeholder engagement materials) to enable:</w:t>
      </w:r>
    </w:p>
    <w:p w14:paraId="645F9838" w14:textId="77777777" w:rsidR="004237B1" w:rsidRPr="00FE3FAC" w:rsidRDefault="004237B1" w:rsidP="00F20014">
      <w:pPr>
        <w:pStyle w:val="ListParagraph"/>
        <w:numPr>
          <w:ilvl w:val="1"/>
          <w:numId w:val="50"/>
        </w:numPr>
        <w:spacing w:before="0" w:after="160"/>
        <w:rPr>
          <w:rFonts w:eastAsia="Calibri" w:cs="Segoe UI"/>
        </w:rPr>
      </w:pPr>
      <w:r w:rsidRPr="00FE3FAC">
        <w:rPr>
          <w:rFonts w:eastAsia="Calibri" w:cs="Segoe UI"/>
        </w:rPr>
        <w:t>the Pharmaceutical Benefits Advisory Committee (PBAC) (or its future functional equivalent) to become the sole HTA advisory committee for assessing and recommending funding of therapies for ultra-rare diseases</w:t>
      </w:r>
    </w:p>
    <w:p w14:paraId="425F7DFA" w14:textId="77777777" w:rsidR="004237B1" w:rsidRPr="00FE3FAC" w:rsidRDefault="004237B1" w:rsidP="00F20014">
      <w:pPr>
        <w:pStyle w:val="ListParagraph"/>
        <w:numPr>
          <w:ilvl w:val="1"/>
          <w:numId w:val="50"/>
        </w:numPr>
        <w:spacing w:before="0" w:after="160"/>
        <w:rPr>
          <w:rFonts w:eastAsia="Calibri" w:cs="Segoe UI"/>
        </w:rPr>
      </w:pPr>
      <w:r w:rsidRPr="00FE3FAC">
        <w:rPr>
          <w:rFonts w:eastAsia="Calibri" w:cs="Segoe UI"/>
        </w:rPr>
        <w:t xml:space="preserve">the </w:t>
      </w:r>
      <w:bookmarkStart w:id="24" w:name="_Hlk167370438"/>
      <w:r w:rsidRPr="00FE3FAC">
        <w:rPr>
          <w:rFonts w:eastAsia="Calibri" w:cs="Segoe UI"/>
        </w:rPr>
        <w:t xml:space="preserve">HTA advisory committee </w:t>
      </w:r>
      <w:bookmarkEnd w:id="24"/>
      <w:r w:rsidRPr="00FE3FAC">
        <w:rPr>
          <w:rFonts w:eastAsia="Calibri" w:cs="Segoe UI"/>
        </w:rPr>
        <w:t>to source additional expertise and advice (including from entities such as advisory panels, patient communities and specialist clinicians) to inform and support recommendations regarding access to therapies for ultra-rare diseases</w:t>
      </w:r>
    </w:p>
    <w:p w14:paraId="51B50F68" w14:textId="3ABB827B" w:rsidR="004237B1" w:rsidRPr="001317FB" w:rsidRDefault="004237B1" w:rsidP="001317FB">
      <w:pPr>
        <w:pStyle w:val="ListParagraph"/>
        <w:numPr>
          <w:ilvl w:val="1"/>
          <w:numId w:val="50"/>
        </w:numPr>
        <w:spacing w:before="0" w:after="160"/>
        <w:rPr>
          <w:rFonts w:eastAsia="Calibri" w:cs="Segoe UI"/>
        </w:rPr>
      </w:pPr>
      <w:r w:rsidRPr="00FE3FAC">
        <w:rPr>
          <w:rFonts w:eastAsia="Calibri" w:cs="Segoe UI"/>
        </w:rPr>
        <w:t>the HTA advisory committee to advise the Minister on any requirements for subsiding a therapy for ultra-rare diseases, including evidence collection measures and disclosure of cost and efficacy information, consistent with the principles outlined in a statement of rationale for the LSDP (above).</w:t>
      </w:r>
    </w:p>
    <w:p w14:paraId="3F9629C5" w14:textId="77777777" w:rsidR="000F71AC" w:rsidRDefault="000F71AC" w:rsidP="00484B58">
      <w:pPr>
        <w:pStyle w:val="Recommendation1"/>
      </w:pPr>
      <w:bookmarkStart w:id="25" w:name="_Hlk167301918"/>
      <w:r>
        <w:t>Jointly owned performance targets</w:t>
      </w:r>
    </w:p>
    <w:bookmarkEnd w:id="25"/>
    <w:p w14:paraId="7ECD47B3" w14:textId="77777777" w:rsidR="000F71AC" w:rsidRDefault="000F71AC" w:rsidP="00304F0B">
      <w:pPr>
        <w:spacing w:line="22" w:lineRule="atLeast"/>
        <w:rPr>
          <w:rFonts w:cstheme="minorBidi"/>
          <w:color w:val="000000" w:themeColor="text1"/>
        </w:rPr>
      </w:pPr>
      <w:r>
        <w:rPr>
          <w:rFonts w:cstheme="minorBidi"/>
          <w:color w:val="000000" w:themeColor="text1"/>
          <w:lang w:val="en-GB"/>
        </w:rPr>
        <w:t xml:space="preserve">The Review recommends that </w:t>
      </w:r>
      <w:r w:rsidRPr="00FF0C00">
        <w:rPr>
          <w:rFonts w:cstheme="minorBidi"/>
          <w:color w:val="000000" w:themeColor="text1"/>
          <w:lang w:val="en-GB"/>
        </w:rPr>
        <w:t>the</w:t>
      </w:r>
      <w:r>
        <w:rPr>
          <w:rFonts w:cstheme="minorBidi"/>
          <w:color w:val="000000" w:themeColor="text1"/>
          <w:lang w:val="en-GB"/>
        </w:rPr>
        <w:t xml:space="preserve"> </w:t>
      </w:r>
      <w:r w:rsidRPr="0066659D">
        <w:rPr>
          <w:rFonts w:cstheme="minorBidi"/>
          <w:color w:val="000000" w:themeColor="text1"/>
          <w:lang w:val="en-GB"/>
        </w:rPr>
        <w:t xml:space="preserve">Australian Government and </w:t>
      </w:r>
      <w:r>
        <w:rPr>
          <w:rFonts w:cstheme="minorBidi"/>
          <w:color w:val="000000" w:themeColor="text1"/>
          <w:lang w:val="en-GB"/>
        </w:rPr>
        <w:t>i</w:t>
      </w:r>
      <w:r w:rsidRPr="0066659D">
        <w:rPr>
          <w:rFonts w:cstheme="minorBidi"/>
          <w:color w:val="000000" w:themeColor="text1"/>
          <w:lang w:val="en-GB"/>
        </w:rPr>
        <w:t>ndustry</w:t>
      </w:r>
      <w:r w:rsidRPr="689E1B1A">
        <w:rPr>
          <w:rFonts w:cstheme="minorBidi"/>
          <w:color w:val="000000" w:themeColor="text1"/>
          <w:lang w:val="en-GB"/>
        </w:rPr>
        <w:t xml:space="preserve"> reaffirm </w:t>
      </w:r>
      <w:r w:rsidRPr="00512EBF">
        <w:rPr>
          <w:rFonts w:cstheme="minorBidi"/>
          <w:color w:val="000000" w:themeColor="text1"/>
          <w:lang w:val="en-GB"/>
        </w:rPr>
        <w:t>their</w:t>
      </w:r>
      <w:r w:rsidRPr="689E1B1A">
        <w:rPr>
          <w:rFonts w:cstheme="minorBidi"/>
          <w:color w:val="000000" w:themeColor="text1"/>
          <w:lang w:val="en-GB"/>
        </w:rPr>
        <w:t xml:space="preserve"> commitment to </w:t>
      </w:r>
      <w:r w:rsidRPr="689E1B1A">
        <w:rPr>
          <w:rFonts w:cstheme="minorBidi"/>
          <w:color w:val="000000" w:themeColor="text1"/>
        </w:rPr>
        <w:t xml:space="preserve">good faith negotiations aimed at </w:t>
      </w:r>
      <w:proofErr w:type="spellStart"/>
      <w:r w:rsidRPr="689E1B1A">
        <w:rPr>
          <w:rFonts w:cstheme="minorBidi"/>
          <w:color w:val="000000" w:themeColor="text1"/>
        </w:rPr>
        <w:t>minimising</w:t>
      </w:r>
      <w:proofErr w:type="spellEnd"/>
      <w:r w:rsidRPr="689E1B1A">
        <w:rPr>
          <w:rFonts w:cstheme="minorBidi"/>
          <w:color w:val="000000" w:themeColor="text1"/>
        </w:rPr>
        <w:t xml:space="preserve"> the time to completing </w:t>
      </w:r>
      <w:r w:rsidRPr="00F721F5">
        <w:rPr>
          <w:rFonts w:cstheme="minorBidi"/>
          <w:color w:val="000000" w:themeColor="text1"/>
        </w:rPr>
        <w:t>HTA</w:t>
      </w:r>
      <w:r>
        <w:rPr>
          <w:rFonts w:cstheme="minorBidi"/>
          <w:color w:val="000000" w:themeColor="text1"/>
        </w:rPr>
        <w:t xml:space="preserve">s </w:t>
      </w:r>
      <w:r w:rsidRPr="689E1B1A">
        <w:rPr>
          <w:rFonts w:cstheme="minorBidi"/>
          <w:color w:val="000000" w:themeColor="text1"/>
        </w:rPr>
        <w:t xml:space="preserve">and commercial agreements for products claimed to be superior to existing </w:t>
      </w:r>
      <w:r>
        <w:rPr>
          <w:rFonts w:cstheme="minorBidi"/>
          <w:color w:val="000000" w:themeColor="text1"/>
        </w:rPr>
        <w:t>care. They should also</w:t>
      </w:r>
      <w:r w:rsidRPr="689E1B1A">
        <w:rPr>
          <w:rFonts w:cstheme="minorBidi"/>
          <w:color w:val="000000" w:themeColor="text1"/>
        </w:rPr>
        <w:t xml:space="preserve"> </w:t>
      </w:r>
      <w:r w:rsidRPr="00262EB5">
        <w:rPr>
          <w:rFonts w:cstheme="minorBidi"/>
          <w:color w:val="000000" w:themeColor="text1"/>
        </w:rPr>
        <w:t>negotiate</w:t>
      </w:r>
      <w:r w:rsidRPr="689E1B1A">
        <w:rPr>
          <w:rFonts w:cstheme="minorBidi"/>
          <w:color w:val="000000" w:themeColor="text1"/>
        </w:rPr>
        <w:t xml:space="preserve"> reciproca</w:t>
      </w:r>
      <w:r>
        <w:rPr>
          <w:rFonts w:cstheme="minorBidi"/>
          <w:color w:val="000000" w:themeColor="text1"/>
        </w:rPr>
        <w:t>l</w:t>
      </w:r>
      <w:r w:rsidRPr="689E1B1A">
        <w:rPr>
          <w:rFonts w:cstheme="minorBidi"/>
          <w:color w:val="000000" w:themeColor="text1"/>
        </w:rPr>
        <w:t xml:space="preserve"> commitments to these elements in any agreement</w:t>
      </w:r>
      <w:r>
        <w:rPr>
          <w:rFonts w:cstheme="minorBidi"/>
          <w:color w:val="000000" w:themeColor="text1"/>
        </w:rPr>
        <w:t>,</w:t>
      </w:r>
      <w:r w:rsidRPr="689E1B1A">
        <w:rPr>
          <w:rFonts w:cstheme="minorBidi"/>
          <w:color w:val="000000" w:themeColor="text1"/>
        </w:rPr>
        <w:t xml:space="preserve"> including agreed performance metrics that are compiled and published annually. </w:t>
      </w:r>
    </w:p>
    <w:p w14:paraId="244495C4" w14:textId="77777777" w:rsidR="000F71AC" w:rsidRPr="00FF0C00" w:rsidRDefault="000F71AC" w:rsidP="000F71AC">
      <w:pPr>
        <w:keepNext/>
        <w:spacing w:line="22" w:lineRule="atLeast"/>
        <w:rPr>
          <w:rFonts w:asciiTheme="minorHAnsi" w:hAnsiTheme="minorHAnsi" w:cstheme="minorBidi"/>
          <w:color w:val="000000" w:themeColor="text1"/>
        </w:rPr>
      </w:pPr>
      <w:r>
        <w:rPr>
          <w:rFonts w:cstheme="minorBidi"/>
          <w:color w:val="000000" w:themeColor="text1"/>
        </w:rPr>
        <w:t>The Review recommends:</w:t>
      </w:r>
    </w:p>
    <w:p w14:paraId="76323DDE" w14:textId="77777777" w:rsidR="000F71AC" w:rsidRDefault="000F71AC" w:rsidP="00F20014">
      <w:pPr>
        <w:pStyle w:val="ListParagraph"/>
        <w:numPr>
          <w:ilvl w:val="0"/>
          <w:numId w:val="51"/>
        </w:numPr>
        <w:spacing w:before="0" w:after="160"/>
        <w:rPr>
          <w:rFonts w:cstheme="minorBidi"/>
          <w:color w:val="000000" w:themeColor="text1"/>
        </w:rPr>
      </w:pPr>
      <w:r>
        <w:rPr>
          <w:rFonts w:cstheme="minorBidi"/>
          <w:color w:val="000000" w:themeColor="text1"/>
        </w:rPr>
        <w:t>the introduction of r</w:t>
      </w:r>
      <w:r w:rsidRPr="01A04F8F">
        <w:rPr>
          <w:rFonts w:cstheme="minorBidi"/>
          <w:color w:val="000000" w:themeColor="text1"/>
        </w:rPr>
        <w:t>eciproca</w:t>
      </w:r>
      <w:r>
        <w:rPr>
          <w:rFonts w:cstheme="minorBidi"/>
          <w:color w:val="000000" w:themeColor="text1"/>
        </w:rPr>
        <w:t>l</w:t>
      </w:r>
      <w:r w:rsidRPr="01A04F8F">
        <w:rPr>
          <w:rFonts w:cstheme="minorBidi"/>
          <w:color w:val="000000" w:themeColor="text1"/>
        </w:rPr>
        <w:t xml:space="preserve"> commitments includ</w:t>
      </w:r>
      <w:r>
        <w:rPr>
          <w:rFonts w:cstheme="minorBidi"/>
          <w:color w:val="000000" w:themeColor="text1"/>
        </w:rPr>
        <w:t>ing</w:t>
      </w:r>
      <w:r w:rsidRPr="01A04F8F">
        <w:rPr>
          <w:rFonts w:cstheme="minorBidi"/>
          <w:color w:val="000000" w:themeColor="text1"/>
        </w:rPr>
        <w:t xml:space="preserve"> headline targets of:</w:t>
      </w:r>
    </w:p>
    <w:p w14:paraId="007C5A4C" w14:textId="56A6D71E" w:rsidR="000F71AC" w:rsidRPr="00FE3FAC" w:rsidRDefault="000F71AC" w:rsidP="00F20014">
      <w:pPr>
        <w:pStyle w:val="ListParagraph"/>
        <w:numPr>
          <w:ilvl w:val="1"/>
          <w:numId w:val="52"/>
        </w:numPr>
        <w:spacing w:before="0" w:after="160"/>
        <w:rPr>
          <w:rFonts w:eastAsia="Calibri" w:cs="Segoe UI"/>
        </w:rPr>
      </w:pPr>
      <w:r w:rsidRPr="00FE3FAC">
        <w:rPr>
          <w:rFonts w:eastAsia="Calibri" w:cs="Segoe UI"/>
        </w:rPr>
        <w:t>&gt;90% for a Pharmaceutical Benefits Scheme (PBS) listing within 6 months of an Australian Register of Therapeutic Goods (ARTG) registration for registered products demonstrating superiority and submitted to the Pharmaceutical Benefits Advisory Committee (PBAC) in the first cycle following Therapeutic Goods Administration (TGA) submission under the TGA and PBAC parallel processing pathway</w:t>
      </w:r>
    </w:p>
    <w:p w14:paraId="3DA0D7C6" w14:textId="77777777" w:rsidR="000F71AC" w:rsidRPr="00FE3FAC" w:rsidRDefault="000F71AC" w:rsidP="00F20014">
      <w:pPr>
        <w:pStyle w:val="ListParagraph"/>
        <w:numPr>
          <w:ilvl w:val="1"/>
          <w:numId w:val="52"/>
        </w:numPr>
        <w:spacing w:before="0" w:after="160"/>
        <w:rPr>
          <w:rFonts w:eastAsia="Calibri" w:cs="Segoe UI"/>
        </w:rPr>
      </w:pPr>
      <w:r w:rsidRPr="00FE3FAC">
        <w:rPr>
          <w:rFonts w:eastAsia="Calibri" w:cs="Segoe UI"/>
        </w:rPr>
        <w:t>&gt;90% for PBS listing within 12 months of ARTG registration for registered products demonstrating superiority, other than where (</w:t>
      </w:r>
      <w:proofErr w:type="spellStart"/>
      <w:r w:rsidRPr="00FE3FAC">
        <w:rPr>
          <w:rFonts w:eastAsia="Calibri" w:cs="Segoe UI"/>
        </w:rPr>
        <w:t>i</w:t>
      </w:r>
      <w:proofErr w:type="spellEnd"/>
      <w:r w:rsidRPr="00FE3FAC">
        <w:rPr>
          <w:rFonts w:eastAsia="Calibri" w:cs="Segoe UI"/>
        </w:rPr>
        <w:t>) applies.</w:t>
      </w:r>
    </w:p>
    <w:p w14:paraId="5E828951" w14:textId="77777777" w:rsidR="000F71AC" w:rsidRDefault="000F71AC" w:rsidP="00F20014">
      <w:pPr>
        <w:pStyle w:val="ListParagraph"/>
        <w:numPr>
          <w:ilvl w:val="0"/>
          <w:numId w:val="51"/>
        </w:numPr>
        <w:spacing w:before="0" w:after="160"/>
        <w:rPr>
          <w:rFonts w:cstheme="minorBidi"/>
          <w:color w:val="000000" w:themeColor="text1"/>
        </w:rPr>
      </w:pPr>
      <w:r>
        <w:rPr>
          <w:rFonts w:cstheme="minorBidi"/>
          <w:color w:val="000000" w:themeColor="text1"/>
        </w:rPr>
        <w:t>p</w:t>
      </w:r>
      <w:r w:rsidRPr="6CC68A72">
        <w:rPr>
          <w:rFonts w:cstheme="minorBidi"/>
          <w:color w:val="000000" w:themeColor="text1"/>
        </w:rPr>
        <w:t>rod</w:t>
      </w:r>
      <w:r>
        <w:rPr>
          <w:rFonts w:cstheme="minorBidi"/>
          <w:color w:val="000000" w:themeColor="text1"/>
        </w:rPr>
        <w:t>uction of</w:t>
      </w:r>
      <w:r w:rsidRPr="6CC68A72">
        <w:rPr>
          <w:rFonts w:cstheme="minorBidi"/>
          <w:color w:val="000000" w:themeColor="text1"/>
        </w:rPr>
        <w:t xml:space="preserve"> annual summary documents that transparently report instances where a product claimed to be superior is not PBS listed after two submissions, or not listed within the time</w:t>
      </w:r>
      <w:r>
        <w:rPr>
          <w:rFonts w:cstheme="minorBidi"/>
          <w:color w:val="000000" w:themeColor="text1"/>
        </w:rPr>
        <w:t xml:space="preserve"> </w:t>
      </w:r>
      <w:r w:rsidRPr="6CC68A72">
        <w:rPr>
          <w:rFonts w:cstheme="minorBidi"/>
          <w:color w:val="000000" w:themeColor="text1"/>
        </w:rPr>
        <w:t xml:space="preserve">frames specified in </w:t>
      </w:r>
      <w:r>
        <w:rPr>
          <w:rFonts w:cstheme="minorBidi"/>
          <w:color w:val="000000" w:themeColor="text1"/>
        </w:rPr>
        <w:t xml:space="preserve">this recommendation (a </w:t>
      </w:r>
      <w:r w:rsidRPr="6CC68A72">
        <w:rPr>
          <w:rFonts w:cstheme="minorBidi"/>
          <w:color w:val="000000" w:themeColor="text1"/>
        </w:rPr>
        <w:t>(</w:t>
      </w:r>
      <w:bookmarkStart w:id="26" w:name="_Int_Y9NiPFgo"/>
      <w:proofErr w:type="spellStart"/>
      <w:r w:rsidRPr="6CC68A72">
        <w:rPr>
          <w:rFonts w:cstheme="minorBidi"/>
          <w:color w:val="000000" w:themeColor="text1"/>
        </w:rPr>
        <w:t>i</w:t>
      </w:r>
      <w:bookmarkEnd w:id="26"/>
      <w:proofErr w:type="spellEnd"/>
      <w:r w:rsidRPr="6CC68A72">
        <w:rPr>
          <w:rFonts w:cstheme="minorBidi"/>
          <w:color w:val="000000" w:themeColor="text1"/>
        </w:rPr>
        <w:t>)</w:t>
      </w:r>
      <w:r>
        <w:rPr>
          <w:rFonts w:cstheme="minorBidi"/>
          <w:color w:val="000000" w:themeColor="text1"/>
        </w:rPr>
        <w:t>)</w:t>
      </w:r>
      <w:r w:rsidRPr="6CC68A72">
        <w:rPr>
          <w:rFonts w:cstheme="minorBidi"/>
          <w:color w:val="000000" w:themeColor="text1"/>
        </w:rPr>
        <w:t xml:space="preserve">. For each </w:t>
      </w:r>
      <w:r w:rsidRPr="6CC68A72">
        <w:rPr>
          <w:rFonts w:cstheme="minorBidi"/>
          <w:color w:val="000000" w:themeColor="text1"/>
        </w:rPr>
        <w:lastRenderedPageBreak/>
        <w:t xml:space="preserve">product, the stage of assessment where progression to listing </w:t>
      </w:r>
      <w:r>
        <w:rPr>
          <w:rFonts w:cstheme="minorBidi"/>
          <w:color w:val="000000" w:themeColor="text1"/>
        </w:rPr>
        <w:t>i</w:t>
      </w:r>
      <w:r w:rsidRPr="6CC68A72">
        <w:rPr>
          <w:rFonts w:cstheme="minorBidi"/>
          <w:color w:val="000000" w:themeColor="text1"/>
        </w:rPr>
        <w:t>s primarily delayed should be specified in plain language, as well as the basis for this (where publicly available), using categories such as:</w:t>
      </w:r>
    </w:p>
    <w:p w14:paraId="50DACB2E" w14:textId="77777777" w:rsidR="000F71AC" w:rsidRPr="00FE3FAC" w:rsidRDefault="000F71AC" w:rsidP="00F20014">
      <w:pPr>
        <w:pStyle w:val="ListParagraph"/>
        <w:numPr>
          <w:ilvl w:val="1"/>
          <w:numId w:val="53"/>
        </w:numPr>
        <w:spacing w:before="0" w:after="160"/>
        <w:rPr>
          <w:rFonts w:eastAsia="Calibri" w:cs="Segoe UI"/>
        </w:rPr>
      </w:pPr>
      <w:r w:rsidRPr="00FE3FAC">
        <w:rPr>
          <w:rFonts w:eastAsia="Calibri" w:cs="Segoe UI"/>
        </w:rPr>
        <w:t>Stage – PBAC submission; Basis – parallel processing not used, PBAC application &gt;3 months after ARTG registration, submission withdrawn</w:t>
      </w:r>
    </w:p>
    <w:p w14:paraId="74B18CFB" w14:textId="77777777" w:rsidR="000F71AC" w:rsidRPr="00FE3FAC" w:rsidRDefault="000F71AC" w:rsidP="00F20014">
      <w:pPr>
        <w:pStyle w:val="ListParagraph"/>
        <w:numPr>
          <w:ilvl w:val="1"/>
          <w:numId w:val="53"/>
        </w:numPr>
        <w:spacing w:before="0" w:after="160"/>
        <w:rPr>
          <w:rFonts w:eastAsia="Calibri" w:cs="Segoe UI"/>
        </w:rPr>
      </w:pPr>
      <w:r w:rsidRPr="00FE3FAC">
        <w:rPr>
          <w:rFonts w:eastAsia="Calibri" w:cs="Segoe UI"/>
        </w:rPr>
        <w:t xml:space="preserve">Stage – PBAC consideration of claim of superiority; Basis – claim not accepted, claim acceptance required second consideration </w:t>
      </w:r>
    </w:p>
    <w:p w14:paraId="5A7A8141" w14:textId="77777777" w:rsidR="000F71AC" w:rsidRPr="00FE3FAC" w:rsidRDefault="000F71AC" w:rsidP="00F20014">
      <w:pPr>
        <w:pStyle w:val="ListParagraph"/>
        <w:numPr>
          <w:ilvl w:val="1"/>
          <w:numId w:val="53"/>
        </w:numPr>
        <w:spacing w:before="0" w:after="160"/>
        <w:rPr>
          <w:rFonts w:eastAsia="Calibri" w:cs="Segoe UI"/>
        </w:rPr>
      </w:pPr>
      <w:r w:rsidRPr="00FE3FAC">
        <w:rPr>
          <w:rFonts w:eastAsia="Calibri" w:cs="Segoe UI"/>
        </w:rPr>
        <w:t>Stage – Commercial negotiation</w:t>
      </w:r>
    </w:p>
    <w:p w14:paraId="28BD6F0F" w14:textId="7E9903FE" w:rsidR="000F71AC" w:rsidRPr="00FE3FAC" w:rsidRDefault="000F71AC" w:rsidP="00F20014">
      <w:pPr>
        <w:pStyle w:val="ListParagraph"/>
        <w:numPr>
          <w:ilvl w:val="1"/>
          <w:numId w:val="53"/>
        </w:numPr>
        <w:spacing w:before="0" w:after="160"/>
        <w:rPr>
          <w:rFonts w:eastAsia="Calibri" w:cs="Segoe UI"/>
        </w:rPr>
      </w:pPr>
      <w:r w:rsidRPr="00FE3FAC">
        <w:rPr>
          <w:rFonts w:eastAsia="Calibri" w:cs="Segoe UI"/>
        </w:rPr>
        <w:t>Stage – Implementation; Basis – guarantee of supply timing, Cabinet consideration of timing, high-level complexity in implementation</w:t>
      </w:r>
      <w:r w:rsidR="007D5079">
        <w:rPr>
          <w:rFonts w:eastAsia="Calibri" w:cs="Segoe UI"/>
        </w:rPr>
        <w:t>.</w:t>
      </w:r>
    </w:p>
    <w:p w14:paraId="065A6121" w14:textId="77777777" w:rsidR="000F71AC" w:rsidRDefault="000F71AC" w:rsidP="00F20014">
      <w:pPr>
        <w:pStyle w:val="ListParagraph"/>
        <w:numPr>
          <w:ilvl w:val="0"/>
          <w:numId w:val="51"/>
        </w:numPr>
        <w:spacing w:before="0" w:after="160"/>
        <w:rPr>
          <w:rFonts w:cstheme="minorBidi"/>
          <w:color w:val="000000" w:themeColor="text1"/>
        </w:rPr>
      </w:pPr>
      <w:r>
        <w:rPr>
          <w:rFonts w:cstheme="minorBidi"/>
          <w:color w:val="000000" w:themeColor="text1"/>
        </w:rPr>
        <w:t>t</w:t>
      </w:r>
      <w:r w:rsidRPr="01A04F8F">
        <w:rPr>
          <w:rFonts w:cstheme="minorBidi"/>
          <w:color w:val="000000" w:themeColor="text1"/>
        </w:rPr>
        <w:t>hat the impact of any accepted recommendations from th</w:t>
      </w:r>
      <w:r>
        <w:rPr>
          <w:rFonts w:cstheme="minorBidi"/>
          <w:color w:val="000000" w:themeColor="text1"/>
        </w:rPr>
        <w:t>e</w:t>
      </w:r>
      <w:r w:rsidRPr="01A04F8F">
        <w:rPr>
          <w:rFonts w:cstheme="minorBidi"/>
          <w:color w:val="000000" w:themeColor="text1"/>
        </w:rPr>
        <w:t xml:space="preserve"> Review on </w:t>
      </w:r>
      <w:r>
        <w:rPr>
          <w:rFonts w:cstheme="minorBidi"/>
          <w:color w:val="000000" w:themeColor="text1"/>
        </w:rPr>
        <w:t xml:space="preserve">the </w:t>
      </w:r>
      <w:r w:rsidRPr="01A04F8F">
        <w:rPr>
          <w:rFonts w:cstheme="minorBidi"/>
          <w:color w:val="000000" w:themeColor="text1"/>
        </w:rPr>
        <w:t xml:space="preserve">timeliness of access for therapies with proven superior clinical benefit be reviewed 2 years after implementation has commenced, and the results of that review </w:t>
      </w:r>
      <w:r>
        <w:rPr>
          <w:rFonts w:cstheme="minorBidi"/>
          <w:color w:val="000000" w:themeColor="text1"/>
        </w:rPr>
        <w:t xml:space="preserve">are </w:t>
      </w:r>
      <w:r w:rsidRPr="01A04F8F">
        <w:rPr>
          <w:rFonts w:cstheme="minorBidi"/>
          <w:color w:val="000000" w:themeColor="text1"/>
        </w:rPr>
        <w:t>published. That review should consider:</w:t>
      </w:r>
    </w:p>
    <w:p w14:paraId="544CD7D3" w14:textId="77777777" w:rsidR="000F71AC" w:rsidRPr="00496F82" w:rsidRDefault="000F71AC" w:rsidP="00F20014">
      <w:pPr>
        <w:pStyle w:val="ListParagraph"/>
        <w:numPr>
          <w:ilvl w:val="1"/>
          <w:numId w:val="54"/>
        </w:numPr>
        <w:spacing w:before="0" w:after="160"/>
        <w:rPr>
          <w:rFonts w:eastAsia="Calibri" w:cs="Segoe UI"/>
        </w:rPr>
      </w:pPr>
      <w:r w:rsidRPr="00496F82">
        <w:rPr>
          <w:rFonts w:eastAsia="Calibri" w:cs="Segoe UI"/>
        </w:rPr>
        <w:t>medicines submitted for listing on the PBS</w:t>
      </w:r>
    </w:p>
    <w:p w14:paraId="23009345" w14:textId="77777777" w:rsidR="000F71AC" w:rsidRPr="00496F82" w:rsidRDefault="000F71AC" w:rsidP="00F20014">
      <w:pPr>
        <w:pStyle w:val="ListParagraph"/>
        <w:numPr>
          <w:ilvl w:val="1"/>
          <w:numId w:val="54"/>
        </w:numPr>
        <w:spacing w:before="0" w:after="160"/>
        <w:rPr>
          <w:rFonts w:eastAsia="Calibri" w:cs="Segoe UI"/>
        </w:rPr>
      </w:pPr>
      <w:r w:rsidRPr="00496F82">
        <w:rPr>
          <w:rFonts w:eastAsia="Calibri" w:cs="Segoe UI"/>
        </w:rPr>
        <w:t>medicines listed on the Life Saving Drugs Program (LSDP) (or its equivalent)</w:t>
      </w:r>
    </w:p>
    <w:p w14:paraId="681E7AD5" w14:textId="6F0D9F6C" w:rsidR="000F71AC" w:rsidRPr="00496F82" w:rsidRDefault="000F71AC" w:rsidP="00F20014">
      <w:pPr>
        <w:pStyle w:val="ListParagraph"/>
        <w:numPr>
          <w:ilvl w:val="1"/>
          <w:numId w:val="54"/>
        </w:numPr>
        <w:spacing w:before="0" w:after="160"/>
        <w:rPr>
          <w:rFonts w:eastAsia="Calibri" w:cs="Segoe UI"/>
        </w:rPr>
      </w:pPr>
      <w:r w:rsidRPr="00496F82">
        <w:rPr>
          <w:rFonts w:eastAsia="Calibri" w:cs="Segoe UI"/>
        </w:rPr>
        <w:t>advanced therapies (agnostic of the HTA body; including highly specialised therapies (HSTs) funded through the 2020–25 Addendum to the National Health Reform Agreement</w:t>
      </w:r>
      <w:r w:rsidR="007D5079">
        <w:rPr>
          <w:rFonts w:eastAsia="Calibri" w:cs="Segoe UI"/>
        </w:rPr>
        <w:t xml:space="preserve"> (NHRA)</w:t>
      </w:r>
      <w:r w:rsidRPr="00496F82">
        <w:rPr>
          <w:rFonts w:eastAsia="Calibri" w:cs="Segoe UI"/>
        </w:rPr>
        <w:t>)</w:t>
      </w:r>
    </w:p>
    <w:p w14:paraId="745B2321" w14:textId="78A9DC8E" w:rsidR="000F71AC" w:rsidRPr="00496F82" w:rsidRDefault="000F71AC" w:rsidP="00F20014">
      <w:pPr>
        <w:pStyle w:val="ListParagraph"/>
        <w:numPr>
          <w:ilvl w:val="1"/>
          <w:numId w:val="54"/>
        </w:numPr>
        <w:spacing w:before="0" w:after="160"/>
        <w:rPr>
          <w:rFonts w:eastAsia="Calibri" w:cs="Segoe UI"/>
        </w:rPr>
      </w:pPr>
      <w:r w:rsidRPr="00496F82">
        <w:rPr>
          <w:rFonts w:eastAsia="Calibri" w:cs="Segoe UI"/>
        </w:rPr>
        <w:t>therapies, other than HSTs, submitted for consideration by the Medical Services Advisory Committee (MSAC)</w:t>
      </w:r>
      <w:r w:rsidR="007D5079">
        <w:rPr>
          <w:rFonts w:eastAsia="Calibri" w:cs="Segoe UI"/>
        </w:rPr>
        <w:t>.</w:t>
      </w:r>
    </w:p>
    <w:p w14:paraId="675F9C73" w14:textId="77777777" w:rsidR="000F71AC" w:rsidRDefault="000F71AC" w:rsidP="00F20014">
      <w:pPr>
        <w:pStyle w:val="ListParagraph"/>
        <w:numPr>
          <w:ilvl w:val="0"/>
          <w:numId w:val="51"/>
        </w:numPr>
        <w:spacing w:before="0" w:after="160"/>
      </w:pPr>
      <w:r>
        <w:rPr>
          <w:rFonts w:cstheme="minorBidi"/>
          <w:color w:val="000000" w:themeColor="text1"/>
        </w:rPr>
        <w:t>that f</w:t>
      </w:r>
      <w:r w:rsidRPr="007D249E">
        <w:rPr>
          <w:rFonts w:cstheme="minorBidi"/>
          <w:color w:val="000000" w:themeColor="text1"/>
        </w:rPr>
        <w:t>indings</w:t>
      </w:r>
      <w:r>
        <w:rPr>
          <w:rFonts w:cstheme="minorBidi"/>
          <w:color w:val="000000" w:themeColor="text1"/>
        </w:rPr>
        <w:t xml:space="preserve"> from the 2-year review </w:t>
      </w:r>
      <w:r w:rsidRPr="007D249E">
        <w:rPr>
          <w:rFonts w:cstheme="minorBidi"/>
          <w:color w:val="000000" w:themeColor="text1"/>
        </w:rPr>
        <w:t>should inform actions aimed at further improving timeliness to access</w:t>
      </w:r>
      <w:r>
        <w:rPr>
          <w:rFonts w:cstheme="minorBidi"/>
          <w:color w:val="000000" w:themeColor="text1"/>
        </w:rPr>
        <w:t xml:space="preserve"> to new therapies</w:t>
      </w:r>
      <w:r w:rsidRPr="007D249E">
        <w:rPr>
          <w:rFonts w:cstheme="minorBidi"/>
          <w:color w:val="000000" w:themeColor="text1"/>
        </w:rPr>
        <w:t xml:space="preserve"> by removing unanticipated barriers that arise during or after implementation of any recommendations. The </w:t>
      </w:r>
      <w:r w:rsidRPr="007D249E" w:rsidDel="000E4AF2">
        <w:rPr>
          <w:rFonts w:cstheme="minorBidi"/>
          <w:color w:val="000000" w:themeColor="text1"/>
        </w:rPr>
        <w:t>R</w:t>
      </w:r>
      <w:r w:rsidRPr="007D249E">
        <w:rPr>
          <w:rFonts w:cstheme="minorBidi"/>
          <w:color w:val="000000" w:themeColor="text1"/>
        </w:rPr>
        <w:t>eview findings should also inform</w:t>
      </w:r>
      <w:r>
        <w:rPr>
          <w:rFonts w:cstheme="minorBidi"/>
          <w:color w:val="000000" w:themeColor="text1"/>
        </w:rPr>
        <w:t xml:space="preserve"> the</w:t>
      </w:r>
      <w:r w:rsidRPr="007D249E">
        <w:rPr>
          <w:rFonts w:cstheme="minorBidi"/>
          <w:color w:val="000000" w:themeColor="text1"/>
        </w:rPr>
        <w:t xml:space="preserve"> revision of performance metrics and </w:t>
      </w:r>
      <w:r>
        <w:rPr>
          <w:rFonts w:cstheme="minorBidi"/>
          <w:color w:val="000000" w:themeColor="text1"/>
        </w:rPr>
        <w:t xml:space="preserve">the </w:t>
      </w:r>
      <w:r w:rsidRPr="007D249E">
        <w:rPr>
          <w:rFonts w:cstheme="minorBidi"/>
          <w:color w:val="000000" w:themeColor="text1"/>
        </w:rPr>
        <w:t>negotiation of headline targets with reduced times to access.</w:t>
      </w:r>
      <w:r w:rsidRPr="0091498F">
        <w:rPr>
          <w:noProof/>
        </w:rPr>
        <w:t xml:space="preserve"> </w:t>
      </w:r>
    </w:p>
    <w:p w14:paraId="5378CBB9" w14:textId="77777777" w:rsidR="009B18F6" w:rsidRDefault="000F71AC" w:rsidP="00304F0B">
      <w:r>
        <w:t xml:space="preserve">Comment by </w:t>
      </w:r>
      <w:r w:rsidRPr="00BD05D7">
        <w:t xml:space="preserve">Elizabeth de </w:t>
      </w:r>
      <w:proofErr w:type="spellStart"/>
      <w:r w:rsidRPr="00BD05D7">
        <w:t>Somer</w:t>
      </w:r>
      <w:proofErr w:type="spellEnd"/>
      <w:r w:rsidRPr="00BD05D7">
        <w:t xml:space="preserve">, </w:t>
      </w:r>
      <w:r>
        <w:t>member nominated by</w:t>
      </w:r>
      <w:r w:rsidRPr="00BD05D7">
        <w:t xml:space="preserve"> Medicines Australia</w:t>
      </w:r>
      <w:r>
        <w:t>: ‘</w:t>
      </w:r>
      <w:r w:rsidRPr="00BD05D7">
        <w:t>The industry supports mutually agreed targets that reduce delays in patient access and recommends that a time</w:t>
      </w:r>
      <w:r>
        <w:t xml:space="preserve"> </w:t>
      </w:r>
      <w:r w:rsidRPr="00BD05D7">
        <w:t>frame for PBS listing within 60 days of ARTG registration for all submissions should be a future target.</w:t>
      </w:r>
      <w:r>
        <w:t>’</w:t>
      </w:r>
    </w:p>
    <w:p w14:paraId="2DA48D64" w14:textId="77777777" w:rsidR="009B18F6" w:rsidRDefault="009B18F6" w:rsidP="00484B58">
      <w:pPr>
        <w:pStyle w:val="Recommendation1"/>
      </w:pPr>
      <w:bookmarkStart w:id="27" w:name="_Hlk167301939"/>
      <w:r w:rsidRPr="00454C92">
        <w:t xml:space="preserve">Addressing </w:t>
      </w:r>
      <w:r>
        <w:t xml:space="preserve">the </w:t>
      </w:r>
      <w:r w:rsidRPr="00454C92">
        <w:t>implications of high</w:t>
      </w:r>
      <w:r>
        <w:t>-</w:t>
      </w:r>
      <w:r w:rsidRPr="00454C92">
        <w:t>cost/</w:t>
      </w:r>
      <w:r>
        <w:t>high-</w:t>
      </w:r>
      <w:r w:rsidRPr="00454C92">
        <w:t>impact health technologies</w:t>
      </w:r>
    </w:p>
    <w:bookmarkEnd w:id="27"/>
    <w:p w14:paraId="1CD109C6" w14:textId="77777777" w:rsidR="009B18F6" w:rsidRPr="00405FD7" w:rsidRDefault="009B18F6" w:rsidP="00304F0B">
      <w:r w:rsidRPr="00405FD7">
        <w:t xml:space="preserve">The Review recommends </w:t>
      </w:r>
      <w:r>
        <w:t xml:space="preserve">that </w:t>
      </w:r>
      <w:r w:rsidRPr="00405FD7">
        <w:t>the Australian Government:</w:t>
      </w:r>
    </w:p>
    <w:p w14:paraId="1A70BF9B" w14:textId="77777777" w:rsidR="009B18F6" w:rsidRPr="00F83813" w:rsidRDefault="009B18F6" w:rsidP="002F06FE">
      <w:pPr>
        <w:pStyle w:val="ListParagraph"/>
        <w:numPr>
          <w:ilvl w:val="0"/>
          <w:numId w:val="13"/>
        </w:numPr>
        <w:spacing w:before="0" w:after="160"/>
        <w:rPr>
          <w:rFonts w:eastAsia="Times New Roman" w:cs="Segoe UI"/>
          <w:kern w:val="24"/>
          <w:lang w:eastAsia="en-AU"/>
        </w:rPr>
      </w:pPr>
      <w:r>
        <w:rPr>
          <w:rFonts w:eastAsia="Times New Roman" w:cs="Segoe UI"/>
          <w:kern w:val="24"/>
          <w:lang w:eastAsia="en-AU"/>
        </w:rPr>
        <w:t>w</w:t>
      </w:r>
      <w:r w:rsidRPr="00F83813">
        <w:rPr>
          <w:rFonts w:eastAsia="Times New Roman" w:cs="Segoe UI"/>
          <w:kern w:val="24"/>
          <w:lang w:eastAsia="en-AU"/>
        </w:rPr>
        <w:t xml:space="preserve">ork with stakeholders (principally industry and government entities) on designing a framework that supports the use of different contract and health technology </w:t>
      </w:r>
      <w:r w:rsidRPr="00F83813">
        <w:rPr>
          <w:rFonts w:eastAsia="Times New Roman" w:cs="Segoe UI"/>
          <w:kern w:val="24"/>
          <w:lang w:eastAsia="en-AU"/>
        </w:rPr>
        <w:lastRenderedPageBreak/>
        <w:t>funding mechanisms</w:t>
      </w:r>
      <w:r>
        <w:rPr>
          <w:rFonts w:eastAsia="Times New Roman" w:cs="Segoe UI"/>
          <w:kern w:val="24"/>
          <w:lang w:eastAsia="en-AU"/>
        </w:rPr>
        <w:t>, in addition to</w:t>
      </w:r>
      <w:r w:rsidRPr="00F83813">
        <w:rPr>
          <w:rFonts w:eastAsia="Times New Roman" w:cs="Segoe UI"/>
          <w:kern w:val="24"/>
          <w:lang w:eastAsia="en-AU"/>
        </w:rPr>
        <w:t xml:space="preserve"> the standard ‘price per unit’ approach. These may include (but </w:t>
      </w:r>
      <w:r>
        <w:rPr>
          <w:rFonts w:eastAsia="Times New Roman" w:cs="Segoe UI"/>
          <w:kern w:val="24"/>
          <w:lang w:eastAsia="en-AU"/>
        </w:rPr>
        <w:t xml:space="preserve">need </w:t>
      </w:r>
      <w:r w:rsidRPr="00F83813">
        <w:rPr>
          <w:rFonts w:eastAsia="Times New Roman" w:cs="Segoe UI"/>
          <w:kern w:val="24"/>
          <w:lang w:eastAsia="en-AU"/>
        </w:rPr>
        <w:t xml:space="preserve">not </w:t>
      </w:r>
      <w:r>
        <w:rPr>
          <w:rFonts w:eastAsia="Times New Roman" w:cs="Segoe UI"/>
          <w:kern w:val="24"/>
          <w:lang w:eastAsia="en-AU"/>
        </w:rPr>
        <w:t xml:space="preserve">be </w:t>
      </w:r>
      <w:r w:rsidRPr="00F83813">
        <w:rPr>
          <w:rFonts w:eastAsia="Times New Roman" w:cs="Segoe UI"/>
          <w:kern w:val="24"/>
          <w:lang w:eastAsia="en-AU"/>
        </w:rPr>
        <w:t xml:space="preserve">limited to) mechanisms </w:t>
      </w:r>
      <w:r>
        <w:rPr>
          <w:rFonts w:eastAsia="Times New Roman" w:cs="Segoe UI"/>
          <w:kern w:val="24"/>
          <w:lang w:eastAsia="en-AU"/>
        </w:rPr>
        <w:t>that</w:t>
      </w:r>
      <w:r w:rsidRPr="00F83813">
        <w:rPr>
          <w:rFonts w:eastAsia="Times New Roman" w:cs="Segoe UI"/>
          <w:kern w:val="24"/>
          <w:lang w:eastAsia="en-AU"/>
        </w:rPr>
        <w:t xml:space="preserve"> facilitate more timely patient access to </w:t>
      </w:r>
      <w:bookmarkStart w:id="28" w:name="_Hlk167380703"/>
      <w:r w:rsidRPr="00F83813">
        <w:rPr>
          <w:rFonts w:eastAsia="Times New Roman" w:cs="Segoe UI"/>
          <w:kern w:val="24"/>
          <w:lang w:eastAsia="en-AU"/>
        </w:rPr>
        <w:t>high-cost/high-impact health technologies</w:t>
      </w:r>
      <w:bookmarkEnd w:id="28"/>
      <w:r w:rsidRPr="00F83813">
        <w:rPr>
          <w:rFonts w:eastAsia="Times New Roman" w:cs="Segoe UI"/>
          <w:kern w:val="24"/>
          <w:lang w:eastAsia="en-AU"/>
        </w:rPr>
        <w:t>, such as (but not limited to) mortgage-style regular payments, volume-delinked subscription-style reimbursement</w:t>
      </w:r>
      <w:r>
        <w:rPr>
          <w:rFonts w:eastAsia="Times New Roman" w:cs="Segoe UI"/>
          <w:kern w:val="24"/>
          <w:lang w:eastAsia="en-AU"/>
        </w:rPr>
        <w:t>s</w:t>
      </w:r>
      <w:r w:rsidRPr="00F83813">
        <w:rPr>
          <w:rFonts w:eastAsia="Times New Roman" w:cs="Segoe UI"/>
          <w:kern w:val="24"/>
          <w:lang w:eastAsia="en-AU"/>
        </w:rPr>
        <w:t xml:space="preserve"> and/or patient-level product warranties </w:t>
      </w:r>
    </w:p>
    <w:p w14:paraId="72736C81" w14:textId="77777777" w:rsidR="009B18F6" w:rsidRPr="00F83813" w:rsidRDefault="009B18F6" w:rsidP="002F06FE">
      <w:pPr>
        <w:pStyle w:val="ListParagraph"/>
        <w:numPr>
          <w:ilvl w:val="0"/>
          <w:numId w:val="13"/>
        </w:numPr>
        <w:spacing w:before="0" w:after="160"/>
        <w:rPr>
          <w:rFonts w:eastAsia="Times New Roman" w:cs="Segoe UI"/>
          <w:kern w:val="24"/>
          <w:lang w:eastAsia="en-AU"/>
        </w:rPr>
      </w:pPr>
      <w:r>
        <w:rPr>
          <w:rFonts w:eastAsia="Times New Roman" w:cs="Segoe UI"/>
          <w:kern w:val="24"/>
          <w:lang w:eastAsia="en-AU"/>
        </w:rPr>
        <w:t>d</w:t>
      </w:r>
      <w:r w:rsidRPr="00F83813">
        <w:rPr>
          <w:rFonts w:eastAsia="Times New Roman" w:cs="Segoe UI"/>
          <w:kern w:val="24"/>
          <w:lang w:eastAsia="en-AU"/>
        </w:rPr>
        <w:t>esign the framework guided by the principles of:</w:t>
      </w:r>
    </w:p>
    <w:p w14:paraId="511690D7" w14:textId="77777777" w:rsidR="009B18F6" w:rsidRPr="00F83813" w:rsidRDefault="009B18F6" w:rsidP="002F06FE">
      <w:pPr>
        <w:pStyle w:val="ListParagraph"/>
        <w:numPr>
          <w:ilvl w:val="1"/>
          <w:numId w:val="13"/>
        </w:numPr>
        <w:spacing w:before="0" w:after="160"/>
        <w:rPr>
          <w:rFonts w:cs="Segoe UI"/>
        </w:rPr>
      </w:pPr>
      <w:r w:rsidRPr="00F83813">
        <w:rPr>
          <w:rFonts w:eastAsia="Times New Roman" w:cs="Segoe UI"/>
          <w:kern w:val="24"/>
          <w:lang w:eastAsia="en-AU"/>
        </w:rPr>
        <w:t xml:space="preserve">promoting earlier dialogue, design and negotiation of key parameters and expectations </w:t>
      </w:r>
      <w:r>
        <w:rPr>
          <w:rFonts w:eastAsia="Times New Roman" w:cs="Segoe UI"/>
          <w:kern w:val="24"/>
          <w:lang w:eastAsia="en-AU"/>
        </w:rPr>
        <w:t>for</w:t>
      </w:r>
      <w:r w:rsidRPr="00F83813">
        <w:rPr>
          <w:rFonts w:eastAsia="Times New Roman" w:cs="Segoe UI"/>
          <w:kern w:val="24"/>
          <w:lang w:eastAsia="en-AU"/>
        </w:rPr>
        <w:t xml:space="preserve"> financing and contracting parameters </w:t>
      </w:r>
    </w:p>
    <w:p w14:paraId="69BF6B3C" w14:textId="77777777" w:rsidR="009B18F6" w:rsidRPr="00F83813" w:rsidRDefault="009B18F6" w:rsidP="002F06FE">
      <w:pPr>
        <w:pStyle w:val="ListParagraph"/>
        <w:numPr>
          <w:ilvl w:val="1"/>
          <w:numId w:val="13"/>
        </w:numPr>
        <w:spacing w:before="0" w:after="160"/>
        <w:rPr>
          <w:rFonts w:cs="Segoe UI"/>
        </w:rPr>
      </w:pPr>
      <w:r w:rsidRPr="00F83813">
        <w:rPr>
          <w:rFonts w:eastAsia="Times New Roman" w:cs="Segoe UI"/>
          <w:kern w:val="24"/>
          <w:lang w:eastAsia="en-AU"/>
        </w:rPr>
        <w:t>facilitating the adoption of different funding and purchasing mechanisms that address the specific clinical, economic or budgetary issues and uncertainties that may be associated with the health technology in a risk-proportionate manner</w:t>
      </w:r>
    </w:p>
    <w:p w14:paraId="6F81C28C" w14:textId="77777777" w:rsidR="009B18F6" w:rsidRPr="00A73036" w:rsidRDefault="009B18F6" w:rsidP="002F06FE">
      <w:pPr>
        <w:pStyle w:val="ListParagraph"/>
        <w:numPr>
          <w:ilvl w:val="1"/>
          <w:numId w:val="13"/>
        </w:numPr>
        <w:spacing w:before="0" w:after="360"/>
        <w:rPr>
          <w:rFonts w:cs="Segoe UI"/>
          <w:i/>
          <w:u w:val="single"/>
        </w:rPr>
      </w:pPr>
      <w:r w:rsidRPr="00F83813">
        <w:rPr>
          <w:rFonts w:eastAsia="Times New Roman" w:cs="Segoe UI"/>
          <w:kern w:val="24"/>
          <w:lang w:eastAsia="en-AU"/>
        </w:rPr>
        <w:t>maintaining consistency with other recommendations in this report that relate to pricing, subsid</w:t>
      </w:r>
      <w:r>
        <w:rPr>
          <w:rFonts w:eastAsia="Times New Roman" w:cs="Segoe UI"/>
          <w:kern w:val="24"/>
          <w:lang w:eastAsia="en-AU"/>
        </w:rPr>
        <w:t>ies</w:t>
      </w:r>
      <w:r w:rsidRPr="00F83813">
        <w:rPr>
          <w:rFonts w:eastAsia="Times New Roman" w:cs="Segoe UI"/>
          <w:kern w:val="24"/>
          <w:lang w:eastAsia="en-AU"/>
        </w:rPr>
        <w:t xml:space="preserve"> and risk management</w:t>
      </w:r>
      <w:r>
        <w:rPr>
          <w:rFonts w:eastAsia="Times New Roman" w:cs="Segoe UI"/>
          <w:kern w:val="24"/>
          <w:lang w:eastAsia="en-AU"/>
        </w:rPr>
        <w:t>–</w:t>
      </w:r>
      <w:r w:rsidRPr="00F83813">
        <w:rPr>
          <w:rFonts w:eastAsia="Times New Roman" w:cs="Segoe UI"/>
          <w:kern w:val="24"/>
          <w:lang w:eastAsia="en-AU"/>
        </w:rPr>
        <w:t xml:space="preserve">related matters. </w:t>
      </w:r>
    </w:p>
    <w:p w14:paraId="4E28A637" w14:textId="77777777" w:rsidR="00697EFF" w:rsidRPr="0060150E" w:rsidRDefault="00697EFF" w:rsidP="00484B58">
      <w:pPr>
        <w:pStyle w:val="Recommendation1"/>
      </w:pPr>
      <w:bookmarkStart w:id="29" w:name="_Hlk167301957"/>
      <w:r w:rsidRPr="000D1165">
        <w:t xml:space="preserve">Pricing </w:t>
      </w:r>
      <w:r>
        <w:t>o</w:t>
      </w:r>
      <w:r w:rsidRPr="000D1165">
        <w:t xml:space="preserve">ffer </w:t>
      </w:r>
      <w:r>
        <w:t>f</w:t>
      </w:r>
      <w:r w:rsidRPr="000D1165">
        <w:t>ramework</w:t>
      </w:r>
    </w:p>
    <w:bookmarkEnd w:id="29"/>
    <w:p w14:paraId="087D612D" w14:textId="77777777" w:rsidR="00697EFF" w:rsidRPr="0060150E" w:rsidRDefault="00697EFF" w:rsidP="00304F0B">
      <w:r w:rsidRPr="00405FD7">
        <w:t xml:space="preserve">The Review recommends </w:t>
      </w:r>
      <w:r>
        <w:t xml:space="preserve">that </w:t>
      </w:r>
      <w:r w:rsidRPr="00405FD7">
        <w:t>the Australian Government</w:t>
      </w:r>
      <w:r w:rsidRPr="0060150E">
        <w:t>:</w:t>
      </w:r>
    </w:p>
    <w:p w14:paraId="4D05C2FB" w14:textId="77777777" w:rsidR="00697EFF" w:rsidRPr="0060150E" w:rsidRDefault="00697EFF" w:rsidP="002F06FE">
      <w:pPr>
        <w:pStyle w:val="ListParagraph"/>
        <w:numPr>
          <w:ilvl w:val="0"/>
          <w:numId w:val="14"/>
        </w:numPr>
        <w:spacing w:before="0"/>
        <w:rPr>
          <w:rFonts w:cs="Segoe UI"/>
        </w:rPr>
      </w:pPr>
      <w:r>
        <w:rPr>
          <w:rFonts w:cs="Segoe UI"/>
        </w:rPr>
        <w:t>p</w:t>
      </w:r>
      <w:r w:rsidRPr="0060150E">
        <w:rPr>
          <w:rFonts w:cs="Segoe UI"/>
        </w:rPr>
        <w:t>ublish (after appropriate consultation and development) a post</w:t>
      </w:r>
      <w:r>
        <w:rPr>
          <w:rFonts w:cs="Segoe UI"/>
        </w:rPr>
        <w:t>-</w:t>
      </w:r>
      <w:r w:rsidRPr="0081279F">
        <w:rPr>
          <w:rFonts w:cs="Segoe UI"/>
        </w:rPr>
        <w:t>HTA</w:t>
      </w:r>
      <w:r>
        <w:rPr>
          <w:rFonts w:cs="Segoe UI"/>
        </w:rPr>
        <w:t xml:space="preserve"> </w:t>
      </w:r>
      <w:r w:rsidRPr="0060150E">
        <w:rPr>
          <w:rFonts w:cs="Segoe UI"/>
        </w:rPr>
        <w:t xml:space="preserve">pricing, negotiation and listing policy framework (with associated supporting guidance documentation) that would apply to health technologies that have been positively recommended by the relevant HTA </w:t>
      </w:r>
      <w:r>
        <w:rPr>
          <w:rFonts w:cs="Segoe UI"/>
        </w:rPr>
        <w:t>advisory committee</w:t>
      </w:r>
    </w:p>
    <w:p w14:paraId="7115E388" w14:textId="77777777" w:rsidR="00697EFF" w:rsidRPr="0060150E" w:rsidRDefault="00697EFF" w:rsidP="002F06FE">
      <w:pPr>
        <w:pStyle w:val="ListParagraph"/>
        <w:numPr>
          <w:ilvl w:val="0"/>
          <w:numId w:val="14"/>
        </w:numPr>
        <w:spacing w:before="0" w:after="160"/>
        <w:rPr>
          <w:rFonts w:cs="Segoe UI"/>
        </w:rPr>
      </w:pPr>
      <w:r>
        <w:rPr>
          <w:rFonts w:cs="Segoe UI"/>
        </w:rPr>
        <w:t>d</w:t>
      </w:r>
      <w:r w:rsidRPr="0060150E">
        <w:rPr>
          <w:rFonts w:cs="Segoe UI"/>
        </w:rPr>
        <w:t xml:space="preserve">esign and regularly update </w:t>
      </w:r>
      <w:r>
        <w:rPr>
          <w:rFonts w:cs="Segoe UI"/>
        </w:rPr>
        <w:t>the</w:t>
      </w:r>
      <w:r w:rsidRPr="0060150E">
        <w:rPr>
          <w:rFonts w:cs="Segoe UI"/>
        </w:rPr>
        <w:t xml:space="preserve"> framework to:</w:t>
      </w:r>
    </w:p>
    <w:p w14:paraId="6FC6DC21" w14:textId="77777777" w:rsidR="00697EFF" w:rsidRPr="0060150E" w:rsidRDefault="00697EFF" w:rsidP="002F06FE">
      <w:pPr>
        <w:pStyle w:val="ListParagraph"/>
        <w:numPr>
          <w:ilvl w:val="1"/>
          <w:numId w:val="14"/>
        </w:numPr>
        <w:spacing w:before="0" w:after="160"/>
        <w:rPr>
          <w:rFonts w:cs="Segoe UI"/>
        </w:rPr>
      </w:pPr>
      <w:r>
        <w:rPr>
          <w:rFonts w:cs="Segoe UI"/>
        </w:rPr>
        <w:t>p</w:t>
      </w:r>
      <w:r w:rsidRPr="0060150E">
        <w:rPr>
          <w:rFonts w:cs="Segoe UI"/>
        </w:rPr>
        <w:t>rovide stakeholders with necessary clarity where there are interactions with related pricing and health technology funding policies that need to be considered (e.g. pricing rules applicable to different forms</w:t>
      </w:r>
      <w:r>
        <w:rPr>
          <w:rFonts w:cs="Segoe UI"/>
        </w:rPr>
        <w:t xml:space="preserve"> or </w:t>
      </w:r>
      <w:r w:rsidRPr="0060150E">
        <w:rPr>
          <w:rFonts w:cs="Segoe UI"/>
        </w:rPr>
        <w:t>brands of medicines, or opportunities to discuss alternat</w:t>
      </w:r>
      <w:r>
        <w:rPr>
          <w:rFonts w:cs="Segoe UI"/>
        </w:rPr>
        <w:t>iv</w:t>
      </w:r>
      <w:r w:rsidRPr="0060150E">
        <w:rPr>
          <w:rFonts w:cs="Segoe UI"/>
        </w:rPr>
        <w:t>e contract and funding mechanisms)</w:t>
      </w:r>
    </w:p>
    <w:p w14:paraId="3AF7C46A" w14:textId="77777777" w:rsidR="00697EFF" w:rsidRPr="0060150E" w:rsidRDefault="00697EFF" w:rsidP="002F06FE">
      <w:pPr>
        <w:pStyle w:val="ListParagraph"/>
        <w:numPr>
          <w:ilvl w:val="1"/>
          <w:numId w:val="14"/>
        </w:numPr>
        <w:spacing w:before="0" w:after="160"/>
        <w:rPr>
          <w:rFonts w:cs="Segoe UI"/>
        </w:rPr>
      </w:pPr>
      <w:r>
        <w:rPr>
          <w:rFonts w:cs="Segoe UI"/>
        </w:rPr>
        <w:t>i</w:t>
      </w:r>
      <w:r w:rsidRPr="0060150E">
        <w:rPr>
          <w:rFonts w:cs="Segoe UI"/>
        </w:rPr>
        <w:t>mprove visibility of the framework and associated supporting guidance documentation, to support better stakeholder engagement (including us</w:t>
      </w:r>
      <w:r>
        <w:rPr>
          <w:rFonts w:cs="Segoe UI"/>
        </w:rPr>
        <w:t>ing</w:t>
      </w:r>
      <w:r w:rsidRPr="0060150E">
        <w:rPr>
          <w:rFonts w:cs="Segoe UI"/>
        </w:rPr>
        <w:t xml:space="preserve"> existing modes of outreach</w:t>
      </w:r>
      <w:r>
        <w:rPr>
          <w:rFonts w:cs="Segoe UI"/>
        </w:rPr>
        <w:t xml:space="preserve"> and </w:t>
      </w:r>
      <w:r w:rsidRPr="0060150E">
        <w:rPr>
          <w:rFonts w:cs="Segoe UI"/>
        </w:rPr>
        <w:t xml:space="preserve">information sharing, such as the Medicines Status Website, Health Products Portal and the </w:t>
      </w:r>
      <w:r w:rsidRPr="00AD6F2E">
        <w:rPr>
          <w:rFonts w:cs="Segoe UI"/>
        </w:rPr>
        <w:t>Pharmaceutical Benefits Scheme</w:t>
      </w:r>
      <w:r>
        <w:rPr>
          <w:rFonts w:cs="Segoe UI"/>
        </w:rPr>
        <w:t xml:space="preserve"> (PBS)</w:t>
      </w:r>
      <w:r w:rsidRPr="00AD6F2E">
        <w:rPr>
          <w:rFonts w:cs="Segoe UI"/>
        </w:rPr>
        <w:t xml:space="preserve"> </w:t>
      </w:r>
      <w:r w:rsidRPr="0060150E">
        <w:rPr>
          <w:rFonts w:cs="Segoe UI"/>
        </w:rPr>
        <w:t>website)</w:t>
      </w:r>
    </w:p>
    <w:p w14:paraId="4E36FC09" w14:textId="77777777" w:rsidR="00697EFF" w:rsidRPr="0060150E" w:rsidRDefault="00697EFF" w:rsidP="002F06FE">
      <w:pPr>
        <w:pStyle w:val="ListParagraph"/>
        <w:numPr>
          <w:ilvl w:val="1"/>
          <w:numId w:val="14"/>
        </w:numPr>
        <w:spacing w:before="0" w:after="160"/>
        <w:rPr>
          <w:rFonts w:cs="Segoe UI"/>
        </w:rPr>
      </w:pPr>
      <w:r>
        <w:rPr>
          <w:rFonts w:cs="Segoe UI"/>
        </w:rPr>
        <w:t>s</w:t>
      </w:r>
      <w:r w:rsidRPr="0060150E">
        <w:rPr>
          <w:rFonts w:cs="Segoe UI"/>
        </w:rPr>
        <w:t xml:space="preserve">upport future stakeholder engagement where changes to the framework may be necessary over time, including on matters such as (but not limited to) transparency, timeliness, accountability and any necessary arbitration </w:t>
      </w:r>
      <w:r>
        <w:rPr>
          <w:rFonts w:cs="Segoe UI"/>
        </w:rPr>
        <w:t>and</w:t>
      </w:r>
      <w:r w:rsidRPr="0060150E">
        <w:rPr>
          <w:rFonts w:cs="Segoe UI"/>
        </w:rPr>
        <w:t>/</w:t>
      </w:r>
      <w:r>
        <w:rPr>
          <w:rFonts w:cs="Segoe UI"/>
        </w:rPr>
        <w:t>or</w:t>
      </w:r>
      <w:r w:rsidRPr="0060150E">
        <w:rPr>
          <w:rFonts w:cs="Segoe UI"/>
        </w:rPr>
        <w:t xml:space="preserve"> mediation protocols to support finalisation of post-HTA processes</w:t>
      </w:r>
      <w:r>
        <w:rPr>
          <w:rFonts w:cs="Segoe UI"/>
        </w:rPr>
        <w:t>.</w:t>
      </w:r>
      <w:r w:rsidRPr="0060150E">
        <w:rPr>
          <w:rFonts w:cs="Segoe UI"/>
        </w:rPr>
        <w:t xml:space="preserve"> </w:t>
      </w:r>
    </w:p>
    <w:p w14:paraId="2E6FC3D5" w14:textId="77777777" w:rsidR="00697EFF" w:rsidRPr="00B61FDC" w:rsidRDefault="00697EFF" w:rsidP="002F06FE">
      <w:pPr>
        <w:pStyle w:val="ListParagraph"/>
        <w:numPr>
          <w:ilvl w:val="0"/>
          <w:numId w:val="14"/>
        </w:numPr>
        <w:spacing w:before="0" w:after="360"/>
        <w:rPr>
          <w:rFonts w:cs="Segoe UI"/>
          <w:iCs/>
        </w:rPr>
      </w:pPr>
      <w:r>
        <w:rPr>
          <w:rFonts w:cs="Segoe UI"/>
        </w:rPr>
        <w:lastRenderedPageBreak/>
        <w:t>provide a</w:t>
      </w:r>
      <w:r w:rsidRPr="0060150E">
        <w:rPr>
          <w:rFonts w:cs="Segoe UI"/>
        </w:rPr>
        <w:t>ny necessary resourcing requirements for expanded Commonwealth negotiation capacity and capability, in support of proportiona</w:t>
      </w:r>
      <w:r>
        <w:rPr>
          <w:rFonts w:cs="Segoe UI"/>
        </w:rPr>
        <w:t>te</w:t>
      </w:r>
      <w:r w:rsidRPr="0060150E">
        <w:rPr>
          <w:rFonts w:cs="Segoe UI"/>
        </w:rPr>
        <w:t xml:space="preserve"> pathways reforms </w:t>
      </w:r>
      <w:r w:rsidRPr="00B61FDC">
        <w:rPr>
          <w:rFonts w:cs="Segoe UI"/>
          <w:iCs/>
        </w:rPr>
        <w:t xml:space="preserve">(see </w:t>
      </w:r>
      <w:r>
        <w:rPr>
          <w:rFonts w:cs="Segoe UI"/>
          <w:iCs/>
        </w:rPr>
        <w:t>‘</w:t>
      </w:r>
      <w:r w:rsidRPr="00B61FDC">
        <w:rPr>
          <w:rFonts w:cs="Segoe UI"/>
          <w:iCs/>
        </w:rPr>
        <w:t>Recommendation 3</w:t>
      </w:r>
      <w:r>
        <w:rPr>
          <w:rFonts w:cs="Segoe UI"/>
          <w:iCs/>
        </w:rPr>
        <w:t xml:space="preserve">. </w:t>
      </w:r>
      <w:r w:rsidRPr="00EB46C2">
        <w:rPr>
          <w:rFonts w:cs="Segoe UI"/>
          <w:iCs/>
        </w:rPr>
        <w:t>Overarching recommendations for all health technology assessment funding and assessment pathways and processes</w:t>
      </w:r>
      <w:r>
        <w:rPr>
          <w:rFonts w:cs="Segoe UI"/>
          <w:iCs/>
        </w:rPr>
        <w:t>’</w:t>
      </w:r>
      <w:r w:rsidRPr="00B61FDC">
        <w:rPr>
          <w:rFonts w:cs="Segoe UI"/>
          <w:iCs/>
        </w:rPr>
        <w:t>)</w:t>
      </w:r>
      <w:r w:rsidRPr="00EB46C2">
        <w:rPr>
          <w:rFonts w:cs="Segoe UI"/>
        </w:rPr>
        <w:t>.</w:t>
      </w:r>
    </w:p>
    <w:p w14:paraId="4275ACDC" w14:textId="77777777" w:rsidR="00B01414" w:rsidRDefault="00B01414" w:rsidP="00484B58">
      <w:pPr>
        <w:pStyle w:val="Recommendation1"/>
      </w:pPr>
      <w:bookmarkStart w:id="30" w:name="_Hlk167301976"/>
      <w:r w:rsidRPr="00B15715">
        <w:t>Updated post-</w:t>
      </w:r>
      <w:r>
        <w:t>R</w:t>
      </w:r>
      <w:r w:rsidRPr="00B15715">
        <w:t>eview framework</w:t>
      </w:r>
    </w:p>
    <w:bookmarkEnd w:id="30"/>
    <w:p w14:paraId="3775582D" w14:textId="77777777" w:rsidR="00B01414" w:rsidRPr="001B1FEE" w:rsidRDefault="00B01414" w:rsidP="00304F0B">
      <w:r w:rsidRPr="00405FD7">
        <w:t xml:space="preserve">The Review recommends </w:t>
      </w:r>
      <w:r>
        <w:t xml:space="preserve">that </w:t>
      </w:r>
      <w:r w:rsidRPr="00405FD7">
        <w:t>the Australian Government</w:t>
      </w:r>
      <w:r w:rsidRPr="001B1FEE">
        <w:t>:</w:t>
      </w:r>
    </w:p>
    <w:p w14:paraId="2BC49189" w14:textId="672F9BA9" w:rsidR="00B01414" w:rsidRPr="0000512A" w:rsidRDefault="00B01414" w:rsidP="002F06FE">
      <w:pPr>
        <w:pStyle w:val="ListParagraph"/>
        <w:numPr>
          <w:ilvl w:val="0"/>
          <w:numId w:val="15"/>
        </w:numPr>
        <w:spacing w:before="0" w:after="160"/>
        <w:rPr>
          <w:rFonts w:cs="Segoe UI"/>
        </w:rPr>
      </w:pPr>
      <w:r>
        <w:rPr>
          <w:rFonts w:eastAsia="Times New Roman" w:cs="Segoe UI"/>
          <w:lang w:eastAsia="en-AU"/>
        </w:rPr>
        <w:t>b</w:t>
      </w:r>
      <w:r w:rsidRPr="0000512A">
        <w:rPr>
          <w:rFonts w:eastAsia="Times New Roman" w:cs="Segoe UI"/>
          <w:lang w:eastAsia="en-AU"/>
        </w:rPr>
        <w:t xml:space="preserve">uild on existing health technology review and evaluation arrangements (including the </w:t>
      </w:r>
      <w:r w:rsidRPr="00AA59FB">
        <w:rPr>
          <w:rFonts w:eastAsia="Times New Roman" w:cs="Segoe UI"/>
          <w:lang w:eastAsia="en-AU"/>
        </w:rPr>
        <w:t>Drug Utilisation Sub-Committee</w:t>
      </w:r>
      <w:r w:rsidRPr="00AA59FB" w:rsidDel="00AA59FB">
        <w:rPr>
          <w:rFonts w:eastAsia="Times New Roman" w:cs="Segoe UI"/>
          <w:lang w:eastAsia="en-AU"/>
        </w:rPr>
        <w:t xml:space="preserve"> </w:t>
      </w:r>
      <w:r w:rsidR="007C4D18">
        <w:rPr>
          <w:rFonts w:eastAsia="Times New Roman" w:cs="Segoe UI"/>
          <w:lang w:eastAsia="en-AU"/>
        </w:rPr>
        <w:t xml:space="preserve">(DUSC) </w:t>
      </w:r>
      <w:r w:rsidRPr="0000512A">
        <w:rPr>
          <w:rFonts w:eastAsia="Times New Roman" w:cs="Segoe UI"/>
          <w:lang w:eastAsia="en-AU"/>
        </w:rPr>
        <w:t xml:space="preserve">and </w:t>
      </w:r>
      <w:r w:rsidRPr="003A3C30">
        <w:rPr>
          <w:rFonts w:eastAsia="Times New Roman" w:cs="Segoe UI"/>
          <w:lang w:eastAsia="en-AU"/>
        </w:rPr>
        <w:t>post-market review</w:t>
      </w:r>
      <w:r w:rsidRPr="0000512A">
        <w:rPr>
          <w:rFonts w:eastAsia="Times New Roman" w:cs="Segoe UI"/>
          <w:lang w:eastAsia="en-AU"/>
        </w:rPr>
        <w:t xml:space="preserve"> program) to support regular and periodic examination of the performance, utilisation, displacement and clinical place of a health technology (or health technologies) for a given clinical indication after it has been subsidised by a health</w:t>
      </w:r>
      <w:r>
        <w:rPr>
          <w:rFonts w:eastAsia="Times New Roman" w:cs="Segoe UI"/>
          <w:lang w:eastAsia="en-AU"/>
        </w:rPr>
        <w:t>care</w:t>
      </w:r>
      <w:r w:rsidRPr="0000512A">
        <w:rPr>
          <w:rFonts w:eastAsia="Times New Roman" w:cs="Segoe UI"/>
          <w:lang w:eastAsia="en-AU"/>
        </w:rPr>
        <w:t xml:space="preserve"> payer</w:t>
      </w:r>
      <w:r>
        <w:rPr>
          <w:rFonts w:eastAsia="Times New Roman" w:cs="Segoe UI"/>
          <w:lang w:eastAsia="en-AU"/>
        </w:rPr>
        <w:t xml:space="preserve"> </w:t>
      </w:r>
    </w:p>
    <w:p w14:paraId="2F1010C8" w14:textId="77777777" w:rsidR="00B01414" w:rsidRPr="0000512A" w:rsidRDefault="00B01414" w:rsidP="002F06FE">
      <w:pPr>
        <w:pStyle w:val="ListParagraph"/>
        <w:numPr>
          <w:ilvl w:val="0"/>
          <w:numId w:val="15"/>
        </w:numPr>
        <w:spacing w:before="0" w:after="0" w:line="240" w:lineRule="auto"/>
        <w:textAlignment w:val="baseline"/>
        <w:rPr>
          <w:rFonts w:eastAsia="Times New Roman" w:cs="Segoe UI"/>
          <w:lang w:eastAsia="en-AU"/>
        </w:rPr>
      </w:pPr>
      <w:r>
        <w:rPr>
          <w:rFonts w:eastAsia="Times New Roman" w:cs="Segoe UI"/>
          <w:lang w:eastAsia="en-AU"/>
        </w:rPr>
        <w:t>i</w:t>
      </w:r>
      <w:r w:rsidRPr="0000512A">
        <w:rPr>
          <w:rFonts w:eastAsia="Times New Roman" w:cs="Segoe UI"/>
          <w:lang w:eastAsia="en-AU"/>
        </w:rPr>
        <w:t>nclude activities supporting review throughout a health technology’s post-listing utilisation lifecycle, including but not limited to: </w:t>
      </w:r>
    </w:p>
    <w:p w14:paraId="1660A499" w14:textId="68B394DA" w:rsidR="00B01414" w:rsidRPr="00A348EA" w:rsidRDefault="00B01414" w:rsidP="002F06FE">
      <w:pPr>
        <w:pStyle w:val="ListParagraph"/>
        <w:numPr>
          <w:ilvl w:val="1"/>
          <w:numId w:val="14"/>
        </w:numPr>
        <w:spacing w:before="0" w:after="160"/>
        <w:rPr>
          <w:rFonts w:cs="Segoe UI"/>
        </w:rPr>
      </w:pPr>
      <w:r w:rsidRPr="00A348EA">
        <w:rPr>
          <w:rFonts w:cs="Segoe UI"/>
        </w:rPr>
        <w:t xml:space="preserve">advice on commissioning additional health technology–related research in collaboration with existing government programs such as the Medical Research Future Fund </w:t>
      </w:r>
      <w:r w:rsidR="007C4D18">
        <w:rPr>
          <w:rFonts w:cs="Segoe UI"/>
        </w:rPr>
        <w:t xml:space="preserve">(MRFF) </w:t>
      </w:r>
      <w:r w:rsidRPr="00A348EA">
        <w:rPr>
          <w:rFonts w:cs="Segoe UI"/>
        </w:rPr>
        <w:t>or the National Health and Medical Research Council</w:t>
      </w:r>
      <w:r w:rsidR="007C4D18">
        <w:rPr>
          <w:rFonts w:cs="Segoe UI"/>
        </w:rPr>
        <w:t xml:space="preserve"> (NHMRC)</w:t>
      </w:r>
      <w:r w:rsidRPr="00A348EA">
        <w:rPr>
          <w:rFonts w:cs="Segoe UI"/>
        </w:rPr>
        <w:t xml:space="preserve">, including (but not limited to) examining the clinical place of, and/or the comparative effectiveness/cost-effectiveness of a health technology </w:t>
      </w:r>
    </w:p>
    <w:p w14:paraId="14973031" w14:textId="699D7BDF" w:rsidR="00B01414" w:rsidRPr="00A348EA" w:rsidRDefault="00B01414" w:rsidP="002F06FE">
      <w:pPr>
        <w:pStyle w:val="ListParagraph"/>
        <w:numPr>
          <w:ilvl w:val="1"/>
          <w:numId w:val="14"/>
        </w:numPr>
        <w:spacing w:before="0" w:after="160"/>
        <w:rPr>
          <w:rFonts w:cs="Segoe UI"/>
        </w:rPr>
      </w:pPr>
      <w:r w:rsidRPr="00A348EA">
        <w:rPr>
          <w:rFonts w:cs="Segoe UI"/>
        </w:rPr>
        <w:t>examination of health technologies for possible repurposing and/or application in other priority sub-populations (including paediatrics) in response to changes in clinical practice, in collaboration with the Therapeutic Goods Administration</w:t>
      </w:r>
      <w:r w:rsidR="00F93D3D">
        <w:rPr>
          <w:rFonts w:cs="Segoe UI"/>
        </w:rPr>
        <w:t xml:space="preserve"> (TGA)</w:t>
      </w:r>
      <w:r w:rsidRPr="00A348EA">
        <w:rPr>
          <w:rFonts w:cs="Segoe UI"/>
        </w:rPr>
        <w:t xml:space="preserve"> committee(s) supporting the medicines repurposing arrangements </w:t>
      </w:r>
    </w:p>
    <w:p w14:paraId="07207A88" w14:textId="77777777" w:rsidR="00B01414" w:rsidRPr="00A348EA" w:rsidRDefault="00B01414" w:rsidP="002F06FE">
      <w:pPr>
        <w:pStyle w:val="ListParagraph"/>
        <w:numPr>
          <w:ilvl w:val="1"/>
          <w:numId w:val="14"/>
        </w:numPr>
        <w:spacing w:before="0" w:after="160"/>
        <w:rPr>
          <w:rFonts w:cs="Segoe UI"/>
        </w:rPr>
      </w:pPr>
      <w:r w:rsidRPr="00A348EA">
        <w:rPr>
          <w:rFonts w:cs="Segoe UI"/>
        </w:rPr>
        <w:t>consideration of appropriate changes to the circumstances required for health technology subsidy</w:t>
      </w:r>
    </w:p>
    <w:p w14:paraId="040965C3" w14:textId="22F8E322" w:rsidR="00B01414" w:rsidRPr="00A348EA" w:rsidRDefault="00B01414" w:rsidP="002F06FE">
      <w:pPr>
        <w:pStyle w:val="ListParagraph"/>
        <w:numPr>
          <w:ilvl w:val="1"/>
          <w:numId w:val="14"/>
        </w:numPr>
        <w:spacing w:before="0" w:after="160"/>
        <w:rPr>
          <w:rFonts w:cs="Segoe UI"/>
        </w:rPr>
      </w:pPr>
      <w:r w:rsidRPr="00A348EA">
        <w:rPr>
          <w:rFonts w:cs="Segoe UI"/>
        </w:rPr>
        <w:t xml:space="preserve">information for future dialogue with stakeholders on Population, Intervention, Comparator, and Outcome </w:t>
      </w:r>
      <w:r w:rsidR="00F93D3D">
        <w:rPr>
          <w:rFonts w:cs="Segoe UI"/>
        </w:rPr>
        <w:t xml:space="preserve">(PICO) </w:t>
      </w:r>
      <w:r w:rsidRPr="00A348EA">
        <w:rPr>
          <w:rFonts w:cs="Segoe UI"/>
        </w:rPr>
        <w:t xml:space="preserve">horizon scanning and investment or disinvestment considerations (including changes in restrictions) matters, where recommended by a review and supported by the relevant HTA advisory committee </w:t>
      </w:r>
    </w:p>
    <w:p w14:paraId="77919FB6" w14:textId="77777777" w:rsidR="00B01414" w:rsidRPr="00A348EA" w:rsidRDefault="00B01414" w:rsidP="002F06FE">
      <w:pPr>
        <w:pStyle w:val="ListParagraph"/>
        <w:numPr>
          <w:ilvl w:val="1"/>
          <w:numId w:val="14"/>
        </w:numPr>
        <w:spacing w:before="0" w:after="160"/>
        <w:rPr>
          <w:rFonts w:cs="Segoe UI"/>
        </w:rPr>
      </w:pPr>
      <w:r w:rsidRPr="00A348EA">
        <w:rPr>
          <w:rFonts w:cs="Segoe UI"/>
        </w:rPr>
        <w:t xml:space="preserve">updates to clinical guidelines and prescribing recommendations for clinicians. </w:t>
      </w:r>
    </w:p>
    <w:p w14:paraId="3138CF06" w14:textId="77777777" w:rsidR="00EB3644" w:rsidRPr="00016BBD" w:rsidRDefault="00EB3644" w:rsidP="00484B58">
      <w:pPr>
        <w:pStyle w:val="Recommendation1"/>
      </w:pPr>
      <w:bookmarkStart w:id="31" w:name="_Hlk167301997"/>
      <w:r w:rsidRPr="00016BBD">
        <w:t xml:space="preserve">Managed </w:t>
      </w:r>
      <w:r>
        <w:t>e</w:t>
      </w:r>
      <w:r w:rsidRPr="00016BBD">
        <w:t xml:space="preserve">ntry </w:t>
      </w:r>
      <w:r>
        <w:t>agreements</w:t>
      </w:r>
      <w:bookmarkEnd w:id="31"/>
    </w:p>
    <w:p w14:paraId="6B6ADF76" w14:textId="77777777" w:rsidR="00EB3644" w:rsidRPr="00016BBD" w:rsidRDefault="00EB3644" w:rsidP="00304F0B">
      <w:pPr>
        <w:spacing w:before="240"/>
      </w:pPr>
      <w:r w:rsidRPr="00405FD7">
        <w:t xml:space="preserve">The Review recommends </w:t>
      </w:r>
      <w:r>
        <w:t xml:space="preserve">that </w:t>
      </w:r>
      <w:r w:rsidRPr="00405FD7">
        <w:t>the Australian Government</w:t>
      </w:r>
      <w:r w:rsidRPr="00016BBD">
        <w:t>:</w:t>
      </w:r>
    </w:p>
    <w:p w14:paraId="7E0B9A3D" w14:textId="77777777" w:rsidR="00EB3644" w:rsidRPr="00016BBD" w:rsidRDefault="00EB3644" w:rsidP="002F06FE">
      <w:pPr>
        <w:pStyle w:val="ListParagraph"/>
        <w:numPr>
          <w:ilvl w:val="0"/>
          <w:numId w:val="17"/>
        </w:numPr>
        <w:rPr>
          <w:rFonts w:cs="Segoe UI"/>
        </w:rPr>
      </w:pPr>
      <w:r>
        <w:rPr>
          <w:rFonts w:cs="Segoe UI"/>
        </w:rPr>
        <w:lastRenderedPageBreak/>
        <w:t>r</w:t>
      </w:r>
      <w:r w:rsidRPr="00016BBD">
        <w:rPr>
          <w:rFonts w:cs="Segoe UI"/>
        </w:rPr>
        <w:t>evise the</w:t>
      </w:r>
      <w:r w:rsidRPr="00016BBD" w:rsidDel="00E04A25">
        <w:rPr>
          <w:rFonts w:cs="Segoe UI"/>
        </w:rPr>
        <w:t xml:space="preserve"> </w:t>
      </w:r>
      <w:r w:rsidRPr="00016BBD">
        <w:rPr>
          <w:rFonts w:cs="Segoe UI"/>
        </w:rPr>
        <w:t>policy and guidance framework (after consulti</w:t>
      </w:r>
      <w:r>
        <w:rPr>
          <w:rFonts w:cs="Segoe UI"/>
        </w:rPr>
        <w:t>ng</w:t>
      </w:r>
      <w:r w:rsidRPr="00016BBD">
        <w:rPr>
          <w:rFonts w:cs="Segoe UI"/>
        </w:rPr>
        <w:t xml:space="preserve"> with stakeholders) </w:t>
      </w:r>
      <w:r>
        <w:rPr>
          <w:rFonts w:cs="Segoe UI"/>
        </w:rPr>
        <w:t xml:space="preserve">for </w:t>
      </w:r>
      <w:r w:rsidRPr="00016BBD">
        <w:rPr>
          <w:rFonts w:cs="Segoe UI"/>
        </w:rPr>
        <w:t>managed entry a</w:t>
      </w:r>
      <w:r>
        <w:rPr>
          <w:rFonts w:cs="Segoe UI"/>
        </w:rPr>
        <w:t>greements</w:t>
      </w:r>
      <w:r w:rsidRPr="00016BBD">
        <w:rPr>
          <w:rFonts w:cs="Segoe UI"/>
        </w:rPr>
        <w:t xml:space="preserve"> (MEAs), to provide more flexibility for sponsors and the </w:t>
      </w:r>
      <w:r>
        <w:rPr>
          <w:rFonts w:cs="Segoe UI"/>
        </w:rPr>
        <w:t>Australian Government</w:t>
      </w:r>
      <w:r w:rsidRPr="00016BBD">
        <w:rPr>
          <w:rFonts w:cs="Segoe UI"/>
        </w:rPr>
        <w:t xml:space="preserve"> to address identified uncertainties while better supporting timely access to health technologies for patients</w:t>
      </w:r>
    </w:p>
    <w:p w14:paraId="1E29176A" w14:textId="77777777" w:rsidR="00EB3644" w:rsidRPr="00016BBD" w:rsidRDefault="00EB3644" w:rsidP="002F06FE">
      <w:pPr>
        <w:pStyle w:val="ListParagraph"/>
        <w:numPr>
          <w:ilvl w:val="0"/>
          <w:numId w:val="17"/>
        </w:numPr>
        <w:rPr>
          <w:rFonts w:cs="Segoe UI"/>
        </w:rPr>
      </w:pPr>
      <w:r>
        <w:rPr>
          <w:rFonts w:cs="Segoe UI"/>
        </w:rPr>
        <w:t>r</w:t>
      </w:r>
      <w:r w:rsidRPr="00016BBD">
        <w:rPr>
          <w:rFonts w:cs="Segoe UI"/>
        </w:rPr>
        <w:t>evise the MEA framework</w:t>
      </w:r>
      <w:r w:rsidRPr="00016BBD" w:rsidDel="00060E85">
        <w:rPr>
          <w:rFonts w:cs="Segoe UI"/>
        </w:rPr>
        <w:t xml:space="preserve"> </w:t>
      </w:r>
      <w:r>
        <w:rPr>
          <w:rFonts w:cs="Segoe UI"/>
        </w:rPr>
        <w:t>to</w:t>
      </w:r>
      <w:r w:rsidRPr="00016BBD">
        <w:rPr>
          <w:rFonts w:eastAsia="Times New Roman" w:cs="Segoe UI"/>
          <w:lang w:eastAsia="en-AU"/>
        </w:rPr>
        <w:t>:</w:t>
      </w:r>
    </w:p>
    <w:p w14:paraId="2973FDB9" w14:textId="77777777" w:rsidR="00EB3644" w:rsidRPr="00016BBD" w:rsidRDefault="00EB3644" w:rsidP="002F06FE">
      <w:pPr>
        <w:pStyle w:val="ListParagraph"/>
        <w:numPr>
          <w:ilvl w:val="1"/>
          <w:numId w:val="17"/>
        </w:numPr>
        <w:rPr>
          <w:rFonts w:cs="Segoe UI"/>
        </w:rPr>
      </w:pPr>
      <w:r>
        <w:rPr>
          <w:rFonts w:cs="Segoe UI"/>
        </w:rPr>
        <w:t>p</w:t>
      </w:r>
      <w:r w:rsidRPr="00016BBD">
        <w:rPr>
          <w:rFonts w:cs="Segoe UI"/>
        </w:rPr>
        <w:t>rovid</w:t>
      </w:r>
      <w:r>
        <w:rPr>
          <w:rFonts w:cs="Segoe UI"/>
        </w:rPr>
        <w:t>e</w:t>
      </w:r>
      <w:r w:rsidRPr="00016BBD">
        <w:rPr>
          <w:rFonts w:cs="Segoe UI"/>
        </w:rPr>
        <w:t xml:space="preserve"> stakeholders with clarity </w:t>
      </w:r>
      <w:r>
        <w:rPr>
          <w:rFonts w:cs="Segoe UI"/>
        </w:rPr>
        <w:t>about processes; for example</w:t>
      </w:r>
      <w:r w:rsidRPr="00016BBD">
        <w:rPr>
          <w:rFonts w:cs="Segoe UI"/>
        </w:rPr>
        <w:t>:</w:t>
      </w:r>
    </w:p>
    <w:p w14:paraId="61D96F3B" w14:textId="77777777" w:rsidR="00EB3644" w:rsidRPr="00016BBD" w:rsidRDefault="00EB3644" w:rsidP="002F06FE">
      <w:pPr>
        <w:pStyle w:val="ListParagraph"/>
        <w:numPr>
          <w:ilvl w:val="2"/>
          <w:numId w:val="17"/>
        </w:numPr>
        <w:rPr>
          <w:rFonts w:cs="Segoe UI"/>
        </w:rPr>
      </w:pPr>
      <w:r>
        <w:rPr>
          <w:rFonts w:cs="Segoe UI"/>
        </w:rPr>
        <w:t xml:space="preserve">the </w:t>
      </w:r>
      <w:r w:rsidRPr="00016BBD">
        <w:rPr>
          <w:rFonts w:cs="Segoe UI"/>
        </w:rPr>
        <w:t xml:space="preserve">timing of, and processes related to, </w:t>
      </w:r>
      <w:r>
        <w:rPr>
          <w:rFonts w:cs="Segoe UI"/>
        </w:rPr>
        <w:t xml:space="preserve">the </w:t>
      </w:r>
      <w:r w:rsidRPr="007F348C">
        <w:rPr>
          <w:rFonts w:cs="Segoe UI"/>
        </w:rPr>
        <w:t>Therapeutic Goods Administration</w:t>
      </w:r>
      <w:r>
        <w:rPr>
          <w:rFonts w:cs="Segoe UI"/>
        </w:rPr>
        <w:t xml:space="preserve"> (TGA)</w:t>
      </w:r>
      <w:r w:rsidRPr="007F348C" w:rsidDel="007F348C">
        <w:rPr>
          <w:rFonts w:cs="Segoe UI"/>
        </w:rPr>
        <w:t xml:space="preserve"> </w:t>
      </w:r>
      <w:r>
        <w:rPr>
          <w:rFonts w:cs="Segoe UI"/>
        </w:rPr>
        <w:t xml:space="preserve">and </w:t>
      </w:r>
      <w:r w:rsidRPr="008031B6">
        <w:rPr>
          <w:rFonts w:cs="Segoe UI"/>
        </w:rPr>
        <w:t>Pharmaceutical Benefits Advisory Committee</w:t>
      </w:r>
      <w:r>
        <w:rPr>
          <w:rFonts w:cs="Segoe UI"/>
        </w:rPr>
        <w:t xml:space="preserve"> (PBAC)</w:t>
      </w:r>
      <w:r w:rsidRPr="008031B6">
        <w:rPr>
          <w:rFonts w:cs="Segoe UI"/>
        </w:rPr>
        <w:t xml:space="preserve"> </w:t>
      </w:r>
      <w:r w:rsidRPr="00016BBD">
        <w:rPr>
          <w:rFonts w:cs="Segoe UI"/>
        </w:rPr>
        <w:t xml:space="preserve">parallel </w:t>
      </w:r>
      <w:r>
        <w:rPr>
          <w:rFonts w:cs="Segoe UI"/>
        </w:rPr>
        <w:t>processing pathway</w:t>
      </w:r>
      <w:r w:rsidRPr="00016BBD">
        <w:rPr>
          <w:rFonts w:cs="Segoe UI"/>
        </w:rPr>
        <w:t xml:space="preserve"> </w:t>
      </w:r>
    </w:p>
    <w:p w14:paraId="6D8D2025" w14:textId="316D524E" w:rsidR="00EB3644" w:rsidRPr="00016BBD" w:rsidRDefault="00EB3644" w:rsidP="002F06FE">
      <w:pPr>
        <w:pStyle w:val="ListParagraph"/>
        <w:numPr>
          <w:ilvl w:val="2"/>
          <w:numId w:val="17"/>
        </w:numPr>
        <w:rPr>
          <w:rFonts w:cs="Segoe UI"/>
        </w:rPr>
      </w:pPr>
      <w:r w:rsidRPr="00016BBD">
        <w:rPr>
          <w:rFonts w:cs="Segoe UI"/>
        </w:rPr>
        <w:t>pricing and negotiation policies that need to be considered as part of settling MEA terms and conditions</w:t>
      </w:r>
      <w:r w:rsidR="00492A7E">
        <w:rPr>
          <w:rFonts w:cs="Segoe UI"/>
        </w:rPr>
        <w:t>.</w:t>
      </w:r>
    </w:p>
    <w:p w14:paraId="5A1712FE" w14:textId="77777777" w:rsidR="00EB3644" w:rsidRPr="00016BBD" w:rsidRDefault="00EB3644" w:rsidP="002F06FE">
      <w:pPr>
        <w:pStyle w:val="ListParagraph"/>
        <w:numPr>
          <w:ilvl w:val="1"/>
          <w:numId w:val="17"/>
        </w:numPr>
        <w:rPr>
          <w:rFonts w:cs="Segoe UI"/>
        </w:rPr>
      </w:pPr>
      <w:r>
        <w:rPr>
          <w:rFonts w:cs="Segoe UI"/>
        </w:rPr>
        <w:t>ensure that the MEA s</w:t>
      </w:r>
      <w:r w:rsidRPr="00016BBD">
        <w:rPr>
          <w:rFonts w:cs="Segoe UI"/>
        </w:rPr>
        <w:t>elect</w:t>
      </w:r>
      <w:r>
        <w:rPr>
          <w:rFonts w:cs="Segoe UI"/>
        </w:rPr>
        <w:t>ed</w:t>
      </w:r>
      <w:r w:rsidRPr="00016BBD">
        <w:rPr>
          <w:rFonts w:cs="Segoe UI"/>
        </w:rPr>
        <w:t xml:space="preserve"> for a given health technology consider</w:t>
      </w:r>
      <w:r>
        <w:rPr>
          <w:rFonts w:cs="Segoe UI"/>
        </w:rPr>
        <w:t>s</w:t>
      </w:r>
      <w:r w:rsidRPr="00016BBD">
        <w:rPr>
          <w:rFonts w:cs="Segoe UI"/>
        </w:rPr>
        <w:t xml:space="preserve"> the complexity of any ongoing monitoring, management and stakeholder engagement by the key parties, and </w:t>
      </w:r>
      <w:r>
        <w:rPr>
          <w:rFonts w:cs="Segoe UI"/>
        </w:rPr>
        <w:t xml:space="preserve">provides </w:t>
      </w:r>
      <w:r w:rsidRPr="00016BBD">
        <w:rPr>
          <w:rFonts w:cs="Segoe UI"/>
        </w:rPr>
        <w:t>the resourcing necessary</w:t>
      </w:r>
      <w:r w:rsidRPr="00016BBD" w:rsidDel="00DF13BA">
        <w:rPr>
          <w:rFonts w:cs="Segoe UI"/>
        </w:rPr>
        <w:t xml:space="preserve"> </w:t>
      </w:r>
      <w:r w:rsidRPr="00016BBD">
        <w:rPr>
          <w:rFonts w:cs="Segoe UI"/>
        </w:rPr>
        <w:t>to support negotiation, administration and communication of the MEA</w:t>
      </w:r>
    </w:p>
    <w:p w14:paraId="42407550" w14:textId="77777777" w:rsidR="00EB3644" w:rsidRPr="00016BBD" w:rsidRDefault="00EB3644" w:rsidP="002F06FE">
      <w:pPr>
        <w:pStyle w:val="ListParagraph"/>
        <w:numPr>
          <w:ilvl w:val="1"/>
          <w:numId w:val="17"/>
        </w:numPr>
        <w:rPr>
          <w:rFonts w:cs="Segoe UI"/>
        </w:rPr>
      </w:pPr>
      <w:r>
        <w:rPr>
          <w:rFonts w:cs="Segoe UI"/>
        </w:rPr>
        <w:t>ensure t</w:t>
      </w:r>
      <w:r w:rsidRPr="00016BBD">
        <w:rPr>
          <w:rFonts w:cs="Segoe UI"/>
        </w:rPr>
        <w:t>ransparency and dialogue with stakeholders, including patients and clinicians, on specific access conditions</w:t>
      </w:r>
      <w:r>
        <w:rPr>
          <w:rFonts w:cs="Segoe UI"/>
        </w:rPr>
        <w:t>;</w:t>
      </w:r>
      <w:r w:rsidRPr="00016BBD">
        <w:rPr>
          <w:rFonts w:cs="Segoe UI"/>
        </w:rPr>
        <w:t xml:space="preserve"> evidence collection requirements to address clinical, economic and/or financial uncertainties about a health technology identified during the HTA process</w:t>
      </w:r>
      <w:r>
        <w:rPr>
          <w:rFonts w:cs="Segoe UI"/>
        </w:rPr>
        <w:t>;</w:t>
      </w:r>
      <w:r w:rsidRPr="00016BBD">
        <w:rPr>
          <w:rFonts w:cs="Segoe UI"/>
        </w:rPr>
        <w:t xml:space="preserve"> stopping rules</w:t>
      </w:r>
      <w:r>
        <w:rPr>
          <w:rFonts w:cs="Segoe UI"/>
        </w:rPr>
        <w:t>;</w:t>
      </w:r>
      <w:r w:rsidRPr="00016BBD">
        <w:rPr>
          <w:rFonts w:cs="Segoe UI"/>
        </w:rPr>
        <w:t xml:space="preserve"> and transition processes</w:t>
      </w:r>
    </w:p>
    <w:p w14:paraId="3DE14C23" w14:textId="49FB4A82" w:rsidR="00EB3644" w:rsidRPr="00016BBD" w:rsidRDefault="00EB3644" w:rsidP="002F06FE">
      <w:pPr>
        <w:pStyle w:val="ListParagraph"/>
        <w:numPr>
          <w:ilvl w:val="1"/>
          <w:numId w:val="17"/>
        </w:numPr>
        <w:rPr>
          <w:rFonts w:cs="Segoe UI"/>
        </w:rPr>
      </w:pPr>
      <w:r>
        <w:rPr>
          <w:rFonts w:cs="Segoe UI"/>
        </w:rPr>
        <w:t>publish k</w:t>
      </w:r>
      <w:r w:rsidRPr="00016BBD">
        <w:rPr>
          <w:rFonts w:cs="Segoe UI"/>
        </w:rPr>
        <w:t xml:space="preserve">ey details of the MEA (after necessary redactions) to support </w:t>
      </w:r>
      <w:r>
        <w:rPr>
          <w:rFonts w:cs="Segoe UI"/>
        </w:rPr>
        <w:t>transparency</w:t>
      </w:r>
      <w:r w:rsidRPr="00016BBD">
        <w:rPr>
          <w:rFonts w:cs="Segoe UI"/>
        </w:rPr>
        <w:t xml:space="preserve"> of the agreement(s) and stakeholder engagement</w:t>
      </w:r>
      <w:r w:rsidR="00492A7E">
        <w:rPr>
          <w:rFonts w:cs="Segoe UI"/>
        </w:rPr>
        <w:t>.</w:t>
      </w:r>
      <w:r>
        <w:rPr>
          <w:rFonts w:cs="Segoe UI"/>
        </w:rPr>
        <w:t xml:space="preserve"> </w:t>
      </w:r>
    </w:p>
    <w:p w14:paraId="0732BEE6" w14:textId="77777777" w:rsidR="00EB3644" w:rsidRPr="00596A09" w:rsidRDefault="00EB3644" w:rsidP="002F06FE">
      <w:pPr>
        <w:pStyle w:val="ListParagraph"/>
        <w:numPr>
          <w:ilvl w:val="0"/>
          <w:numId w:val="17"/>
        </w:numPr>
        <w:rPr>
          <w:rFonts w:cs="Segoe UI"/>
        </w:rPr>
      </w:pPr>
      <w:r>
        <w:rPr>
          <w:rFonts w:cs="Segoe UI"/>
        </w:rPr>
        <w:t>i</w:t>
      </w:r>
      <w:r w:rsidRPr="00016BBD">
        <w:rPr>
          <w:rFonts w:cs="Segoe UI"/>
        </w:rPr>
        <w:t xml:space="preserve">f required, </w:t>
      </w:r>
      <w:r>
        <w:rPr>
          <w:rFonts w:cs="Segoe UI"/>
        </w:rPr>
        <w:t xml:space="preserve">seek amendments </w:t>
      </w:r>
      <w:r w:rsidRPr="00016BBD">
        <w:rPr>
          <w:rFonts w:cs="Segoe UI"/>
        </w:rPr>
        <w:t xml:space="preserve">to legislation and/or regulations to ensure governance and accountability for the MEAs have an appropriate legal basis as recommended </w:t>
      </w:r>
      <w:r>
        <w:rPr>
          <w:rFonts w:cs="Segoe UI"/>
        </w:rPr>
        <w:t>by</w:t>
      </w:r>
      <w:r w:rsidRPr="00016BBD">
        <w:rPr>
          <w:rFonts w:cs="Segoe UI"/>
        </w:rPr>
        <w:t xml:space="preserve"> </w:t>
      </w:r>
      <w:r w:rsidRPr="000C5623">
        <w:rPr>
          <w:rFonts w:cs="Segoe UI"/>
          <w:iCs/>
        </w:rPr>
        <w:t>The New Frontier</w:t>
      </w:r>
      <w:r w:rsidRPr="00016BBD">
        <w:rPr>
          <w:rFonts w:cs="Segoe UI"/>
          <w:i/>
        </w:rPr>
        <w:t xml:space="preserve"> </w:t>
      </w:r>
      <w:r>
        <w:rPr>
          <w:rFonts w:cs="Segoe UI"/>
        </w:rPr>
        <w:t>i</w:t>
      </w:r>
      <w:r w:rsidRPr="00016BBD">
        <w:rPr>
          <w:rFonts w:cs="Segoe UI"/>
        </w:rPr>
        <w:t xml:space="preserve">nquiry. </w:t>
      </w:r>
    </w:p>
    <w:p w14:paraId="40D22B69" w14:textId="77777777" w:rsidR="00EB3644" w:rsidRPr="00016BBD" w:rsidRDefault="00EB3644" w:rsidP="00484B58">
      <w:pPr>
        <w:pStyle w:val="Recommendation1"/>
      </w:pPr>
      <w:bookmarkStart w:id="32" w:name="_Hlk167302041"/>
      <w:r w:rsidRPr="00016BBD">
        <w:t xml:space="preserve">Bridging </w:t>
      </w:r>
      <w:r>
        <w:t>f</w:t>
      </w:r>
      <w:r w:rsidRPr="00016BBD">
        <w:t>unding program</w:t>
      </w:r>
    </w:p>
    <w:bookmarkEnd w:id="32"/>
    <w:p w14:paraId="59D83B47" w14:textId="77777777" w:rsidR="00EB3644" w:rsidRPr="00405FD7" w:rsidRDefault="00EB3644" w:rsidP="00304F0B">
      <w:r w:rsidRPr="00405FD7">
        <w:t xml:space="preserve">The Review recommends </w:t>
      </w:r>
      <w:r>
        <w:t xml:space="preserve">that </w:t>
      </w:r>
      <w:r w:rsidRPr="00405FD7">
        <w:t>the Australian Government:</w:t>
      </w:r>
    </w:p>
    <w:p w14:paraId="5766EE5B" w14:textId="77777777" w:rsidR="00EB3644" w:rsidRPr="00016BBD" w:rsidRDefault="00EB3644" w:rsidP="002F06FE">
      <w:pPr>
        <w:pStyle w:val="ListParagraph"/>
        <w:numPr>
          <w:ilvl w:val="0"/>
          <w:numId w:val="16"/>
        </w:numPr>
        <w:rPr>
          <w:rFonts w:eastAsia="Times New Roman" w:cs="Segoe UI"/>
          <w:lang w:eastAsia="en-AU"/>
        </w:rPr>
      </w:pPr>
      <w:r>
        <w:rPr>
          <w:rFonts w:eastAsia="Times New Roman" w:cs="Segoe UI"/>
          <w:lang w:eastAsia="en-AU"/>
        </w:rPr>
        <w:t>e</w:t>
      </w:r>
      <w:r w:rsidRPr="00016BBD">
        <w:rPr>
          <w:rFonts w:eastAsia="Times New Roman" w:cs="Segoe UI"/>
          <w:lang w:eastAsia="en-AU"/>
        </w:rPr>
        <w:t xml:space="preserve">stablish (after follow-up stakeholder consultations) a bridging funding program to facilitate earlier, temporary subsidised access to promising, time-critical, therapies of high added therapeutic value </w:t>
      </w:r>
      <w:r>
        <w:rPr>
          <w:rFonts w:eastAsia="Times New Roman" w:cs="Segoe UI"/>
          <w:lang w:eastAsia="en-AU"/>
        </w:rPr>
        <w:t>that</w:t>
      </w:r>
      <w:r w:rsidRPr="00016BBD">
        <w:rPr>
          <w:rFonts w:eastAsia="Times New Roman" w:cs="Segoe UI"/>
          <w:lang w:eastAsia="en-AU"/>
        </w:rPr>
        <w:t xml:space="preserve"> address </w:t>
      </w:r>
      <w:bookmarkStart w:id="33" w:name="_Hlk167375515"/>
      <w:r w:rsidRPr="00016BBD">
        <w:rPr>
          <w:rFonts w:eastAsia="Times New Roman" w:cs="Segoe UI"/>
          <w:lang w:eastAsia="en-AU"/>
        </w:rPr>
        <w:t>high unmet clinical need</w:t>
      </w:r>
      <w:r>
        <w:rPr>
          <w:rFonts w:eastAsia="Times New Roman" w:cs="Segoe UI"/>
          <w:lang w:eastAsia="en-AU"/>
        </w:rPr>
        <w:t xml:space="preserve"> (HUCN)</w:t>
      </w:r>
      <w:r w:rsidRPr="00016BBD">
        <w:rPr>
          <w:rFonts w:eastAsia="Times New Roman" w:cs="Segoe UI"/>
          <w:lang w:eastAsia="en-AU"/>
        </w:rPr>
        <w:t xml:space="preserve"> </w:t>
      </w:r>
      <w:bookmarkEnd w:id="33"/>
      <w:r w:rsidRPr="00016BBD">
        <w:rPr>
          <w:rFonts w:eastAsia="Times New Roman" w:cs="Segoe UI"/>
          <w:lang w:eastAsia="en-AU"/>
        </w:rPr>
        <w:t>for patients</w:t>
      </w:r>
    </w:p>
    <w:p w14:paraId="22D2F18D" w14:textId="77777777" w:rsidR="00EB3644" w:rsidRPr="00016BBD" w:rsidRDefault="00EB3644" w:rsidP="002F06FE">
      <w:pPr>
        <w:pStyle w:val="ListParagraph"/>
        <w:numPr>
          <w:ilvl w:val="0"/>
          <w:numId w:val="16"/>
        </w:numPr>
        <w:rPr>
          <w:rFonts w:cs="Segoe UI"/>
        </w:rPr>
      </w:pPr>
      <w:r>
        <w:rPr>
          <w:rFonts w:cs="Segoe UI"/>
          <w:lang w:eastAsia="en-AU"/>
        </w:rPr>
        <w:t>d</w:t>
      </w:r>
      <w:r w:rsidRPr="00016BBD">
        <w:rPr>
          <w:rFonts w:cs="Segoe UI"/>
          <w:lang w:eastAsia="en-AU"/>
        </w:rPr>
        <w:t xml:space="preserve">esign the program in a way that does not introduce unnecessary complexity into the system, nor create unintended consequences that would prolong assessment, negotiations or implementation of agreed terms and conditions between stakeholders </w:t>
      </w:r>
    </w:p>
    <w:p w14:paraId="1189758F" w14:textId="77777777" w:rsidR="00EB3644" w:rsidRPr="00016BBD" w:rsidRDefault="00EB3644" w:rsidP="002F06FE">
      <w:pPr>
        <w:pStyle w:val="ListParagraph"/>
        <w:numPr>
          <w:ilvl w:val="0"/>
          <w:numId w:val="16"/>
        </w:numPr>
        <w:rPr>
          <w:rFonts w:cs="Segoe UI"/>
        </w:rPr>
      </w:pPr>
      <w:r>
        <w:rPr>
          <w:rFonts w:eastAsia="Times New Roman" w:cs="Segoe UI"/>
          <w:lang w:eastAsia="en-AU"/>
        </w:rPr>
        <w:lastRenderedPageBreak/>
        <w:t>i</w:t>
      </w:r>
      <w:r w:rsidRPr="00016BBD">
        <w:rPr>
          <w:rFonts w:eastAsia="Times New Roman" w:cs="Segoe UI"/>
          <w:lang w:eastAsia="en-AU"/>
        </w:rPr>
        <w:t xml:space="preserve">n line with international examples, consider establishing a dedicated but separate budgetary allocation for this program, distinct from baseline </w:t>
      </w:r>
      <w:r>
        <w:rPr>
          <w:rFonts w:eastAsia="Times New Roman" w:cs="Segoe UI"/>
          <w:lang w:eastAsia="en-AU"/>
        </w:rPr>
        <w:t>Australian Government</w:t>
      </w:r>
      <w:r w:rsidRPr="00016BBD">
        <w:rPr>
          <w:rFonts w:eastAsia="Times New Roman" w:cs="Segoe UI"/>
          <w:lang w:eastAsia="en-AU"/>
        </w:rPr>
        <w:t xml:space="preserve"> healthcare funding arrangements (</w:t>
      </w:r>
      <w:r>
        <w:rPr>
          <w:rFonts w:eastAsia="Times New Roman" w:cs="Segoe UI"/>
          <w:lang w:eastAsia="en-AU"/>
        </w:rPr>
        <w:t>e.g.</w:t>
      </w:r>
      <w:r w:rsidRPr="00016BBD">
        <w:rPr>
          <w:rFonts w:eastAsia="Times New Roman" w:cs="Segoe UI"/>
          <w:lang w:eastAsia="en-AU"/>
        </w:rPr>
        <w:t xml:space="preserve"> the </w:t>
      </w:r>
      <w:r w:rsidRPr="00EA0494">
        <w:rPr>
          <w:rFonts w:eastAsia="Times New Roman" w:cs="Segoe UI"/>
          <w:lang w:eastAsia="en-AU"/>
        </w:rPr>
        <w:t>Pharmaceutical Benefits Scheme</w:t>
      </w:r>
      <w:r>
        <w:rPr>
          <w:rFonts w:eastAsia="Times New Roman" w:cs="Segoe UI"/>
          <w:lang w:eastAsia="en-AU"/>
        </w:rPr>
        <w:t xml:space="preserve"> (PBS) and</w:t>
      </w:r>
      <w:r w:rsidRPr="00EA0494" w:rsidDel="009D08B6">
        <w:t xml:space="preserve"> </w:t>
      </w:r>
      <w:r w:rsidRPr="00EA0494">
        <w:rPr>
          <w:rFonts w:eastAsia="Times New Roman" w:cs="Segoe UI"/>
          <w:lang w:eastAsia="en-AU"/>
        </w:rPr>
        <w:t>Medicare Benefits Schedule</w:t>
      </w:r>
      <w:r>
        <w:rPr>
          <w:rFonts w:eastAsia="Times New Roman" w:cs="Segoe UI"/>
          <w:lang w:eastAsia="en-AU"/>
        </w:rPr>
        <w:t xml:space="preserve"> (MBS)</w:t>
      </w:r>
      <w:r w:rsidRPr="00016BBD">
        <w:rPr>
          <w:rFonts w:eastAsia="Times New Roman" w:cs="Segoe UI"/>
          <w:lang w:eastAsia="en-AU"/>
        </w:rPr>
        <w:t>)</w:t>
      </w:r>
    </w:p>
    <w:p w14:paraId="616F9F6D" w14:textId="77777777" w:rsidR="00EB3644" w:rsidRPr="00016BBD" w:rsidRDefault="00EB3644" w:rsidP="002F06FE">
      <w:pPr>
        <w:pStyle w:val="ListParagraph"/>
        <w:numPr>
          <w:ilvl w:val="0"/>
          <w:numId w:val="16"/>
        </w:numPr>
        <w:rPr>
          <w:rFonts w:cs="Segoe UI"/>
        </w:rPr>
      </w:pPr>
      <w:r>
        <w:rPr>
          <w:rFonts w:cs="Segoe UI"/>
        </w:rPr>
        <w:t>i</w:t>
      </w:r>
      <w:r w:rsidRPr="00016BBD">
        <w:rPr>
          <w:rFonts w:cs="Segoe UI"/>
        </w:rPr>
        <w:t xml:space="preserve">nclude in the program design specific eligibility requirements that health technologies </w:t>
      </w:r>
      <w:r>
        <w:rPr>
          <w:rFonts w:cs="Segoe UI"/>
        </w:rPr>
        <w:t>must</w:t>
      </w:r>
      <w:r w:rsidRPr="00016BBD">
        <w:rPr>
          <w:rFonts w:cs="Segoe UI"/>
        </w:rPr>
        <w:t xml:space="preserve"> meet to qualify for temporary bridging funding from this program</w:t>
      </w:r>
      <w:r>
        <w:rPr>
          <w:rFonts w:cs="Segoe UI"/>
        </w:rPr>
        <w:t>,</w:t>
      </w:r>
      <w:r w:rsidRPr="00016BBD">
        <w:rPr>
          <w:rFonts w:cs="Segoe UI"/>
        </w:rPr>
        <w:t xml:space="preserve"> in consultation with key stakeholders, including:</w:t>
      </w:r>
    </w:p>
    <w:p w14:paraId="12440672" w14:textId="77777777" w:rsidR="00EB3644" w:rsidRPr="00016BBD" w:rsidRDefault="00EB3644" w:rsidP="002F06FE">
      <w:pPr>
        <w:pStyle w:val="ListParagraph"/>
        <w:numPr>
          <w:ilvl w:val="1"/>
          <w:numId w:val="16"/>
        </w:numPr>
        <w:rPr>
          <w:rFonts w:cs="Segoe UI"/>
        </w:rPr>
      </w:pPr>
      <w:r>
        <w:rPr>
          <w:rFonts w:cs="Segoe UI"/>
          <w:bCs/>
        </w:rPr>
        <w:t>p</w:t>
      </w:r>
      <w:r w:rsidRPr="00283DE8">
        <w:rPr>
          <w:rFonts w:cs="Segoe UI"/>
          <w:bCs/>
        </w:rPr>
        <w:t>rocess-related qualifying requirements</w:t>
      </w:r>
      <w:r>
        <w:rPr>
          <w:rFonts w:cs="Segoe UI"/>
          <w:bCs/>
        </w:rPr>
        <w:t xml:space="preserve"> –</w:t>
      </w:r>
      <w:r w:rsidRPr="00016BBD">
        <w:rPr>
          <w:rFonts w:cs="Segoe UI"/>
        </w:rPr>
        <w:t xml:space="preserve"> such as earlier submission of health technologies for evaluation via the </w:t>
      </w:r>
      <w:r w:rsidRPr="00B13537">
        <w:rPr>
          <w:rFonts w:cs="Segoe UI"/>
        </w:rPr>
        <w:t xml:space="preserve">Therapeutic Goods Administration </w:t>
      </w:r>
      <w:r>
        <w:rPr>
          <w:rFonts w:cs="Segoe UI"/>
        </w:rPr>
        <w:t xml:space="preserve">and </w:t>
      </w:r>
      <w:r w:rsidRPr="00B13537">
        <w:rPr>
          <w:rFonts w:cs="Segoe UI"/>
        </w:rPr>
        <w:t>HTA</w:t>
      </w:r>
      <w:r>
        <w:rPr>
          <w:rFonts w:cs="Segoe UI"/>
        </w:rPr>
        <w:t xml:space="preserve"> </w:t>
      </w:r>
      <w:r w:rsidRPr="00016BBD">
        <w:rPr>
          <w:rFonts w:cs="Segoe UI"/>
        </w:rPr>
        <w:t>parallel submission process</w:t>
      </w:r>
      <w:r>
        <w:rPr>
          <w:rFonts w:cs="Segoe UI"/>
        </w:rPr>
        <w:t xml:space="preserve"> –</w:t>
      </w:r>
      <w:r w:rsidRPr="00016BBD">
        <w:rPr>
          <w:rFonts w:cs="Segoe UI"/>
        </w:rPr>
        <w:t xml:space="preserve"> within a defined period after</w:t>
      </w:r>
      <w:r>
        <w:rPr>
          <w:rFonts w:cs="Segoe UI"/>
        </w:rPr>
        <w:t xml:space="preserve"> the</w:t>
      </w:r>
      <w:r w:rsidRPr="00016BBD">
        <w:rPr>
          <w:rFonts w:cs="Segoe UI"/>
          <w:b/>
        </w:rPr>
        <w:t xml:space="preserve"> </w:t>
      </w:r>
      <w:r w:rsidRPr="00016BBD">
        <w:rPr>
          <w:rFonts w:cs="Segoe UI"/>
        </w:rPr>
        <w:t>first major international regulatory approval (e.g. no later than 6</w:t>
      </w:r>
      <w:r>
        <w:rPr>
          <w:rFonts w:cs="Segoe UI"/>
        </w:rPr>
        <w:t xml:space="preserve"> months to </w:t>
      </w:r>
      <w:r w:rsidRPr="00016BBD">
        <w:rPr>
          <w:rFonts w:cs="Segoe UI"/>
        </w:rPr>
        <w:t>9 months after</w:t>
      </w:r>
      <w:r>
        <w:rPr>
          <w:rFonts w:cs="Segoe UI"/>
        </w:rPr>
        <w:t xml:space="preserve"> US</w:t>
      </w:r>
      <w:r w:rsidRPr="00016BBD">
        <w:rPr>
          <w:rFonts w:cs="Segoe UI"/>
        </w:rPr>
        <w:t xml:space="preserve"> </w:t>
      </w:r>
      <w:r w:rsidRPr="00DC0EA3">
        <w:rPr>
          <w:rFonts w:cs="Segoe UI"/>
        </w:rPr>
        <w:t xml:space="preserve">Food and Drug Administration </w:t>
      </w:r>
      <w:r>
        <w:rPr>
          <w:rFonts w:cs="Segoe UI"/>
        </w:rPr>
        <w:t xml:space="preserve">or </w:t>
      </w:r>
      <w:r w:rsidRPr="00CE71C1">
        <w:rPr>
          <w:rFonts w:cs="Segoe UI"/>
        </w:rPr>
        <w:t xml:space="preserve">European Medicines Agency </w:t>
      </w:r>
      <w:r w:rsidRPr="00016BBD">
        <w:rPr>
          <w:rFonts w:cs="Segoe UI"/>
        </w:rPr>
        <w:t xml:space="preserve">marketing authorisation; or within </w:t>
      </w:r>
      <w:r>
        <w:rPr>
          <w:rFonts w:cs="Segoe UI"/>
        </w:rPr>
        <w:t>a defined period</w:t>
      </w:r>
      <w:r w:rsidRPr="00016BBD">
        <w:rPr>
          <w:rFonts w:cs="Segoe UI"/>
        </w:rPr>
        <w:t xml:space="preserve"> after identification as part of the </w:t>
      </w:r>
      <w:r>
        <w:rPr>
          <w:rFonts w:cs="Segoe UI"/>
        </w:rPr>
        <w:t>HUCN</w:t>
      </w:r>
      <w:r w:rsidRPr="00016BBD">
        <w:rPr>
          <w:rFonts w:cs="Segoe UI"/>
        </w:rPr>
        <w:t xml:space="preserve"> identification process (</w:t>
      </w:r>
      <w:r>
        <w:rPr>
          <w:rFonts w:cs="Segoe UI"/>
        </w:rPr>
        <w:t xml:space="preserve">see </w:t>
      </w:r>
      <w:r w:rsidRPr="000C5623">
        <w:rPr>
          <w:rFonts w:cs="Segoe UI"/>
          <w:iCs/>
        </w:rPr>
        <w:t>Chapter 9.1</w:t>
      </w:r>
      <w:r w:rsidRPr="00016BBD">
        <w:rPr>
          <w:rFonts w:cs="Segoe UI"/>
        </w:rPr>
        <w:t>)</w:t>
      </w:r>
    </w:p>
    <w:p w14:paraId="56B801D4" w14:textId="77777777" w:rsidR="00EB3644" w:rsidRPr="00016BBD" w:rsidRDefault="00EB3644" w:rsidP="002F06FE">
      <w:pPr>
        <w:pStyle w:val="ListParagraph"/>
        <w:numPr>
          <w:ilvl w:val="1"/>
          <w:numId w:val="16"/>
        </w:numPr>
        <w:rPr>
          <w:rFonts w:cs="Segoe UI"/>
        </w:rPr>
      </w:pPr>
      <w:r>
        <w:rPr>
          <w:rFonts w:cs="Segoe UI"/>
          <w:bCs/>
        </w:rPr>
        <w:t>s</w:t>
      </w:r>
      <w:r w:rsidRPr="00283DE8">
        <w:rPr>
          <w:rFonts w:cs="Segoe UI"/>
          <w:bCs/>
        </w:rPr>
        <w:t xml:space="preserve">pecific </w:t>
      </w:r>
      <w:r>
        <w:rPr>
          <w:rFonts w:cs="Segoe UI"/>
          <w:bCs/>
        </w:rPr>
        <w:t>conditions</w:t>
      </w:r>
      <w:r w:rsidRPr="00016BBD">
        <w:rPr>
          <w:rFonts w:cs="Segoe UI"/>
        </w:rPr>
        <w:t xml:space="preserve"> a qualifying health technology </w:t>
      </w:r>
      <w:r>
        <w:rPr>
          <w:rFonts w:cs="Segoe UI"/>
        </w:rPr>
        <w:t>must</w:t>
      </w:r>
      <w:r w:rsidRPr="00016BBD">
        <w:rPr>
          <w:rFonts w:cs="Segoe UI"/>
        </w:rPr>
        <w:t xml:space="preserve"> meet </w:t>
      </w:r>
      <w:r>
        <w:rPr>
          <w:rFonts w:cs="Segoe UI"/>
        </w:rPr>
        <w:t xml:space="preserve">and that </w:t>
      </w:r>
      <w:r w:rsidRPr="00016BBD">
        <w:rPr>
          <w:rFonts w:cs="Segoe UI"/>
        </w:rPr>
        <w:t>ar</w:t>
      </w:r>
      <w:r>
        <w:rPr>
          <w:rFonts w:cs="Segoe UI"/>
        </w:rPr>
        <w:t>ose</w:t>
      </w:r>
      <w:r w:rsidRPr="00016BBD">
        <w:rPr>
          <w:rFonts w:cs="Segoe UI"/>
        </w:rPr>
        <w:t xml:space="preserve"> from </w:t>
      </w:r>
      <w:r>
        <w:rPr>
          <w:rFonts w:cs="Segoe UI"/>
        </w:rPr>
        <w:t>an</w:t>
      </w:r>
      <w:r w:rsidRPr="00016BBD">
        <w:rPr>
          <w:rFonts w:cs="Segoe UI"/>
        </w:rPr>
        <w:t xml:space="preserve"> HTA</w:t>
      </w:r>
      <w:r>
        <w:rPr>
          <w:rFonts w:cs="Segoe UI"/>
        </w:rPr>
        <w:t>; for example</w:t>
      </w:r>
      <w:r w:rsidRPr="00016BBD">
        <w:rPr>
          <w:rFonts w:cs="Segoe UI"/>
        </w:rPr>
        <w:t xml:space="preserve">, </w:t>
      </w:r>
      <w:r>
        <w:rPr>
          <w:rFonts w:cs="Segoe UI"/>
        </w:rPr>
        <w:t>where the</w:t>
      </w:r>
      <w:r w:rsidRPr="00016BBD">
        <w:rPr>
          <w:rFonts w:cs="Segoe UI"/>
        </w:rPr>
        <w:t xml:space="preserve"> HTA </w:t>
      </w:r>
      <w:r>
        <w:rPr>
          <w:rFonts w:cs="Segoe UI"/>
        </w:rPr>
        <w:t xml:space="preserve">advisory </w:t>
      </w:r>
      <w:r w:rsidRPr="00016BBD">
        <w:rPr>
          <w:rFonts w:cs="Segoe UI"/>
        </w:rPr>
        <w:t>committee</w:t>
      </w:r>
      <w:r>
        <w:rPr>
          <w:rFonts w:cs="Segoe UI"/>
        </w:rPr>
        <w:t xml:space="preserve"> has recommended</w:t>
      </w:r>
      <w:r w:rsidRPr="00016BBD">
        <w:rPr>
          <w:rFonts w:cs="Segoe UI"/>
        </w:rPr>
        <w:t xml:space="preserve">: </w:t>
      </w:r>
    </w:p>
    <w:p w14:paraId="6C2B079E" w14:textId="77777777" w:rsidR="00EB3644" w:rsidRPr="00016BBD" w:rsidRDefault="00EB3644" w:rsidP="002F06FE">
      <w:pPr>
        <w:pStyle w:val="ListParagraph"/>
        <w:numPr>
          <w:ilvl w:val="2"/>
          <w:numId w:val="16"/>
        </w:numPr>
        <w:rPr>
          <w:rFonts w:cs="Segoe UI"/>
        </w:rPr>
      </w:pPr>
      <w:r w:rsidRPr="00016BBD">
        <w:rPr>
          <w:rFonts w:cs="Segoe UI"/>
        </w:rPr>
        <w:t>a cost-effective health technology that requires</w:t>
      </w:r>
      <w:r>
        <w:rPr>
          <w:rFonts w:cs="Segoe UI"/>
        </w:rPr>
        <w:t xml:space="preserve"> completion of</w:t>
      </w:r>
      <w:r w:rsidRPr="00016BBD">
        <w:rPr>
          <w:rFonts w:cs="Segoe UI"/>
        </w:rPr>
        <w:t xml:space="preserve"> final negotiations and listings processes </w:t>
      </w:r>
    </w:p>
    <w:p w14:paraId="49D01DED" w14:textId="77777777" w:rsidR="00EB3644" w:rsidRPr="00016BBD" w:rsidRDefault="00EB3644" w:rsidP="002F06FE">
      <w:pPr>
        <w:pStyle w:val="ListParagraph"/>
        <w:numPr>
          <w:ilvl w:val="2"/>
          <w:numId w:val="16"/>
        </w:numPr>
        <w:rPr>
          <w:rFonts w:cs="Segoe UI"/>
        </w:rPr>
      </w:pPr>
      <w:r w:rsidRPr="00016BBD">
        <w:rPr>
          <w:rFonts w:cs="Segoe UI"/>
        </w:rPr>
        <w:t xml:space="preserve">a health technology </w:t>
      </w:r>
      <w:r>
        <w:rPr>
          <w:rFonts w:cs="Segoe UI"/>
        </w:rPr>
        <w:t>with outstanding issues (</w:t>
      </w:r>
      <w:r w:rsidRPr="00016BBD">
        <w:rPr>
          <w:rFonts w:cs="Segoe UI"/>
        </w:rPr>
        <w:t>re</w:t>
      </w:r>
      <w:r>
        <w:rPr>
          <w:rFonts w:cs="Segoe UI"/>
        </w:rPr>
        <w:t>sulting in</w:t>
      </w:r>
      <w:r w:rsidRPr="00016BBD">
        <w:rPr>
          <w:rFonts w:cs="Segoe UI"/>
        </w:rPr>
        <w:t xml:space="preserve"> a negative HTA recommendation due to economic evaluation and/or cost-effectiveness</w:t>
      </w:r>
      <w:r>
        <w:rPr>
          <w:rFonts w:cs="Segoe UI"/>
        </w:rPr>
        <w:t>)</w:t>
      </w:r>
      <w:r w:rsidRPr="00016BBD" w:rsidDel="001F7915">
        <w:rPr>
          <w:rFonts w:cs="Segoe UI"/>
        </w:rPr>
        <w:t xml:space="preserve"> </w:t>
      </w:r>
      <w:r>
        <w:rPr>
          <w:rFonts w:cs="Segoe UI"/>
        </w:rPr>
        <w:t>that</w:t>
      </w:r>
      <w:r w:rsidRPr="00016BBD">
        <w:rPr>
          <w:rFonts w:cs="Segoe UI"/>
        </w:rPr>
        <w:t xml:space="preserve"> can likely be resolved quickly</w:t>
      </w:r>
      <w:r>
        <w:rPr>
          <w:rFonts w:cs="Segoe UI"/>
        </w:rPr>
        <w:t>,</w:t>
      </w:r>
      <w:r w:rsidRPr="00016BBD">
        <w:rPr>
          <w:rFonts w:cs="Segoe UI"/>
        </w:rPr>
        <w:t xml:space="preserve"> consistent with facilitated</w:t>
      </w:r>
      <w:r>
        <w:rPr>
          <w:rFonts w:cs="Segoe UI"/>
        </w:rPr>
        <w:t xml:space="preserve"> and</w:t>
      </w:r>
      <w:r w:rsidRPr="00016BBD">
        <w:rPr>
          <w:rFonts w:cs="Segoe UI"/>
        </w:rPr>
        <w:t>/</w:t>
      </w:r>
      <w:r>
        <w:rPr>
          <w:rFonts w:cs="Segoe UI"/>
        </w:rPr>
        <w:t xml:space="preserve">or </w:t>
      </w:r>
      <w:r w:rsidRPr="00016BBD">
        <w:rPr>
          <w:rFonts w:cs="Segoe UI"/>
        </w:rPr>
        <w:t>early resolution pathway principles</w:t>
      </w:r>
    </w:p>
    <w:p w14:paraId="5018EBBB" w14:textId="77777777" w:rsidR="00EB3644" w:rsidRPr="00016BBD" w:rsidRDefault="00EB3644" w:rsidP="002F06FE">
      <w:pPr>
        <w:pStyle w:val="ListParagraph"/>
        <w:numPr>
          <w:ilvl w:val="2"/>
          <w:numId w:val="16"/>
        </w:numPr>
        <w:rPr>
          <w:rFonts w:cs="Segoe UI"/>
        </w:rPr>
      </w:pPr>
      <w:r w:rsidRPr="00283DE8">
        <w:rPr>
          <w:rFonts w:cs="Segoe UI"/>
          <w:bCs/>
        </w:rPr>
        <w:t>post-HTA recommendation milestones and conditions,</w:t>
      </w:r>
      <w:r w:rsidRPr="00016BBD">
        <w:rPr>
          <w:rFonts w:cs="Segoe UI"/>
        </w:rPr>
        <w:t xml:space="preserve"> such as:</w:t>
      </w:r>
    </w:p>
    <w:p w14:paraId="67184E95" w14:textId="77777777" w:rsidR="00EB3644" w:rsidRPr="00016BBD" w:rsidRDefault="00EB3644" w:rsidP="002F06FE">
      <w:pPr>
        <w:pStyle w:val="ListParagraph"/>
        <w:numPr>
          <w:ilvl w:val="3"/>
          <w:numId w:val="16"/>
        </w:numPr>
        <w:rPr>
          <w:rFonts w:cs="Segoe UI"/>
        </w:rPr>
      </w:pPr>
      <w:r w:rsidRPr="00016BBD">
        <w:rPr>
          <w:rFonts w:cs="Segoe UI"/>
        </w:rPr>
        <w:t xml:space="preserve">(if required) provision of additional information that may address identified uncertainties and risks from the HTA evaluation </w:t>
      </w:r>
    </w:p>
    <w:p w14:paraId="2A8B8851" w14:textId="77777777" w:rsidR="00EB3644" w:rsidRPr="00016BBD" w:rsidRDefault="00EB3644" w:rsidP="002F06FE">
      <w:pPr>
        <w:pStyle w:val="ListParagraph"/>
        <w:numPr>
          <w:ilvl w:val="3"/>
          <w:numId w:val="16"/>
        </w:numPr>
        <w:rPr>
          <w:rFonts w:cs="Segoe UI"/>
        </w:rPr>
      </w:pPr>
      <w:r w:rsidRPr="00016BBD">
        <w:rPr>
          <w:rFonts w:cs="Segoe UI"/>
        </w:rPr>
        <w:t xml:space="preserve">agreement on the costs and duration of bridging funding, to ensure the available appropriation allocations are not exceeded </w:t>
      </w:r>
    </w:p>
    <w:p w14:paraId="45F94B44" w14:textId="77777777" w:rsidR="00EB3644" w:rsidRPr="00016BBD" w:rsidRDefault="00EB3644" w:rsidP="002F06FE">
      <w:pPr>
        <w:pStyle w:val="ListParagraph"/>
        <w:numPr>
          <w:ilvl w:val="3"/>
          <w:numId w:val="16"/>
        </w:numPr>
        <w:rPr>
          <w:rFonts w:cs="Segoe UI"/>
        </w:rPr>
      </w:pPr>
      <w:r w:rsidRPr="00016BBD">
        <w:rPr>
          <w:rFonts w:cs="Segoe UI"/>
        </w:rPr>
        <w:t xml:space="preserve">clear transition pathways and processes (including stakeholder communications) for </w:t>
      </w:r>
      <w:r>
        <w:rPr>
          <w:rFonts w:cs="Segoe UI"/>
        </w:rPr>
        <w:t>the</w:t>
      </w:r>
      <w:r w:rsidRPr="00016BBD">
        <w:rPr>
          <w:rFonts w:cs="Segoe UI"/>
        </w:rPr>
        <w:t xml:space="preserve"> health technology to either</w:t>
      </w:r>
      <w:r>
        <w:rPr>
          <w:rFonts w:cs="Segoe UI"/>
        </w:rPr>
        <w:t>:</w:t>
      </w:r>
    </w:p>
    <w:p w14:paraId="07C94041" w14:textId="77777777" w:rsidR="00EB3644" w:rsidRPr="00016BBD" w:rsidRDefault="00EB3644" w:rsidP="002F06FE">
      <w:pPr>
        <w:pStyle w:val="ListParagraph"/>
        <w:numPr>
          <w:ilvl w:val="4"/>
          <w:numId w:val="16"/>
        </w:numPr>
        <w:rPr>
          <w:rFonts w:cs="Segoe UI"/>
        </w:rPr>
      </w:pPr>
      <w:r w:rsidRPr="00016BBD">
        <w:rPr>
          <w:rFonts w:cs="Segoe UI"/>
        </w:rPr>
        <w:t>transition onto standard subsidy arrangements in the case of a positive HTA recommendation and after agreed conditions are fulfilled</w:t>
      </w:r>
      <w:r>
        <w:rPr>
          <w:rFonts w:cs="Segoe UI"/>
        </w:rPr>
        <w:t>,</w:t>
      </w:r>
      <w:r w:rsidRPr="00016BBD">
        <w:rPr>
          <w:rFonts w:cs="Segoe UI"/>
        </w:rPr>
        <w:t xml:space="preserve"> or</w:t>
      </w:r>
    </w:p>
    <w:p w14:paraId="4EB2BB34" w14:textId="486644B4" w:rsidR="00EB3644" w:rsidRPr="00016BBD" w:rsidRDefault="00EB3644" w:rsidP="002F06FE">
      <w:pPr>
        <w:pStyle w:val="ListParagraph"/>
        <w:numPr>
          <w:ilvl w:val="4"/>
          <w:numId w:val="16"/>
        </w:numPr>
        <w:rPr>
          <w:rFonts w:cs="Segoe UI"/>
        </w:rPr>
      </w:pPr>
      <w:r w:rsidRPr="00016BBD">
        <w:rPr>
          <w:rFonts w:cs="Segoe UI"/>
        </w:rPr>
        <w:t>exit from the bridging program, including details on how residual patient needs for the health technology will be met in the absence of further health</w:t>
      </w:r>
      <w:r>
        <w:rPr>
          <w:rFonts w:cs="Segoe UI"/>
        </w:rPr>
        <w:t>care</w:t>
      </w:r>
      <w:r w:rsidRPr="00016BBD">
        <w:rPr>
          <w:rFonts w:cs="Segoe UI"/>
        </w:rPr>
        <w:t xml:space="preserve"> payer subsidy, if a final HTA evaluation results in a negative recommendation</w:t>
      </w:r>
      <w:r w:rsidR="00492A7E">
        <w:rPr>
          <w:rFonts w:cs="Segoe UI"/>
        </w:rPr>
        <w:t>.</w:t>
      </w:r>
      <w:r w:rsidRPr="00016BBD">
        <w:rPr>
          <w:rFonts w:cs="Segoe UI"/>
        </w:rPr>
        <w:t xml:space="preserve"> </w:t>
      </w:r>
    </w:p>
    <w:p w14:paraId="39C49F92" w14:textId="77777777" w:rsidR="00EB3644" w:rsidRPr="00016BBD" w:rsidRDefault="00EB3644" w:rsidP="002F06FE">
      <w:pPr>
        <w:pStyle w:val="ListParagraph"/>
        <w:numPr>
          <w:ilvl w:val="3"/>
          <w:numId w:val="16"/>
        </w:numPr>
        <w:rPr>
          <w:rFonts w:cs="Segoe UI"/>
        </w:rPr>
      </w:pPr>
      <w:r w:rsidRPr="00016BBD">
        <w:rPr>
          <w:rFonts w:cs="Segoe UI"/>
        </w:rPr>
        <w:lastRenderedPageBreak/>
        <w:t>publication (after consultations and necessary redactions) of key terms and conditions for health technologies funded by the bridging program to:</w:t>
      </w:r>
    </w:p>
    <w:p w14:paraId="472A6A2C" w14:textId="77777777" w:rsidR="00EB3644" w:rsidRPr="00016BBD" w:rsidRDefault="00EB3644" w:rsidP="002F06FE">
      <w:pPr>
        <w:pStyle w:val="ListParagraph"/>
        <w:numPr>
          <w:ilvl w:val="4"/>
          <w:numId w:val="16"/>
        </w:numPr>
        <w:rPr>
          <w:rFonts w:cs="Segoe UI"/>
        </w:rPr>
      </w:pPr>
      <w:r w:rsidRPr="00016BBD">
        <w:rPr>
          <w:rFonts w:cs="Segoe UI"/>
        </w:rPr>
        <w:t>support visibility of the arrangements and better stakeholder engagement</w:t>
      </w:r>
    </w:p>
    <w:p w14:paraId="4137F46C" w14:textId="16668150" w:rsidR="00EB3644" w:rsidRPr="00016BBD" w:rsidRDefault="00EB3644" w:rsidP="002F06FE">
      <w:pPr>
        <w:pStyle w:val="ListParagraph"/>
        <w:numPr>
          <w:ilvl w:val="4"/>
          <w:numId w:val="16"/>
        </w:numPr>
        <w:rPr>
          <w:rFonts w:cs="Segoe UI"/>
        </w:rPr>
      </w:pPr>
      <w:r w:rsidRPr="00016BBD">
        <w:rPr>
          <w:rFonts w:cs="Segoe UI"/>
        </w:rPr>
        <w:t>improve patient and clinician participation in addressing specific milestones and conditions</w:t>
      </w:r>
      <w:r w:rsidR="00492A7E">
        <w:rPr>
          <w:rFonts w:cs="Segoe UI"/>
        </w:rPr>
        <w:t>.</w:t>
      </w:r>
    </w:p>
    <w:p w14:paraId="4BEA7148" w14:textId="77777777" w:rsidR="00EE4C33" w:rsidRPr="00EE4C33" w:rsidRDefault="00EB3644" w:rsidP="002F06FE">
      <w:pPr>
        <w:pStyle w:val="ListParagraph"/>
        <w:numPr>
          <w:ilvl w:val="0"/>
          <w:numId w:val="16"/>
        </w:numPr>
        <w:rPr>
          <w:rFonts w:eastAsia="Times New Roman"/>
          <w:color w:val="071320" w:themeColor="text2" w:themeShade="80"/>
          <w:kern w:val="28"/>
          <w:sz w:val="56"/>
          <w:szCs w:val="56"/>
        </w:rPr>
      </w:pPr>
      <w:r w:rsidRPr="00EB3644">
        <w:rPr>
          <w:rFonts w:eastAsia="Times New Roman"/>
          <w:lang w:eastAsia="en-AU"/>
        </w:rPr>
        <w:t>develop appropriate governance arrangements for the bridging funding program, including a scheduled program evaluation to examine whether the program is addressing key objectives.</w:t>
      </w:r>
    </w:p>
    <w:p w14:paraId="4F01BE51" w14:textId="77777777" w:rsidR="00EE4C33" w:rsidRPr="009A7A06" w:rsidRDefault="00EE4C33" w:rsidP="00484B58">
      <w:pPr>
        <w:pStyle w:val="Recommendation1"/>
      </w:pPr>
      <w:bookmarkStart w:id="34" w:name="_Hlk167302059"/>
      <w:r w:rsidRPr="009A7A06">
        <w:t xml:space="preserve">Approaches to </w:t>
      </w:r>
      <w:proofErr w:type="spellStart"/>
      <w:r w:rsidRPr="009A7A06">
        <w:t>incentivise</w:t>
      </w:r>
      <w:proofErr w:type="spellEnd"/>
      <w:r w:rsidRPr="009A7A06">
        <w:t xml:space="preserve"> </w:t>
      </w:r>
      <w:r>
        <w:t xml:space="preserve">the </w:t>
      </w:r>
      <w:r w:rsidRPr="009A7A06">
        <w:t xml:space="preserve">development of </w:t>
      </w:r>
      <w:r>
        <w:t>health technologies</w:t>
      </w:r>
      <w:r w:rsidRPr="009A7A06">
        <w:t xml:space="preserve"> that address antimicrobial resistance (AMR)</w:t>
      </w:r>
    </w:p>
    <w:bookmarkEnd w:id="34"/>
    <w:p w14:paraId="10EF0152" w14:textId="77777777" w:rsidR="00EE4C33" w:rsidRPr="002B677C" w:rsidRDefault="00EE4C33" w:rsidP="00304F0B">
      <w:pPr>
        <w:spacing w:line="360" w:lineRule="auto"/>
        <w:rPr>
          <w:rFonts w:eastAsia="Calibri"/>
        </w:rPr>
      </w:pPr>
      <w:r w:rsidRPr="002B677C">
        <w:rPr>
          <w:rFonts w:eastAsia="Calibri"/>
        </w:rPr>
        <w:t xml:space="preserve">The Review recommends </w:t>
      </w:r>
      <w:r>
        <w:rPr>
          <w:rFonts w:eastAsia="Calibri"/>
        </w:rPr>
        <w:t xml:space="preserve">that </w:t>
      </w:r>
      <w:r w:rsidRPr="002B677C">
        <w:rPr>
          <w:rFonts w:eastAsia="Calibri"/>
        </w:rPr>
        <w:t>the Australian Government:</w:t>
      </w:r>
    </w:p>
    <w:p w14:paraId="3C125CBD" w14:textId="77777777" w:rsidR="00EE4C33" w:rsidRPr="00910611" w:rsidRDefault="00EE4C33" w:rsidP="005D11DD">
      <w:pPr>
        <w:pStyle w:val="ListParagraph"/>
        <w:numPr>
          <w:ilvl w:val="0"/>
          <w:numId w:val="18"/>
        </w:numPr>
        <w:spacing w:after="0"/>
        <w:contextualSpacing w:val="0"/>
        <w:rPr>
          <w:rFonts w:eastAsia="Calibri" w:cs="Segoe UI"/>
        </w:rPr>
      </w:pPr>
      <w:r>
        <w:rPr>
          <w:rFonts w:eastAsia="Calibri" w:cs="Segoe UI"/>
        </w:rPr>
        <w:t>exempt</w:t>
      </w:r>
      <w:r w:rsidRPr="00910611">
        <w:rPr>
          <w:rFonts w:eastAsia="Calibri" w:cs="Segoe UI"/>
        </w:rPr>
        <w:t xml:space="preserve"> antimicrobial health technologies </w:t>
      </w:r>
      <w:r>
        <w:rPr>
          <w:rFonts w:eastAsia="Calibri" w:cs="Segoe UI"/>
        </w:rPr>
        <w:t>that</w:t>
      </w:r>
      <w:r w:rsidRPr="00824739">
        <w:rPr>
          <w:rFonts w:eastAsia="Calibri" w:cs="Segoe UI"/>
        </w:rPr>
        <w:t xml:space="preserve"> </w:t>
      </w:r>
      <w:r>
        <w:rPr>
          <w:rFonts w:eastAsia="Calibri" w:cs="Segoe UI"/>
        </w:rPr>
        <w:t>target</w:t>
      </w:r>
      <w:r w:rsidRPr="00910611">
        <w:rPr>
          <w:rFonts w:eastAsia="Calibri" w:cs="Segoe UI"/>
        </w:rPr>
        <w:t xml:space="preserve"> organisms on the </w:t>
      </w:r>
      <w:r w:rsidRPr="00E849C9">
        <w:rPr>
          <w:rFonts w:eastAsia="Calibri" w:cs="Segoe UI"/>
        </w:rPr>
        <w:t xml:space="preserve">World Health Organisation </w:t>
      </w:r>
      <w:r>
        <w:rPr>
          <w:rFonts w:eastAsia="Calibri" w:cs="Segoe UI"/>
        </w:rPr>
        <w:t>(</w:t>
      </w:r>
      <w:r w:rsidRPr="00910611">
        <w:rPr>
          <w:rFonts w:eastAsia="Calibri" w:cs="Segoe UI"/>
        </w:rPr>
        <w:t>WHO</w:t>
      </w:r>
      <w:r>
        <w:rPr>
          <w:rFonts w:eastAsia="Calibri" w:cs="Segoe UI"/>
        </w:rPr>
        <w:t>)</w:t>
      </w:r>
      <w:r w:rsidRPr="00910611">
        <w:rPr>
          <w:rFonts w:eastAsia="Calibri" w:cs="Segoe UI"/>
        </w:rPr>
        <w:t xml:space="preserve"> bacterial/fungal priority</w:t>
      </w:r>
      <w:r>
        <w:rPr>
          <w:rFonts w:eastAsia="Calibri" w:cs="Segoe UI"/>
        </w:rPr>
        <w:t xml:space="preserve"> </w:t>
      </w:r>
      <w:r w:rsidRPr="00910611">
        <w:rPr>
          <w:rFonts w:eastAsia="Calibri" w:cs="Segoe UI"/>
        </w:rPr>
        <w:t>pathogen lists</w:t>
      </w:r>
      <w:r>
        <w:rPr>
          <w:rFonts w:eastAsia="Calibri" w:cs="Segoe UI"/>
        </w:rPr>
        <w:t>,</w:t>
      </w:r>
      <w:r w:rsidRPr="00910611">
        <w:rPr>
          <w:rFonts w:eastAsia="Calibri" w:cs="Segoe UI"/>
        </w:rPr>
        <w:t xml:space="preserve"> and</w:t>
      </w:r>
      <w:r>
        <w:rPr>
          <w:rFonts w:eastAsia="Calibri" w:cs="Segoe UI"/>
        </w:rPr>
        <w:t xml:space="preserve"> that are </w:t>
      </w:r>
      <w:r w:rsidRPr="00910611">
        <w:rPr>
          <w:rFonts w:eastAsia="Calibri" w:cs="Segoe UI"/>
        </w:rPr>
        <w:t xml:space="preserve">identified </w:t>
      </w:r>
      <w:r>
        <w:rPr>
          <w:rFonts w:eastAsia="Calibri" w:cs="Segoe UI"/>
        </w:rPr>
        <w:t xml:space="preserve">to be important for addressing public health risks in </w:t>
      </w:r>
      <w:r w:rsidRPr="00910611">
        <w:rPr>
          <w:rFonts w:eastAsia="Calibri" w:cs="Segoe UI"/>
        </w:rPr>
        <w:t>Australia</w:t>
      </w:r>
      <w:r>
        <w:rPr>
          <w:rFonts w:eastAsia="Calibri" w:cs="Segoe UI"/>
        </w:rPr>
        <w:t>,</w:t>
      </w:r>
      <w:r w:rsidRPr="00910611">
        <w:rPr>
          <w:rFonts w:eastAsia="Calibri" w:cs="Segoe UI"/>
        </w:rPr>
        <w:t xml:space="preserve"> from HTA </w:t>
      </w:r>
      <w:r w:rsidRPr="00824739">
        <w:rPr>
          <w:rFonts w:eastAsia="Calibri" w:cs="Segoe UI"/>
        </w:rPr>
        <w:t>fee requirements</w:t>
      </w:r>
      <w:r w:rsidRPr="00910611">
        <w:rPr>
          <w:rFonts w:eastAsia="Calibri" w:cs="Segoe UI"/>
        </w:rPr>
        <w:t xml:space="preserve"> </w:t>
      </w:r>
    </w:p>
    <w:p w14:paraId="277C901C" w14:textId="77777777" w:rsidR="00EE4C33" w:rsidRPr="00824739" w:rsidRDefault="00EE4C33" w:rsidP="005D11DD">
      <w:pPr>
        <w:pStyle w:val="ListParagraph"/>
        <w:numPr>
          <w:ilvl w:val="0"/>
          <w:numId w:val="18"/>
        </w:numPr>
        <w:spacing w:before="0" w:after="0"/>
        <w:contextualSpacing w:val="0"/>
        <w:rPr>
          <w:rFonts w:eastAsia="Calibri" w:cs="Segoe UI"/>
        </w:rPr>
      </w:pPr>
      <w:r>
        <w:rPr>
          <w:rFonts w:eastAsia="Calibri" w:cs="Segoe UI"/>
        </w:rPr>
        <w:t>e</w:t>
      </w:r>
      <w:r w:rsidRPr="00824739">
        <w:rPr>
          <w:rFonts w:eastAsia="Calibri" w:cs="Segoe UI"/>
        </w:rPr>
        <w:t xml:space="preserve">xamine, consult </w:t>
      </w:r>
      <w:r>
        <w:rPr>
          <w:rFonts w:eastAsia="Calibri" w:cs="Segoe UI"/>
        </w:rPr>
        <w:t>on</w:t>
      </w:r>
      <w:r w:rsidRPr="00824739">
        <w:rPr>
          <w:rFonts w:eastAsia="Calibri" w:cs="Segoe UI"/>
        </w:rPr>
        <w:t xml:space="preserve"> and develop a framework to </w:t>
      </w:r>
      <w:r>
        <w:rPr>
          <w:rFonts w:eastAsia="Calibri" w:cs="Segoe UI"/>
        </w:rPr>
        <w:t>inform</w:t>
      </w:r>
      <w:r w:rsidRPr="00824739">
        <w:rPr>
          <w:rFonts w:eastAsia="Calibri" w:cs="Segoe UI"/>
        </w:rPr>
        <w:t xml:space="preserve"> changes to </w:t>
      </w:r>
      <w:r w:rsidRPr="00F569DA">
        <w:rPr>
          <w:rFonts w:eastAsia="Calibri" w:cs="Segoe UI"/>
        </w:rPr>
        <w:t>HTA</w:t>
      </w:r>
      <w:r w:rsidRPr="00F569DA" w:rsidDel="00F569DA">
        <w:rPr>
          <w:rFonts w:eastAsia="Calibri" w:cs="Segoe UI"/>
        </w:rPr>
        <w:t xml:space="preserve"> </w:t>
      </w:r>
      <w:r w:rsidRPr="00824739">
        <w:rPr>
          <w:rFonts w:eastAsia="Calibri" w:cs="Segoe UI"/>
        </w:rPr>
        <w:t>policy and methods for antimicrobials, given the public health significance and implications of </w:t>
      </w:r>
      <w:r w:rsidRPr="0000529E">
        <w:rPr>
          <w:rFonts w:eastAsia="Calibri" w:cs="Segoe UI"/>
        </w:rPr>
        <w:t>AMR</w:t>
      </w:r>
      <w:r w:rsidRPr="00824739">
        <w:rPr>
          <w:rFonts w:eastAsia="Calibri" w:cs="Segoe UI"/>
        </w:rPr>
        <w:t>. The framework should be informed by existing work undertaken on identifying and scoping potential funding mechanisms and economic models to incentivise market availability of antimicrobial products in Australia</w:t>
      </w:r>
    </w:p>
    <w:p w14:paraId="1E558BB6" w14:textId="77777777" w:rsidR="00EE4C33" w:rsidRPr="00EE4C33" w:rsidRDefault="00EE4C33" w:rsidP="005D11DD">
      <w:pPr>
        <w:pStyle w:val="ListParagraph"/>
        <w:numPr>
          <w:ilvl w:val="0"/>
          <w:numId w:val="18"/>
        </w:numPr>
        <w:spacing w:before="0" w:after="0"/>
        <w:contextualSpacing w:val="0"/>
        <w:rPr>
          <w:rFonts w:eastAsia="Times New Roman" w:cs="Segoe UI"/>
          <w:color w:val="094868"/>
          <w:kern w:val="28"/>
          <w:sz w:val="44"/>
          <w:szCs w:val="36"/>
        </w:rPr>
      </w:pPr>
      <w:r>
        <w:rPr>
          <w:rFonts w:eastAsia="Calibri" w:cs="Segoe UI"/>
        </w:rPr>
        <w:t>d</w:t>
      </w:r>
      <w:r w:rsidRPr="00A25A40">
        <w:rPr>
          <w:rFonts w:eastAsia="Calibri" w:cs="Segoe UI"/>
        </w:rPr>
        <w:t xml:space="preserve">esign a flexible reimbursement policy for antimicrobial products. The policy should examine and test multiple payment and incentive models, </w:t>
      </w:r>
      <w:r w:rsidRPr="00B61FDC">
        <w:rPr>
          <w:rFonts w:eastAsia="Calibri" w:cs="Segoe UI"/>
        </w:rPr>
        <w:t>including but not limited to</w:t>
      </w:r>
      <w:r w:rsidRPr="00A25A40">
        <w:rPr>
          <w:rFonts w:eastAsia="Calibri" w:cs="Segoe UI"/>
        </w:rPr>
        <w:t xml:space="preserve"> full and partial price and volume delinking, advanced market commitments </w:t>
      </w:r>
      <w:r>
        <w:rPr>
          <w:rFonts w:eastAsia="Calibri" w:cs="Segoe UI"/>
        </w:rPr>
        <w:t>and</w:t>
      </w:r>
      <w:r w:rsidRPr="00A25A40">
        <w:rPr>
          <w:rFonts w:eastAsia="Calibri" w:cs="Segoe UI"/>
        </w:rPr>
        <w:t xml:space="preserve"> guarantee-of-supply provisions</w:t>
      </w:r>
    </w:p>
    <w:p w14:paraId="5A01E488" w14:textId="25A35AC4" w:rsidR="000F71AC" w:rsidRPr="00804A95" w:rsidRDefault="00EE4C33" w:rsidP="002F06FE">
      <w:pPr>
        <w:pStyle w:val="ListParagraph"/>
        <w:numPr>
          <w:ilvl w:val="0"/>
          <w:numId w:val="18"/>
        </w:numPr>
        <w:contextualSpacing w:val="0"/>
        <w:rPr>
          <w:rFonts w:eastAsia="Times New Roman" w:cs="Segoe UI"/>
          <w:color w:val="094868"/>
          <w:kern w:val="28"/>
          <w:sz w:val="44"/>
          <w:szCs w:val="36"/>
        </w:rPr>
      </w:pPr>
      <w:r w:rsidRPr="00EE4C33">
        <w:rPr>
          <w:rFonts w:eastAsia="Calibri"/>
        </w:rPr>
        <w:t xml:space="preserve">in the short term, develop, implement and assess the effectiveness of a pilot subscription fund for novel antimicrobials. The model should be guided by international examples but tailored for the Australian setting. </w:t>
      </w:r>
      <w:r w:rsidRPr="00EE4C33">
        <w:rPr>
          <w:rFonts w:eastAsia="Segoe UI"/>
        </w:rPr>
        <w:t>The pilot should also be guided by recommendations from</w:t>
      </w:r>
      <w:r w:rsidRPr="00EE4C33">
        <w:rPr>
          <w:i/>
          <w:iCs/>
        </w:rPr>
        <w:t xml:space="preserve"> </w:t>
      </w:r>
      <w:r w:rsidRPr="000C5623">
        <w:t>The New Frontier</w:t>
      </w:r>
      <w:r w:rsidRPr="00EE4C33">
        <w:rPr>
          <w:i/>
          <w:iCs/>
        </w:rPr>
        <w:t xml:space="preserve"> </w:t>
      </w:r>
      <w:r>
        <w:t>i</w:t>
      </w:r>
      <w:r w:rsidRPr="00A25A40">
        <w:t>nquiry.</w:t>
      </w:r>
      <w:r w:rsidRPr="00EE4C33">
        <w:rPr>
          <w:rFonts w:eastAsia="Segoe UI"/>
        </w:rPr>
        <w:t xml:space="preserve"> </w:t>
      </w:r>
    </w:p>
    <w:p w14:paraId="3B39FFE4" w14:textId="77777777" w:rsidR="003649B8" w:rsidRDefault="003649B8" w:rsidP="00484B58">
      <w:pPr>
        <w:pStyle w:val="Recommendation1"/>
      </w:pPr>
      <w:bookmarkStart w:id="35" w:name="_Hlk167302106"/>
      <w:r w:rsidRPr="00D81D0B">
        <w:t>Publish</w:t>
      </w:r>
      <w:r>
        <w:t>ing</w:t>
      </w:r>
      <w:r w:rsidRPr="00D81D0B">
        <w:t xml:space="preserve"> plain language summaries</w:t>
      </w:r>
    </w:p>
    <w:bookmarkEnd w:id="35"/>
    <w:p w14:paraId="3B1AB0BC" w14:textId="77777777" w:rsidR="003649B8" w:rsidRDefault="003649B8" w:rsidP="00304F0B">
      <w:pPr>
        <w:spacing w:before="240"/>
      </w:pPr>
      <w:r w:rsidRPr="00405FD7" w:rsidDel="002C4399">
        <w:t xml:space="preserve">The Review recommends </w:t>
      </w:r>
      <w:r>
        <w:t xml:space="preserve">that </w:t>
      </w:r>
      <w:r w:rsidRPr="00405FD7" w:rsidDel="002C4399">
        <w:t>the Australian Government:</w:t>
      </w:r>
      <w:r>
        <w:t xml:space="preserve"> </w:t>
      </w:r>
    </w:p>
    <w:p w14:paraId="653B2204" w14:textId="77777777" w:rsidR="005861A9" w:rsidRPr="005861A9" w:rsidRDefault="003649B8" w:rsidP="002F06FE">
      <w:pPr>
        <w:pStyle w:val="ListParagraph"/>
        <w:numPr>
          <w:ilvl w:val="0"/>
          <w:numId w:val="19"/>
        </w:numPr>
        <w:spacing w:before="240" w:after="0" w:line="252" w:lineRule="auto"/>
        <w:rPr>
          <w:rFonts w:eastAsia="Segoe UI" w:cs="Segoe UI"/>
          <w:color w:val="000000" w:themeColor="text1"/>
          <w:sz w:val="28"/>
          <w:szCs w:val="28"/>
        </w:rPr>
      </w:pPr>
      <w:r>
        <w:rPr>
          <w:rFonts w:eastAsia="Segoe UI" w:cs="Segoe UI"/>
          <w:color w:val="000000" w:themeColor="text1"/>
        </w:rPr>
        <w:lastRenderedPageBreak/>
        <w:t>m</w:t>
      </w:r>
      <w:r w:rsidRPr="6E77CAC2">
        <w:rPr>
          <w:rFonts w:eastAsia="Segoe UI" w:cs="Segoe UI"/>
          <w:color w:val="000000" w:themeColor="text1"/>
        </w:rPr>
        <w:t>ake p</w:t>
      </w:r>
      <w:r w:rsidRPr="007247D8">
        <w:rPr>
          <w:rFonts w:eastAsia="Segoe UI" w:cs="Segoe UI"/>
          <w:color w:val="000000" w:themeColor="text1"/>
        </w:rPr>
        <w:t>l</w:t>
      </w:r>
      <w:r w:rsidRPr="00836990">
        <w:t>a</w:t>
      </w:r>
      <w:r w:rsidRPr="007247D8">
        <w:rPr>
          <w:rFonts w:eastAsia="Segoe UI" w:cs="Segoe UI"/>
          <w:color w:val="000000" w:themeColor="text1"/>
        </w:rPr>
        <w:t xml:space="preserve">in language </w:t>
      </w:r>
      <w:r w:rsidRPr="005861A9">
        <w:t>summaries</w:t>
      </w:r>
      <w:r w:rsidRPr="007247D8">
        <w:rPr>
          <w:rFonts w:eastAsia="Segoe UI" w:cs="Segoe UI"/>
          <w:color w:val="000000" w:themeColor="text1"/>
        </w:rPr>
        <w:t xml:space="preserve"> of </w:t>
      </w:r>
      <w:r w:rsidRPr="001040A1">
        <w:rPr>
          <w:rFonts w:eastAsia="Segoe UI" w:cs="Segoe UI"/>
          <w:color w:val="000000" w:themeColor="text1"/>
        </w:rPr>
        <w:t>Pharmaceutical Benefits Advisory Committee (PBAC)</w:t>
      </w:r>
      <w:r w:rsidRPr="001040A1" w:rsidDel="001040A1">
        <w:rPr>
          <w:rFonts w:eastAsia="Segoe UI" w:cs="Segoe UI"/>
          <w:color w:val="000000" w:themeColor="text1"/>
        </w:rPr>
        <w:t xml:space="preserve"> </w:t>
      </w:r>
      <w:r w:rsidRPr="007247D8">
        <w:rPr>
          <w:rFonts w:eastAsia="Segoe UI" w:cs="Segoe UI"/>
          <w:color w:val="000000" w:themeColor="text1"/>
        </w:rPr>
        <w:t xml:space="preserve">submissions available at the same time as the PBAC agenda. </w:t>
      </w:r>
      <w:r w:rsidRPr="00FE50A8">
        <w:rPr>
          <w:rFonts w:eastAsia="Segoe UI" w:cs="Segoe UI"/>
          <w:color w:val="000000" w:themeColor="text1"/>
        </w:rPr>
        <w:t>The summaries would have to be developed in collaboration between sponsors and the Department</w:t>
      </w:r>
      <w:r>
        <w:rPr>
          <w:rFonts w:eastAsia="Segoe UI" w:cs="Segoe UI"/>
          <w:color w:val="000000" w:themeColor="text1"/>
        </w:rPr>
        <w:t xml:space="preserve"> </w:t>
      </w:r>
      <w:r>
        <w:t>of Health and Aged Care</w:t>
      </w:r>
      <w:r w:rsidRPr="00FE50A8">
        <w:rPr>
          <w:rFonts w:eastAsia="Segoe UI" w:cs="Segoe UI"/>
          <w:color w:val="000000" w:themeColor="text1"/>
        </w:rPr>
        <w:t>. Information included should allow consumers (including patient communities and clinicians) to be better equipped to provide input to the HTA</w:t>
      </w:r>
      <w:r w:rsidRPr="001040A1" w:rsidDel="001040A1">
        <w:rPr>
          <w:rFonts w:eastAsia="Segoe UI" w:cs="Segoe UI"/>
          <w:color w:val="000000" w:themeColor="text1"/>
        </w:rPr>
        <w:t xml:space="preserve"> </w:t>
      </w:r>
      <w:r w:rsidRPr="00FE50A8">
        <w:rPr>
          <w:rFonts w:eastAsia="Segoe UI" w:cs="Segoe UI"/>
          <w:color w:val="000000" w:themeColor="text1"/>
        </w:rPr>
        <w:t>process. Additionally, they should provide information for patient communities to understand the expected benefit of the therapy and the proposed population, without ambiguity</w:t>
      </w:r>
      <w:r w:rsidRPr="007247D8" w:rsidDel="1FC5D2F7">
        <w:rPr>
          <w:rFonts w:eastAsia="Segoe UI" w:cs="Segoe UI"/>
          <w:color w:val="000000" w:themeColor="text1"/>
        </w:rPr>
        <w:t>.</w:t>
      </w:r>
      <w:r w:rsidRPr="007247D8">
        <w:rPr>
          <w:rFonts w:eastAsia="Segoe UI" w:cs="Segoe UI"/>
          <w:color w:val="000000" w:themeColor="text1"/>
        </w:rPr>
        <w:t xml:space="preserve"> Over time, with </w:t>
      </w:r>
      <w:r>
        <w:rPr>
          <w:rFonts w:eastAsia="Segoe UI" w:cs="Segoe UI"/>
          <w:color w:val="000000" w:themeColor="text1"/>
        </w:rPr>
        <w:t xml:space="preserve">the </w:t>
      </w:r>
      <w:r w:rsidRPr="007247D8">
        <w:rPr>
          <w:rFonts w:eastAsia="Segoe UI" w:cs="Segoe UI"/>
          <w:color w:val="000000" w:themeColor="text1"/>
        </w:rPr>
        <w:t>earlier engagement of consumers, these summaries may evolve with the consumer along the health technology pathway</w:t>
      </w:r>
    </w:p>
    <w:p w14:paraId="7A687DE7" w14:textId="4061064A" w:rsidR="003649B8" w:rsidRPr="005861A9" w:rsidRDefault="003649B8" w:rsidP="002F06FE">
      <w:pPr>
        <w:pStyle w:val="ListParagraph"/>
        <w:numPr>
          <w:ilvl w:val="0"/>
          <w:numId w:val="19"/>
        </w:numPr>
        <w:spacing w:before="240" w:after="0" w:line="252" w:lineRule="auto"/>
        <w:rPr>
          <w:rFonts w:eastAsia="Segoe UI" w:cs="Segoe UI"/>
          <w:color w:val="000000" w:themeColor="text1"/>
          <w:sz w:val="28"/>
          <w:szCs w:val="28"/>
        </w:rPr>
      </w:pPr>
      <w:r w:rsidRPr="005861A9">
        <w:rPr>
          <w:rFonts w:eastAsia="Segoe UI" w:cs="Segoe UI"/>
          <w:color w:val="000000" w:themeColor="text1"/>
        </w:rPr>
        <w:t>develop clear</w:t>
      </w:r>
      <w:r w:rsidRPr="00D01298">
        <w:t>, unambiguous and transparent description</w:t>
      </w:r>
      <w:r>
        <w:t>s</w:t>
      </w:r>
      <w:r w:rsidRPr="00D01298">
        <w:t xml:space="preserve"> of committee deliberations that can be understood by patient communities. This includes clear reasoning for recommendations </w:t>
      </w:r>
      <w:r>
        <w:t>and</w:t>
      </w:r>
      <w:r w:rsidRPr="00D01298">
        <w:t>/</w:t>
      </w:r>
      <w:r>
        <w:t>or</w:t>
      </w:r>
      <w:r w:rsidRPr="00D01298">
        <w:t xml:space="preserve"> decisions made, and factor</w:t>
      </w:r>
      <w:r>
        <w:t>s affecting</w:t>
      </w:r>
      <w:r w:rsidRPr="00D01298">
        <w:t xml:space="preserve"> decision</w:t>
      </w:r>
      <w:r>
        <w:t>s</w:t>
      </w:r>
      <w:r w:rsidRPr="00D01298">
        <w:t xml:space="preserve"> (see </w:t>
      </w:r>
      <w:r>
        <w:t>‘Recommendation 26: Developing an e</w:t>
      </w:r>
      <w:r w:rsidRPr="00D01298">
        <w:t xml:space="preserve">xplicit </w:t>
      </w:r>
      <w:r>
        <w:t>qualitative v</w:t>
      </w:r>
      <w:r w:rsidRPr="00D01298">
        <w:t xml:space="preserve">alues </w:t>
      </w:r>
      <w:r>
        <w:t>f</w:t>
      </w:r>
      <w:r w:rsidRPr="00D01298">
        <w:t>ramework</w:t>
      </w:r>
      <w:r>
        <w:t>’</w:t>
      </w:r>
      <w:r w:rsidRPr="00D01298">
        <w:t>)</w:t>
      </w:r>
      <w:r>
        <w:t xml:space="preserve"> including </w:t>
      </w:r>
      <w:r w:rsidRPr="003C6FAB">
        <w:t>enabl</w:t>
      </w:r>
      <w:r>
        <w:t>ing</w:t>
      </w:r>
      <w:r w:rsidRPr="003C6FAB">
        <w:t xml:space="preserve"> consumers to see how their input was considered and factored into the decision</w:t>
      </w:r>
      <w:r>
        <w:t>.</w:t>
      </w:r>
      <w:r w:rsidRPr="003C6FAB">
        <w:t xml:space="preserve"> </w:t>
      </w:r>
      <w:r w:rsidRPr="00D01298">
        <w:t>These should be published where possible or otherwise disseminated broadly to stakeholder groups.</w:t>
      </w:r>
    </w:p>
    <w:p w14:paraId="15B3027A" w14:textId="77777777" w:rsidR="003649B8" w:rsidRDefault="003649B8" w:rsidP="00484B58">
      <w:pPr>
        <w:pStyle w:val="Recommendation1"/>
      </w:pPr>
      <w:bookmarkStart w:id="36" w:name="_Hlk167302117"/>
      <w:r w:rsidRPr="003C6B61">
        <w:t>Improv</w:t>
      </w:r>
      <w:r>
        <w:t>ing</w:t>
      </w:r>
      <w:r w:rsidRPr="003C6B61">
        <w:t xml:space="preserve"> the HTA webpage including develop</w:t>
      </w:r>
      <w:r>
        <w:t>ing</w:t>
      </w:r>
      <w:r w:rsidRPr="003C6B61">
        <w:t xml:space="preserve"> a </w:t>
      </w:r>
      <w:r w:rsidRPr="00140C11">
        <w:t>dashboard</w:t>
      </w:r>
    </w:p>
    <w:p w14:paraId="0F72CA08" w14:textId="77777777" w:rsidR="003649B8" w:rsidRPr="00140C11" w:rsidRDefault="003649B8" w:rsidP="00304F0B">
      <w:pPr>
        <w:spacing w:before="240"/>
      </w:pPr>
      <w:r w:rsidRPr="00405FD7" w:rsidDel="002C4399">
        <w:t xml:space="preserve">The Review recommends </w:t>
      </w:r>
      <w:r>
        <w:t xml:space="preserve">that </w:t>
      </w:r>
      <w:r w:rsidRPr="00405FD7" w:rsidDel="002C4399">
        <w:t>the Australian Government:</w:t>
      </w:r>
    </w:p>
    <w:bookmarkEnd w:id="36"/>
    <w:p w14:paraId="41BD41DD" w14:textId="77777777" w:rsidR="003649B8" w:rsidRDefault="003649B8" w:rsidP="00F20014">
      <w:pPr>
        <w:pStyle w:val="ListParagraph"/>
        <w:numPr>
          <w:ilvl w:val="0"/>
          <w:numId w:val="40"/>
        </w:numPr>
        <w:spacing w:before="240" w:after="0" w:line="252" w:lineRule="auto"/>
        <w:rPr>
          <w:rFonts w:eastAsia="Segoe UI" w:cs="Segoe UI"/>
          <w:color w:val="000000" w:themeColor="text1"/>
        </w:rPr>
      </w:pPr>
      <w:r>
        <w:rPr>
          <w:rFonts w:eastAsia="Segoe UI" w:cs="Segoe UI"/>
          <w:color w:val="000000" w:themeColor="text1"/>
        </w:rPr>
        <w:t>e</w:t>
      </w:r>
      <w:r w:rsidRPr="74076169">
        <w:rPr>
          <w:rFonts w:eastAsia="Segoe UI" w:cs="Segoe UI"/>
          <w:color w:val="000000" w:themeColor="text1"/>
        </w:rPr>
        <w:t xml:space="preserve">nhance </w:t>
      </w:r>
      <w:r w:rsidRPr="7C1EF360">
        <w:rPr>
          <w:rFonts w:eastAsia="Segoe UI" w:cs="Segoe UI"/>
          <w:color w:val="000000" w:themeColor="text1"/>
        </w:rPr>
        <w:t>access</w:t>
      </w:r>
      <w:r w:rsidRPr="25028928">
        <w:rPr>
          <w:rFonts w:eastAsia="Segoe UI" w:cs="Segoe UI"/>
          <w:color w:val="000000" w:themeColor="text1"/>
        </w:rPr>
        <w:t xml:space="preserve"> </w:t>
      </w:r>
      <w:r w:rsidRPr="16ECDFD5">
        <w:rPr>
          <w:rFonts w:eastAsia="Segoe UI" w:cs="Segoe UI"/>
          <w:color w:val="000000" w:themeColor="text1"/>
        </w:rPr>
        <w:t>to</w:t>
      </w:r>
      <w:r w:rsidRPr="2CD1F26A">
        <w:rPr>
          <w:rFonts w:eastAsia="Segoe UI" w:cs="Segoe UI"/>
          <w:color w:val="000000" w:themeColor="text1"/>
        </w:rPr>
        <w:t xml:space="preserve"> </w:t>
      </w:r>
      <w:r>
        <w:rPr>
          <w:rFonts w:eastAsia="Segoe UI" w:cs="Segoe UI"/>
          <w:color w:val="000000" w:themeColor="text1"/>
        </w:rPr>
        <w:t xml:space="preserve">information about </w:t>
      </w:r>
      <w:r w:rsidRPr="0D59C917">
        <w:rPr>
          <w:rFonts w:eastAsia="Segoe UI" w:cs="Segoe UI"/>
          <w:color w:val="000000" w:themeColor="text1"/>
        </w:rPr>
        <w:t>process</w:t>
      </w:r>
      <w:r>
        <w:rPr>
          <w:rFonts w:eastAsia="Segoe UI" w:cs="Segoe UI"/>
          <w:color w:val="000000" w:themeColor="text1"/>
        </w:rPr>
        <w:t>es</w:t>
      </w:r>
      <w:r w:rsidRPr="0D59C917">
        <w:rPr>
          <w:rFonts w:eastAsia="Segoe UI" w:cs="Segoe UI"/>
          <w:color w:val="000000" w:themeColor="text1"/>
        </w:rPr>
        <w:t>, polic</w:t>
      </w:r>
      <w:r>
        <w:rPr>
          <w:rFonts w:eastAsia="Segoe UI" w:cs="Segoe UI"/>
          <w:color w:val="000000" w:themeColor="text1"/>
        </w:rPr>
        <w:t>ies</w:t>
      </w:r>
      <w:r w:rsidRPr="0D59C917">
        <w:rPr>
          <w:rFonts w:eastAsia="Segoe UI" w:cs="Segoe UI"/>
          <w:color w:val="000000" w:themeColor="text1"/>
        </w:rPr>
        <w:t xml:space="preserve"> and </w:t>
      </w:r>
      <w:r w:rsidRPr="0C45ED5B">
        <w:rPr>
          <w:rFonts w:eastAsia="Segoe UI" w:cs="Segoe UI"/>
          <w:color w:val="000000" w:themeColor="text1"/>
        </w:rPr>
        <w:t>decision</w:t>
      </w:r>
      <w:r>
        <w:rPr>
          <w:rFonts w:eastAsia="Segoe UI" w:cs="Segoe UI"/>
          <w:color w:val="000000" w:themeColor="text1"/>
        </w:rPr>
        <w:t>s</w:t>
      </w:r>
      <w:r w:rsidRPr="0C45ED5B">
        <w:rPr>
          <w:rFonts w:eastAsia="Segoe UI" w:cs="Segoe UI"/>
          <w:color w:val="000000" w:themeColor="text1"/>
        </w:rPr>
        <w:t xml:space="preserve"> </w:t>
      </w:r>
      <w:r w:rsidRPr="0D59C917">
        <w:rPr>
          <w:rFonts w:eastAsia="Segoe UI" w:cs="Segoe UI"/>
          <w:color w:val="000000" w:themeColor="text1"/>
        </w:rPr>
        <w:t>on</w:t>
      </w:r>
      <w:r>
        <w:rPr>
          <w:rFonts w:eastAsia="Segoe UI" w:cs="Segoe UI"/>
          <w:color w:val="000000" w:themeColor="text1"/>
        </w:rPr>
        <w:t xml:space="preserve"> the </w:t>
      </w:r>
      <w:r w:rsidRPr="001040A1">
        <w:rPr>
          <w:rFonts w:eastAsia="Segoe UI" w:cs="Segoe UI"/>
          <w:color w:val="000000" w:themeColor="text1"/>
        </w:rPr>
        <w:t>HTA</w:t>
      </w:r>
      <w:r w:rsidRPr="001040A1" w:rsidDel="001040A1">
        <w:rPr>
          <w:rFonts w:eastAsia="Segoe UI" w:cs="Segoe UI"/>
          <w:color w:val="000000" w:themeColor="text1"/>
        </w:rPr>
        <w:t xml:space="preserve"> </w:t>
      </w:r>
      <w:r w:rsidRPr="0D59C917">
        <w:rPr>
          <w:rFonts w:eastAsia="Segoe UI" w:cs="Segoe UI"/>
          <w:color w:val="000000" w:themeColor="text1"/>
        </w:rPr>
        <w:t xml:space="preserve">website </w:t>
      </w:r>
      <w:r w:rsidRPr="25028928">
        <w:rPr>
          <w:rFonts w:eastAsia="Segoe UI" w:cs="Segoe UI"/>
          <w:color w:val="000000" w:themeColor="text1"/>
        </w:rPr>
        <w:t>by</w:t>
      </w:r>
      <w:r w:rsidRPr="51D41E80">
        <w:rPr>
          <w:rFonts w:eastAsia="Segoe UI" w:cs="Segoe UI"/>
          <w:color w:val="000000" w:themeColor="text1"/>
        </w:rPr>
        <w:t xml:space="preserve">: </w:t>
      </w:r>
    </w:p>
    <w:p w14:paraId="14949487" w14:textId="77777777" w:rsidR="003649B8" w:rsidRDefault="003649B8" w:rsidP="00F20014">
      <w:pPr>
        <w:pStyle w:val="ListParagraph"/>
        <w:numPr>
          <w:ilvl w:val="1"/>
          <w:numId w:val="40"/>
        </w:numPr>
        <w:spacing w:before="0" w:after="0" w:line="252" w:lineRule="auto"/>
        <w:rPr>
          <w:rFonts w:eastAsia="Segoe UI" w:cs="Segoe UI"/>
          <w:color w:val="000000" w:themeColor="text1"/>
        </w:rPr>
      </w:pPr>
      <w:r>
        <w:rPr>
          <w:rFonts w:eastAsia="Segoe UI" w:cs="Segoe UI"/>
          <w:color w:val="000000" w:themeColor="text1"/>
        </w:rPr>
        <w:t>i</w:t>
      </w:r>
      <w:r w:rsidRPr="291197A8">
        <w:rPr>
          <w:rFonts w:eastAsia="Segoe UI" w:cs="Segoe UI"/>
          <w:color w:val="000000" w:themeColor="text1"/>
        </w:rPr>
        <w:t xml:space="preserve">mproving </w:t>
      </w:r>
      <w:r w:rsidRPr="291197A8" w:rsidDel="056FCB11">
        <w:rPr>
          <w:rFonts w:eastAsia="Segoe UI" w:cs="Segoe UI"/>
          <w:color w:val="000000" w:themeColor="text1"/>
        </w:rPr>
        <w:t>navigation</w:t>
      </w:r>
    </w:p>
    <w:p w14:paraId="2312BF55" w14:textId="77777777" w:rsidR="003649B8" w:rsidRDefault="003649B8" w:rsidP="00F20014">
      <w:pPr>
        <w:pStyle w:val="ListParagraph"/>
        <w:numPr>
          <w:ilvl w:val="1"/>
          <w:numId w:val="40"/>
        </w:numPr>
        <w:spacing w:before="0" w:after="0" w:line="252" w:lineRule="auto"/>
        <w:rPr>
          <w:rFonts w:eastAsia="Segoe UI" w:cs="Segoe UI"/>
          <w:color w:val="000000" w:themeColor="text1"/>
        </w:rPr>
      </w:pPr>
      <w:r>
        <w:rPr>
          <w:rFonts w:eastAsia="Segoe UI" w:cs="Segoe UI"/>
          <w:color w:val="000000" w:themeColor="text1"/>
        </w:rPr>
        <w:t>u</w:t>
      </w:r>
      <w:r w:rsidRPr="130B60A5">
        <w:rPr>
          <w:rFonts w:eastAsia="Segoe UI" w:cs="Segoe UI"/>
          <w:color w:val="000000" w:themeColor="text1"/>
        </w:rPr>
        <w:t xml:space="preserve">sing </w:t>
      </w:r>
      <w:r w:rsidRPr="0D4528AE">
        <w:rPr>
          <w:rFonts w:eastAsia="Segoe UI" w:cs="Segoe UI"/>
          <w:color w:val="000000" w:themeColor="text1"/>
        </w:rPr>
        <w:t>accessible</w:t>
      </w:r>
      <w:r w:rsidRPr="130B60A5">
        <w:rPr>
          <w:rFonts w:eastAsia="Segoe UI" w:cs="Segoe UI"/>
          <w:color w:val="000000" w:themeColor="text1"/>
        </w:rPr>
        <w:t xml:space="preserve"> language</w:t>
      </w:r>
    </w:p>
    <w:p w14:paraId="2142F3E0" w14:textId="77777777" w:rsidR="003649B8" w:rsidRDefault="003649B8" w:rsidP="00F20014">
      <w:pPr>
        <w:pStyle w:val="ListParagraph"/>
        <w:numPr>
          <w:ilvl w:val="1"/>
          <w:numId w:val="40"/>
        </w:numPr>
        <w:spacing w:before="0" w:after="0" w:line="252" w:lineRule="auto"/>
        <w:rPr>
          <w:rFonts w:eastAsia="Segoe UI" w:cs="Segoe UI"/>
          <w:color w:val="000000" w:themeColor="text1"/>
        </w:rPr>
      </w:pPr>
      <w:r>
        <w:rPr>
          <w:rFonts w:eastAsia="Segoe UI" w:cs="Segoe UI"/>
          <w:color w:val="000000" w:themeColor="text1"/>
        </w:rPr>
        <w:t>t</w:t>
      </w:r>
      <w:r w:rsidRPr="4B14D880">
        <w:rPr>
          <w:rFonts w:eastAsia="Segoe UI" w:cs="Segoe UI"/>
          <w:color w:val="000000" w:themeColor="text1"/>
        </w:rPr>
        <w:t>ailoring information to specific stakeholder groups where appropriate</w:t>
      </w:r>
      <w:r>
        <w:rPr>
          <w:rFonts w:eastAsia="Segoe UI" w:cs="Segoe UI"/>
          <w:color w:val="000000" w:themeColor="text1"/>
        </w:rPr>
        <w:t>;</w:t>
      </w:r>
      <w:r w:rsidRPr="4B14D880">
        <w:rPr>
          <w:rFonts w:eastAsia="Segoe UI" w:cs="Segoe UI"/>
          <w:color w:val="000000" w:themeColor="text1"/>
        </w:rPr>
        <w:t xml:space="preserve"> </w:t>
      </w:r>
      <w:r>
        <w:rPr>
          <w:rFonts w:eastAsia="Segoe UI" w:cs="Segoe UI"/>
          <w:color w:val="000000" w:themeColor="text1"/>
        </w:rPr>
        <w:t xml:space="preserve">for example, </w:t>
      </w:r>
      <w:r w:rsidRPr="4B14D880">
        <w:rPr>
          <w:rFonts w:eastAsia="Segoe UI" w:cs="Segoe UI"/>
          <w:color w:val="000000" w:themeColor="text1"/>
        </w:rPr>
        <w:t>clinician</w:t>
      </w:r>
      <w:r>
        <w:rPr>
          <w:rFonts w:eastAsia="Segoe UI" w:cs="Segoe UI"/>
          <w:color w:val="000000" w:themeColor="text1"/>
        </w:rPr>
        <w:t>s</w:t>
      </w:r>
      <w:r w:rsidRPr="4B14D880">
        <w:rPr>
          <w:rFonts w:eastAsia="Segoe UI" w:cs="Segoe UI"/>
          <w:color w:val="000000" w:themeColor="text1"/>
        </w:rPr>
        <w:t>, consumer</w:t>
      </w:r>
      <w:r>
        <w:rPr>
          <w:rFonts w:eastAsia="Segoe UI" w:cs="Segoe UI"/>
          <w:color w:val="000000" w:themeColor="text1"/>
        </w:rPr>
        <w:t>s</w:t>
      </w:r>
      <w:r w:rsidRPr="4B14D880">
        <w:rPr>
          <w:rFonts w:eastAsia="Segoe UI" w:cs="Segoe UI"/>
          <w:color w:val="000000" w:themeColor="text1"/>
        </w:rPr>
        <w:t xml:space="preserve">, health organisations, individual patients and carers, industry </w:t>
      </w:r>
      <w:r>
        <w:rPr>
          <w:rFonts w:eastAsia="Segoe UI" w:cs="Segoe UI"/>
          <w:color w:val="000000" w:themeColor="text1"/>
        </w:rPr>
        <w:t xml:space="preserve">and </w:t>
      </w:r>
      <w:r w:rsidRPr="4B14D880">
        <w:rPr>
          <w:rFonts w:eastAsia="Segoe UI" w:cs="Segoe UI"/>
          <w:color w:val="000000" w:themeColor="text1"/>
        </w:rPr>
        <w:t>sponsors</w:t>
      </w:r>
    </w:p>
    <w:p w14:paraId="2092A39B" w14:textId="51833432" w:rsidR="003649B8" w:rsidRPr="00B42633" w:rsidRDefault="003649B8" w:rsidP="00F20014">
      <w:pPr>
        <w:pStyle w:val="ListParagraph"/>
        <w:numPr>
          <w:ilvl w:val="1"/>
          <w:numId w:val="40"/>
        </w:numPr>
        <w:spacing w:before="0" w:after="0" w:line="252" w:lineRule="auto"/>
        <w:rPr>
          <w:rFonts w:eastAsia="Segoe UI" w:cs="Segoe UI"/>
          <w:color w:val="000000" w:themeColor="text1"/>
        </w:rPr>
      </w:pPr>
      <w:r>
        <w:rPr>
          <w:rFonts w:eastAsia="Segoe UI" w:cs="Segoe UI"/>
          <w:color w:val="000000" w:themeColor="text1"/>
        </w:rPr>
        <w:t>p</w:t>
      </w:r>
      <w:r w:rsidRPr="4B14D880">
        <w:rPr>
          <w:rFonts w:eastAsia="Segoe UI" w:cs="Segoe UI"/>
          <w:color w:val="000000" w:themeColor="text1"/>
        </w:rPr>
        <w:t>resenting information in a variety of formats, using aids such as case studies and infographics to explain complex topics to stakeholders with differing levels of HTA experience</w:t>
      </w:r>
      <w:r w:rsidR="006F7060">
        <w:rPr>
          <w:rFonts w:eastAsia="Segoe UI" w:cs="Segoe UI"/>
          <w:color w:val="000000" w:themeColor="text1"/>
        </w:rPr>
        <w:t>.</w:t>
      </w:r>
    </w:p>
    <w:p w14:paraId="349B32DF" w14:textId="77777777" w:rsidR="003649B8" w:rsidRDefault="003649B8" w:rsidP="00F20014">
      <w:pPr>
        <w:pStyle w:val="ListParagraph"/>
        <w:numPr>
          <w:ilvl w:val="0"/>
          <w:numId w:val="40"/>
        </w:numPr>
        <w:spacing w:before="0" w:after="0" w:line="252" w:lineRule="auto"/>
        <w:rPr>
          <w:rFonts w:eastAsia="Segoe UI" w:cs="Segoe UI"/>
          <w:color w:val="000000" w:themeColor="text1"/>
        </w:rPr>
      </w:pPr>
      <w:r>
        <w:rPr>
          <w:rFonts w:eastAsia="Segoe UI" w:cs="Segoe UI"/>
          <w:color w:val="000000" w:themeColor="text1"/>
        </w:rPr>
        <w:t>d</w:t>
      </w:r>
      <w:r w:rsidRPr="04008C28">
        <w:rPr>
          <w:rFonts w:eastAsia="Segoe UI" w:cs="Segoe UI"/>
          <w:color w:val="000000" w:themeColor="text1"/>
        </w:rPr>
        <w:t>evelop a user</w:t>
      </w:r>
      <w:r>
        <w:rPr>
          <w:rFonts w:eastAsia="Segoe UI" w:cs="Segoe UI"/>
          <w:color w:val="000000" w:themeColor="text1"/>
        </w:rPr>
        <w:t>-</w:t>
      </w:r>
      <w:r w:rsidRPr="04008C28">
        <w:rPr>
          <w:rFonts w:eastAsia="Segoe UI" w:cs="Segoe UI"/>
          <w:color w:val="000000" w:themeColor="text1"/>
        </w:rPr>
        <w:t>friendly, data</w:t>
      </w:r>
      <w:r>
        <w:rPr>
          <w:rFonts w:eastAsia="Segoe UI" w:cs="Segoe UI"/>
          <w:color w:val="000000" w:themeColor="text1"/>
        </w:rPr>
        <w:t>-</w:t>
      </w:r>
      <w:r w:rsidRPr="04008C28">
        <w:rPr>
          <w:rFonts w:eastAsia="Segoe UI" w:cs="Segoe UI"/>
          <w:color w:val="000000" w:themeColor="text1"/>
        </w:rPr>
        <w:t xml:space="preserve">driven, online information platform </w:t>
      </w:r>
      <w:r w:rsidRPr="4B14D880">
        <w:rPr>
          <w:rFonts w:eastAsia="Segoe UI" w:cs="Segoe UI"/>
          <w:color w:val="000000" w:themeColor="text1"/>
        </w:rPr>
        <w:t>that makes it easier to find out about HTA processes, outcomes and performance</w:t>
      </w:r>
      <w:r>
        <w:rPr>
          <w:rFonts w:eastAsia="Segoe UI" w:cs="Segoe UI"/>
          <w:color w:val="000000" w:themeColor="text1"/>
        </w:rPr>
        <w:t xml:space="preserve">, and </w:t>
      </w:r>
      <w:r w:rsidRPr="760B44C9">
        <w:rPr>
          <w:rFonts w:eastAsia="Segoe UI" w:cs="Segoe UI"/>
          <w:color w:val="000000" w:themeColor="text1"/>
        </w:rPr>
        <w:t>include</w:t>
      </w:r>
      <w:r>
        <w:rPr>
          <w:rFonts w:eastAsia="Segoe UI" w:cs="Segoe UI"/>
          <w:color w:val="000000" w:themeColor="text1"/>
        </w:rPr>
        <w:t>s</w:t>
      </w:r>
      <w:r w:rsidRPr="760B44C9">
        <w:rPr>
          <w:rFonts w:eastAsia="Segoe UI" w:cs="Segoe UI"/>
          <w:color w:val="000000" w:themeColor="text1"/>
        </w:rPr>
        <w:t xml:space="preserve">: </w:t>
      </w:r>
    </w:p>
    <w:p w14:paraId="40FB6C61" w14:textId="77777777" w:rsidR="003649B8" w:rsidRDefault="003649B8" w:rsidP="00F20014">
      <w:pPr>
        <w:pStyle w:val="ListParagraph"/>
        <w:numPr>
          <w:ilvl w:val="1"/>
          <w:numId w:val="40"/>
        </w:numPr>
        <w:spacing w:before="0" w:after="0" w:line="252" w:lineRule="auto"/>
        <w:rPr>
          <w:rFonts w:eastAsia="Segoe UI" w:cs="Segoe UI"/>
          <w:color w:val="000000" w:themeColor="text1"/>
        </w:rPr>
      </w:pPr>
      <w:r w:rsidRPr="04008C28">
        <w:rPr>
          <w:rFonts w:eastAsia="Segoe UI" w:cs="Segoe UI"/>
          <w:color w:val="000000" w:themeColor="text1"/>
        </w:rPr>
        <w:t>a visual data dashboard for statistics and metrics</w:t>
      </w:r>
    </w:p>
    <w:p w14:paraId="08799723" w14:textId="77777777" w:rsidR="003649B8" w:rsidRDefault="003649B8" w:rsidP="00F20014">
      <w:pPr>
        <w:pStyle w:val="ListParagraph"/>
        <w:numPr>
          <w:ilvl w:val="1"/>
          <w:numId w:val="40"/>
        </w:numPr>
        <w:spacing w:before="0" w:after="0" w:line="252" w:lineRule="auto"/>
        <w:rPr>
          <w:rFonts w:eastAsia="Segoe UI" w:cs="Segoe UI"/>
          <w:color w:val="000000" w:themeColor="text1"/>
        </w:rPr>
      </w:pPr>
      <w:r w:rsidRPr="04008C28">
        <w:rPr>
          <w:rFonts w:eastAsia="Segoe UI" w:cs="Segoe UI"/>
          <w:color w:val="000000" w:themeColor="text1"/>
        </w:rPr>
        <w:t xml:space="preserve">information </w:t>
      </w:r>
      <w:r w:rsidRPr="760B44C9">
        <w:rPr>
          <w:rFonts w:eastAsia="Segoe UI" w:cs="Segoe UI"/>
          <w:color w:val="000000" w:themeColor="text1"/>
        </w:rPr>
        <w:t xml:space="preserve">on </w:t>
      </w:r>
      <w:r w:rsidRPr="04008C28">
        <w:rPr>
          <w:rFonts w:eastAsia="Segoe UI" w:cs="Segoe UI"/>
          <w:color w:val="000000" w:themeColor="text1"/>
        </w:rPr>
        <w:t>individual therap</w:t>
      </w:r>
      <w:r w:rsidRPr="760B44C9">
        <w:rPr>
          <w:rFonts w:eastAsia="Segoe UI" w:cs="Segoe UI"/>
          <w:color w:val="000000" w:themeColor="text1"/>
        </w:rPr>
        <w:t>ies</w:t>
      </w:r>
      <w:r w:rsidRPr="04008C28">
        <w:rPr>
          <w:rFonts w:eastAsia="Segoe UI" w:cs="Segoe UI"/>
          <w:color w:val="000000" w:themeColor="text1"/>
        </w:rPr>
        <w:t xml:space="preserve"> at each decision point</w:t>
      </w:r>
      <w:r>
        <w:rPr>
          <w:rFonts w:eastAsia="Segoe UI" w:cs="Segoe UI"/>
          <w:color w:val="000000" w:themeColor="text1"/>
        </w:rPr>
        <w:t xml:space="preserve"> or</w:t>
      </w:r>
      <w:r w:rsidRPr="04008C28">
        <w:rPr>
          <w:rFonts w:eastAsia="Segoe UI" w:cs="Segoe UI"/>
          <w:color w:val="000000" w:themeColor="text1"/>
        </w:rPr>
        <w:t xml:space="preserve"> key milestone</w:t>
      </w:r>
    </w:p>
    <w:p w14:paraId="3BA7E1A6" w14:textId="77777777" w:rsidR="003649B8" w:rsidRDefault="003649B8" w:rsidP="00F20014">
      <w:pPr>
        <w:pStyle w:val="ListParagraph"/>
        <w:numPr>
          <w:ilvl w:val="1"/>
          <w:numId w:val="40"/>
        </w:numPr>
        <w:spacing w:before="0" w:after="0" w:line="252" w:lineRule="auto"/>
        <w:rPr>
          <w:rFonts w:eastAsia="Segoe UI" w:cs="Segoe UI"/>
          <w:color w:val="000000" w:themeColor="text1"/>
        </w:rPr>
      </w:pPr>
      <w:r>
        <w:rPr>
          <w:rFonts w:eastAsia="Segoe UI" w:cs="Segoe UI"/>
          <w:color w:val="000000" w:themeColor="text1"/>
        </w:rPr>
        <w:t>c</w:t>
      </w:r>
      <w:r w:rsidRPr="760B44C9">
        <w:rPr>
          <w:rFonts w:eastAsia="Segoe UI" w:cs="Segoe UI"/>
          <w:color w:val="000000" w:themeColor="text1"/>
        </w:rPr>
        <w:t>lear reason</w:t>
      </w:r>
      <w:r>
        <w:rPr>
          <w:rFonts w:eastAsia="Segoe UI" w:cs="Segoe UI"/>
          <w:color w:val="000000" w:themeColor="text1"/>
        </w:rPr>
        <w:t>s</w:t>
      </w:r>
      <w:r w:rsidRPr="760B44C9">
        <w:rPr>
          <w:rFonts w:eastAsia="Segoe UI" w:cs="Segoe UI"/>
          <w:color w:val="000000" w:themeColor="text1"/>
        </w:rPr>
        <w:t xml:space="preserve"> </w:t>
      </w:r>
      <w:r w:rsidRPr="04008C28">
        <w:rPr>
          <w:rFonts w:eastAsia="Segoe UI" w:cs="Segoe UI"/>
          <w:color w:val="000000" w:themeColor="text1"/>
        </w:rPr>
        <w:t xml:space="preserve">for delays or decisions (including those made by </w:t>
      </w:r>
      <w:r>
        <w:rPr>
          <w:rFonts w:eastAsia="Segoe UI" w:cs="Segoe UI"/>
          <w:color w:val="000000" w:themeColor="text1"/>
        </w:rPr>
        <w:t xml:space="preserve">the </w:t>
      </w:r>
      <w:r w:rsidRPr="04008C28">
        <w:rPr>
          <w:rFonts w:eastAsia="Segoe UI" w:cs="Segoe UI"/>
          <w:color w:val="000000" w:themeColor="text1"/>
        </w:rPr>
        <w:t xml:space="preserve">Government and </w:t>
      </w:r>
      <w:r>
        <w:rPr>
          <w:rFonts w:eastAsia="Segoe UI" w:cs="Segoe UI"/>
          <w:color w:val="000000" w:themeColor="text1"/>
        </w:rPr>
        <w:t>s</w:t>
      </w:r>
      <w:r w:rsidRPr="04008C28">
        <w:rPr>
          <w:rFonts w:eastAsia="Segoe UI" w:cs="Segoe UI"/>
          <w:color w:val="000000" w:themeColor="text1"/>
        </w:rPr>
        <w:t>ponsors)</w:t>
      </w:r>
      <w:r>
        <w:rPr>
          <w:rFonts w:eastAsia="Segoe UI" w:cs="Segoe UI"/>
          <w:color w:val="000000" w:themeColor="text1"/>
        </w:rPr>
        <w:t xml:space="preserve"> </w:t>
      </w:r>
      <w:r w:rsidRPr="760B44C9">
        <w:rPr>
          <w:rFonts w:eastAsia="Segoe UI" w:cs="Segoe UI"/>
          <w:color w:val="000000" w:themeColor="text1"/>
        </w:rPr>
        <w:t>including:</w:t>
      </w:r>
    </w:p>
    <w:p w14:paraId="32885F2B" w14:textId="77777777" w:rsidR="003649B8" w:rsidRDefault="003649B8" w:rsidP="00F20014">
      <w:pPr>
        <w:pStyle w:val="ListParagraph"/>
        <w:numPr>
          <w:ilvl w:val="2"/>
          <w:numId w:val="40"/>
        </w:numPr>
        <w:spacing w:before="0" w:after="0" w:line="252" w:lineRule="auto"/>
        <w:rPr>
          <w:rFonts w:eastAsia="Segoe UI" w:cs="Segoe UI"/>
          <w:color w:val="000000" w:themeColor="text1"/>
        </w:rPr>
      </w:pPr>
      <w:r w:rsidRPr="111E457D">
        <w:rPr>
          <w:rFonts w:eastAsia="Segoe UI" w:cs="Segoe UI"/>
          <w:color w:val="000000" w:themeColor="text1"/>
        </w:rPr>
        <w:lastRenderedPageBreak/>
        <w:t>standardised</w:t>
      </w:r>
      <w:r w:rsidRPr="04008C28">
        <w:rPr>
          <w:rFonts w:eastAsia="Segoe UI" w:cs="Segoe UI"/>
          <w:color w:val="000000" w:themeColor="text1"/>
        </w:rPr>
        <w:t xml:space="preserve"> reasons for </w:t>
      </w:r>
      <w:r w:rsidRPr="004671F8">
        <w:rPr>
          <w:rFonts w:eastAsia="Segoe UI" w:cs="Segoe UI"/>
          <w:color w:val="000000" w:themeColor="text1"/>
        </w:rPr>
        <w:t xml:space="preserve">Pharmaceutical Benefits Advisory Committee (PBAC) </w:t>
      </w:r>
      <w:r w:rsidRPr="04008C28">
        <w:rPr>
          <w:rFonts w:eastAsia="Segoe UI" w:cs="Segoe UI"/>
          <w:color w:val="000000" w:themeColor="text1"/>
        </w:rPr>
        <w:t>outcome</w:t>
      </w:r>
      <w:r>
        <w:rPr>
          <w:rFonts w:eastAsia="Segoe UI" w:cs="Segoe UI"/>
          <w:color w:val="000000" w:themeColor="text1"/>
        </w:rPr>
        <w:t>s for</w:t>
      </w:r>
      <w:r w:rsidRPr="04008C28">
        <w:rPr>
          <w:rFonts w:eastAsia="Segoe UI" w:cs="Segoe UI"/>
          <w:color w:val="000000" w:themeColor="text1"/>
        </w:rPr>
        <w:t xml:space="preserve"> non-recommended </w:t>
      </w:r>
      <w:r w:rsidRPr="46401BC7">
        <w:rPr>
          <w:rFonts w:eastAsia="Segoe UI" w:cs="Segoe UI"/>
          <w:color w:val="000000" w:themeColor="text1"/>
        </w:rPr>
        <w:t>therap</w:t>
      </w:r>
      <w:r>
        <w:rPr>
          <w:rFonts w:eastAsia="Segoe UI" w:cs="Segoe UI"/>
          <w:color w:val="000000" w:themeColor="text1"/>
        </w:rPr>
        <w:t>ies</w:t>
      </w:r>
      <w:r w:rsidRPr="46401BC7">
        <w:rPr>
          <w:rFonts w:eastAsia="Segoe UI" w:cs="Segoe UI"/>
          <w:color w:val="000000" w:themeColor="text1"/>
        </w:rPr>
        <w:t xml:space="preserve"> </w:t>
      </w:r>
      <w:r w:rsidRPr="04008C28">
        <w:rPr>
          <w:rFonts w:eastAsia="Segoe UI" w:cs="Segoe UI"/>
          <w:color w:val="000000" w:themeColor="text1"/>
        </w:rPr>
        <w:t>(can be multiple reasons)</w:t>
      </w:r>
    </w:p>
    <w:p w14:paraId="34B7C180" w14:textId="77777777" w:rsidR="003649B8" w:rsidRDefault="003649B8" w:rsidP="00F20014">
      <w:pPr>
        <w:pStyle w:val="ListParagraph"/>
        <w:numPr>
          <w:ilvl w:val="2"/>
          <w:numId w:val="40"/>
        </w:numPr>
        <w:spacing w:before="0" w:after="0" w:line="252" w:lineRule="auto"/>
        <w:rPr>
          <w:rFonts w:eastAsia="Segoe UI" w:cs="Segoe UI"/>
          <w:color w:val="000000" w:themeColor="text1"/>
        </w:rPr>
      </w:pPr>
      <w:r>
        <w:rPr>
          <w:rFonts w:eastAsia="Segoe UI" w:cs="Segoe UI"/>
          <w:color w:val="000000" w:themeColor="text1"/>
        </w:rPr>
        <w:t>s</w:t>
      </w:r>
      <w:r w:rsidRPr="04008C28">
        <w:rPr>
          <w:rFonts w:eastAsia="Segoe UI" w:cs="Segoe UI"/>
          <w:color w:val="000000" w:themeColor="text1"/>
        </w:rPr>
        <w:t>tandardised reasons for delay</w:t>
      </w:r>
      <w:r>
        <w:rPr>
          <w:rFonts w:eastAsia="Segoe UI" w:cs="Segoe UI"/>
          <w:color w:val="000000" w:themeColor="text1"/>
        </w:rPr>
        <w:t>s</w:t>
      </w:r>
      <w:r w:rsidRPr="04008C28">
        <w:rPr>
          <w:rFonts w:eastAsia="Segoe UI" w:cs="Segoe UI"/>
          <w:color w:val="000000" w:themeColor="text1"/>
        </w:rPr>
        <w:t xml:space="preserve"> in listing therap</w:t>
      </w:r>
      <w:r>
        <w:rPr>
          <w:rFonts w:eastAsia="Segoe UI" w:cs="Segoe UI"/>
          <w:color w:val="000000" w:themeColor="text1"/>
        </w:rPr>
        <w:t>ies</w:t>
      </w:r>
      <w:r w:rsidRPr="04008C28">
        <w:rPr>
          <w:rFonts w:eastAsia="Segoe UI" w:cs="Segoe UI"/>
          <w:color w:val="000000" w:themeColor="text1"/>
        </w:rPr>
        <w:t xml:space="preserve"> after</w:t>
      </w:r>
      <w:r>
        <w:rPr>
          <w:rFonts w:eastAsia="Segoe UI" w:cs="Segoe UI"/>
          <w:color w:val="000000" w:themeColor="text1"/>
        </w:rPr>
        <w:t xml:space="preserve"> </w:t>
      </w:r>
      <w:r w:rsidRPr="04008C28">
        <w:rPr>
          <w:rFonts w:eastAsia="Segoe UI" w:cs="Segoe UI"/>
          <w:color w:val="000000" w:themeColor="text1"/>
        </w:rPr>
        <w:t xml:space="preserve">PBAC </w:t>
      </w:r>
      <w:r>
        <w:rPr>
          <w:rFonts w:eastAsia="Segoe UI" w:cs="Segoe UI"/>
          <w:color w:val="000000" w:themeColor="text1"/>
        </w:rPr>
        <w:t>recommendations</w:t>
      </w:r>
    </w:p>
    <w:p w14:paraId="08870CEB" w14:textId="77777777" w:rsidR="003649B8" w:rsidRDefault="003649B8" w:rsidP="00F20014">
      <w:pPr>
        <w:pStyle w:val="ListParagraph"/>
        <w:numPr>
          <w:ilvl w:val="2"/>
          <w:numId w:val="40"/>
        </w:numPr>
        <w:spacing w:before="0" w:after="0" w:line="252" w:lineRule="auto"/>
        <w:rPr>
          <w:rFonts w:eastAsia="Segoe UI" w:cs="Segoe UI"/>
          <w:color w:val="000000" w:themeColor="text1"/>
        </w:rPr>
      </w:pPr>
      <w:r>
        <w:rPr>
          <w:rFonts w:eastAsia="Segoe UI" w:cs="Segoe UI"/>
          <w:color w:val="000000" w:themeColor="text1"/>
        </w:rPr>
        <w:t>p</w:t>
      </w:r>
      <w:r w:rsidRPr="04008C28">
        <w:rPr>
          <w:rFonts w:eastAsia="Segoe UI" w:cs="Segoe UI"/>
          <w:color w:val="000000" w:themeColor="text1"/>
        </w:rPr>
        <w:t xml:space="preserve">lanned implementation timelines for </w:t>
      </w:r>
      <w:r>
        <w:rPr>
          <w:rFonts w:eastAsia="Segoe UI" w:cs="Segoe UI"/>
          <w:color w:val="000000" w:themeColor="text1"/>
        </w:rPr>
        <w:t>h</w:t>
      </w:r>
      <w:r w:rsidRPr="004671F8">
        <w:rPr>
          <w:rFonts w:eastAsia="Segoe UI" w:cs="Segoe UI"/>
          <w:color w:val="000000" w:themeColor="text1"/>
        </w:rPr>
        <w:t xml:space="preserve">ighly </w:t>
      </w:r>
      <w:r>
        <w:rPr>
          <w:rFonts w:eastAsia="Segoe UI" w:cs="Segoe UI"/>
          <w:color w:val="000000" w:themeColor="text1"/>
        </w:rPr>
        <w:t>s</w:t>
      </w:r>
      <w:r w:rsidRPr="004671F8">
        <w:rPr>
          <w:rFonts w:eastAsia="Segoe UI" w:cs="Segoe UI"/>
          <w:color w:val="000000" w:themeColor="text1"/>
        </w:rPr>
        <w:t xml:space="preserve">pecialised </w:t>
      </w:r>
      <w:r>
        <w:rPr>
          <w:rFonts w:eastAsia="Segoe UI" w:cs="Segoe UI"/>
          <w:color w:val="000000" w:themeColor="text1"/>
        </w:rPr>
        <w:t>t</w:t>
      </w:r>
      <w:r w:rsidRPr="004671F8">
        <w:rPr>
          <w:rFonts w:eastAsia="Segoe UI" w:cs="Segoe UI"/>
          <w:color w:val="000000" w:themeColor="text1"/>
        </w:rPr>
        <w:t>herap</w:t>
      </w:r>
      <w:r>
        <w:rPr>
          <w:rFonts w:eastAsia="Segoe UI" w:cs="Segoe UI"/>
          <w:color w:val="000000" w:themeColor="text1"/>
        </w:rPr>
        <w:t>ies</w:t>
      </w:r>
      <w:r w:rsidRPr="004671F8" w:rsidDel="004671F8">
        <w:rPr>
          <w:rFonts w:eastAsia="Segoe UI" w:cs="Segoe UI"/>
          <w:color w:val="000000" w:themeColor="text1"/>
        </w:rPr>
        <w:t xml:space="preserve"> </w:t>
      </w:r>
      <w:r w:rsidRPr="04008C28">
        <w:rPr>
          <w:rFonts w:eastAsia="Segoe UI" w:cs="Segoe UI"/>
          <w:color w:val="000000" w:themeColor="text1"/>
        </w:rPr>
        <w:t>(</w:t>
      </w:r>
      <w:r>
        <w:rPr>
          <w:rFonts w:eastAsia="Segoe UI" w:cs="Segoe UI"/>
          <w:color w:val="000000" w:themeColor="text1"/>
        </w:rPr>
        <w:t>see</w:t>
      </w:r>
      <w:r w:rsidRPr="003C2F37">
        <w:rPr>
          <w:rFonts w:eastAsia="Segoe UI" w:cs="Segoe UI"/>
          <w:iCs/>
          <w:color w:val="000000" w:themeColor="text1"/>
        </w:rPr>
        <w:t xml:space="preserve"> </w:t>
      </w:r>
      <w:r>
        <w:rPr>
          <w:rFonts w:eastAsia="Segoe UI" w:cs="Segoe UI"/>
          <w:iCs/>
          <w:color w:val="000000" w:themeColor="text1"/>
        </w:rPr>
        <w:t>‘</w:t>
      </w:r>
      <w:r>
        <w:rPr>
          <w:rFonts w:eastAsia="Segoe UI" w:cs="Segoe UI"/>
          <w:iCs/>
          <w:color w:val="000000" w:themeColor="text1"/>
        </w:rPr>
        <w:fldChar w:fldCharType="begin" w:fldLock="1"/>
      </w:r>
      <w:r>
        <w:rPr>
          <w:rFonts w:eastAsia="Segoe UI" w:cs="Segoe UI"/>
          <w:iCs/>
          <w:color w:val="000000" w:themeColor="text1"/>
        </w:rPr>
        <w:instrText xml:space="preserve"> REF _Ref166788898 \r \h </w:instrText>
      </w:r>
      <w:r>
        <w:rPr>
          <w:rFonts w:eastAsia="Segoe UI" w:cs="Segoe UI"/>
          <w:iCs/>
          <w:color w:val="000000" w:themeColor="text1"/>
        </w:rPr>
      </w:r>
      <w:r>
        <w:rPr>
          <w:rFonts w:eastAsia="Segoe UI" w:cs="Segoe UI"/>
          <w:iCs/>
          <w:color w:val="000000" w:themeColor="text1"/>
        </w:rPr>
        <w:fldChar w:fldCharType="separate"/>
      </w:r>
      <w:r>
        <w:rPr>
          <w:rFonts w:eastAsia="Segoe UI" w:cs="Segoe UI"/>
          <w:iCs/>
          <w:color w:val="000000" w:themeColor="text1"/>
        </w:rPr>
        <w:t>Recommendation 13</w:t>
      </w:r>
      <w:r>
        <w:rPr>
          <w:rFonts w:eastAsia="Segoe UI" w:cs="Segoe UI"/>
          <w:iCs/>
          <w:color w:val="000000" w:themeColor="text1"/>
        </w:rPr>
        <w:fldChar w:fldCharType="end"/>
      </w:r>
      <w:r>
        <w:rPr>
          <w:rFonts w:eastAsia="Segoe UI" w:cs="Segoe UI"/>
          <w:iCs/>
          <w:color w:val="000000" w:themeColor="text1"/>
        </w:rPr>
        <w:t>. Improved processes, accountability and timeliness for highly specialised therapies and other therapies co</w:t>
      </w:r>
      <w:r>
        <w:rPr>
          <w:rFonts w:eastAsia="Segoe UI" w:cs="Segoe UI"/>
          <w:iCs/>
          <w:color w:val="000000" w:themeColor="text1"/>
        </w:rPr>
        <w:noBreakHyphen/>
        <w:t>funded between the Australian and state and territory governments’</w:t>
      </w:r>
      <w:r w:rsidRPr="00B53475">
        <w:rPr>
          <w:rFonts w:eastAsia="Segoe UI" w:cs="Segoe UI"/>
          <w:i/>
          <w:color w:val="000000" w:themeColor="text1"/>
        </w:rPr>
        <w:t>),</w:t>
      </w:r>
      <w:r w:rsidRPr="04008C28">
        <w:rPr>
          <w:rFonts w:eastAsia="Segoe UI" w:cs="Segoe UI"/>
          <w:color w:val="000000" w:themeColor="text1"/>
        </w:rPr>
        <w:t xml:space="preserve"> including reasons for any delays on expected time</w:t>
      </w:r>
      <w:r>
        <w:rPr>
          <w:rFonts w:eastAsia="Segoe UI" w:cs="Segoe UI"/>
          <w:color w:val="000000" w:themeColor="text1"/>
        </w:rPr>
        <w:t xml:space="preserve"> </w:t>
      </w:r>
      <w:r w:rsidRPr="04008C28">
        <w:rPr>
          <w:rFonts w:eastAsia="Segoe UI" w:cs="Segoe UI"/>
          <w:color w:val="000000" w:themeColor="text1"/>
        </w:rPr>
        <w:t>frames.</w:t>
      </w:r>
    </w:p>
    <w:p w14:paraId="40073670" w14:textId="77777777" w:rsidR="003649B8" w:rsidRDefault="003649B8" w:rsidP="00F20014">
      <w:pPr>
        <w:pStyle w:val="ListParagraph"/>
        <w:numPr>
          <w:ilvl w:val="1"/>
          <w:numId w:val="40"/>
        </w:numPr>
        <w:spacing w:before="0" w:after="0" w:line="252" w:lineRule="auto"/>
        <w:rPr>
          <w:rFonts w:eastAsia="Segoe UI" w:cs="Segoe UI"/>
          <w:color w:val="000000" w:themeColor="text1"/>
        </w:rPr>
      </w:pPr>
      <w:r>
        <w:rPr>
          <w:rFonts w:eastAsia="Segoe UI" w:cs="Segoe UI"/>
          <w:color w:val="000000" w:themeColor="text1"/>
        </w:rPr>
        <w:t>a</w:t>
      </w:r>
      <w:r w:rsidRPr="760B44C9">
        <w:rPr>
          <w:rFonts w:eastAsia="Segoe UI" w:cs="Segoe UI"/>
          <w:color w:val="000000" w:themeColor="text1"/>
        </w:rPr>
        <w:t>ggregated</w:t>
      </w:r>
      <w:r w:rsidRPr="04008C28">
        <w:rPr>
          <w:rFonts w:eastAsia="Segoe UI" w:cs="Segoe UI"/>
          <w:color w:val="000000" w:themeColor="text1"/>
        </w:rPr>
        <w:t xml:space="preserve"> information </w:t>
      </w:r>
      <w:r>
        <w:rPr>
          <w:rFonts w:eastAsia="Segoe UI" w:cs="Segoe UI"/>
          <w:color w:val="000000" w:themeColor="text1"/>
        </w:rPr>
        <w:t>about</w:t>
      </w:r>
      <w:r w:rsidRPr="760B44C9">
        <w:rPr>
          <w:rFonts w:eastAsia="Segoe UI" w:cs="Segoe UI"/>
          <w:color w:val="000000" w:themeColor="text1"/>
        </w:rPr>
        <w:t xml:space="preserve"> </w:t>
      </w:r>
      <w:r w:rsidRPr="04008C28">
        <w:rPr>
          <w:rFonts w:eastAsia="Segoe UI" w:cs="Segoe UI"/>
          <w:color w:val="000000" w:themeColor="text1"/>
        </w:rPr>
        <w:t xml:space="preserve">timelines and decisions, such as </w:t>
      </w:r>
      <w:r>
        <w:rPr>
          <w:rFonts w:eastAsia="Segoe UI" w:cs="Segoe UI"/>
          <w:color w:val="000000" w:themeColor="text1"/>
        </w:rPr>
        <w:t xml:space="preserve">for </w:t>
      </w:r>
      <w:r w:rsidRPr="04008C28">
        <w:rPr>
          <w:rFonts w:eastAsia="Segoe UI" w:cs="Segoe UI"/>
          <w:color w:val="000000" w:themeColor="text1"/>
        </w:rPr>
        <w:t xml:space="preserve">all applications, all medicines claiming additional clinical benefit, therapies for particular indications, and classes of therapies </w:t>
      </w:r>
    </w:p>
    <w:p w14:paraId="6FC040D3" w14:textId="77777777" w:rsidR="003649B8" w:rsidRDefault="003649B8" w:rsidP="00F20014">
      <w:pPr>
        <w:pStyle w:val="ListParagraph"/>
        <w:numPr>
          <w:ilvl w:val="1"/>
          <w:numId w:val="40"/>
        </w:numPr>
        <w:spacing w:before="0" w:after="0" w:line="252" w:lineRule="auto"/>
        <w:rPr>
          <w:rFonts w:eastAsia="Segoe UI" w:cs="Segoe UI"/>
          <w:color w:val="000000" w:themeColor="text1"/>
        </w:rPr>
      </w:pPr>
      <w:r w:rsidRPr="760B44C9">
        <w:rPr>
          <w:rFonts w:eastAsia="Segoe UI" w:cs="Segoe UI"/>
          <w:color w:val="000000" w:themeColor="text1"/>
        </w:rPr>
        <w:t>capacity</w:t>
      </w:r>
      <w:r w:rsidRPr="4B14D880">
        <w:rPr>
          <w:rFonts w:eastAsia="Segoe UI" w:cs="Segoe UI"/>
          <w:color w:val="000000" w:themeColor="text1"/>
        </w:rPr>
        <w:t xml:space="preserve"> to link information for a therapy </w:t>
      </w:r>
      <w:r w:rsidRPr="04008C28">
        <w:rPr>
          <w:rFonts w:eastAsia="Segoe UI" w:cs="Segoe UI"/>
          <w:color w:val="000000" w:themeColor="text1"/>
        </w:rPr>
        <w:t xml:space="preserve">across the HTA pathway, including from the </w:t>
      </w:r>
      <w:r w:rsidRPr="00B750DD">
        <w:rPr>
          <w:rFonts w:eastAsia="Segoe UI" w:cs="Segoe UI"/>
          <w:color w:val="000000" w:themeColor="text1"/>
        </w:rPr>
        <w:t>Australian Register of Therapeutic Goods (ARTG)</w:t>
      </w:r>
      <w:r w:rsidRPr="00B750DD" w:rsidDel="00B750DD">
        <w:rPr>
          <w:rFonts w:eastAsia="Segoe UI" w:cs="Segoe UI"/>
          <w:color w:val="000000" w:themeColor="text1"/>
        </w:rPr>
        <w:t xml:space="preserve"> </w:t>
      </w:r>
      <w:r w:rsidRPr="04008C28">
        <w:rPr>
          <w:rFonts w:eastAsia="Segoe UI" w:cs="Segoe UI"/>
          <w:color w:val="000000" w:themeColor="text1"/>
        </w:rPr>
        <w:t xml:space="preserve">application to </w:t>
      </w:r>
      <w:r w:rsidRPr="000E3244">
        <w:rPr>
          <w:rFonts w:eastAsia="Segoe UI" w:cs="Segoe UI"/>
          <w:color w:val="000000" w:themeColor="text1"/>
        </w:rPr>
        <w:t>Pharmaceutical Benefits Scheme (PBS)</w:t>
      </w:r>
      <w:r w:rsidRPr="000E3244" w:rsidDel="000E3244">
        <w:rPr>
          <w:rFonts w:eastAsia="Segoe UI" w:cs="Segoe UI"/>
          <w:color w:val="000000" w:themeColor="text1"/>
        </w:rPr>
        <w:t xml:space="preserve"> </w:t>
      </w:r>
      <w:r w:rsidRPr="04008C28">
        <w:rPr>
          <w:rFonts w:eastAsia="Segoe UI" w:cs="Segoe UI"/>
          <w:color w:val="000000" w:themeColor="text1"/>
        </w:rPr>
        <w:t>listing, with consistent standardised recording of indications, populations and drug name</w:t>
      </w:r>
    </w:p>
    <w:p w14:paraId="3D83CC33" w14:textId="68738058" w:rsidR="003649B8" w:rsidRDefault="003649B8" w:rsidP="00F20014">
      <w:pPr>
        <w:pStyle w:val="ListParagraph"/>
        <w:numPr>
          <w:ilvl w:val="1"/>
          <w:numId w:val="40"/>
        </w:numPr>
        <w:spacing w:before="0" w:after="0" w:line="252" w:lineRule="auto"/>
        <w:rPr>
          <w:rFonts w:eastAsia="Segoe UI" w:cs="Segoe UI"/>
          <w:color w:val="000000" w:themeColor="text1"/>
        </w:rPr>
      </w:pPr>
      <w:r w:rsidRPr="04008C28">
        <w:rPr>
          <w:rFonts w:eastAsia="Segoe UI" w:cs="Segoe UI"/>
          <w:color w:val="000000" w:themeColor="text1"/>
        </w:rPr>
        <w:t xml:space="preserve">information about when new medicines or expanded indications are first launched globally relative to when they apply for </w:t>
      </w:r>
      <w:r w:rsidRPr="4B14D880">
        <w:rPr>
          <w:rFonts w:eastAsia="Segoe UI" w:cs="Segoe UI"/>
          <w:color w:val="000000" w:themeColor="text1"/>
        </w:rPr>
        <w:t>ARTG</w:t>
      </w:r>
      <w:r w:rsidRPr="04008C28">
        <w:rPr>
          <w:rFonts w:eastAsia="Segoe UI" w:cs="Segoe UI"/>
          <w:color w:val="000000" w:themeColor="text1"/>
        </w:rPr>
        <w:t xml:space="preserve"> registration and PBS listing</w:t>
      </w:r>
      <w:r w:rsidR="004F510B">
        <w:rPr>
          <w:rFonts w:eastAsia="Segoe UI" w:cs="Segoe UI"/>
          <w:color w:val="000000" w:themeColor="text1"/>
        </w:rPr>
        <w:t>.</w:t>
      </w:r>
    </w:p>
    <w:p w14:paraId="043D8996" w14:textId="77777777" w:rsidR="003649B8" w:rsidRDefault="003649B8" w:rsidP="00F20014">
      <w:pPr>
        <w:pStyle w:val="ListParagraph"/>
        <w:numPr>
          <w:ilvl w:val="0"/>
          <w:numId w:val="40"/>
        </w:numPr>
        <w:spacing w:before="0" w:after="0" w:line="252" w:lineRule="auto"/>
        <w:rPr>
          <w:rFonts w:eastAsia="Segoe UI" w:cs="Segoe UI"/>
          <w:color w:val="000000" w:themeColor="text1"/>
        </w:rPr>
      </w:pPr>
      <w:r>
        <w:rPr>
          <w:rFonts w:eastAsia="Segoe UI" w:cs="Segoe UI"/>
          <w:color w:val="000000" w:themeColor="text1"/>
        </w:rPr>
        <w:t xml:space="preserve">provide </w:t>
      </w:r>
      <w:r w:rsidRPr="04008C28">
        <w:rPr>
          <w:rFonts w:eastAsia="Segoe UI" w:cs="Segoe UI"/>
          <w:color w:val="000000" w:themeColor="text1"/>
        </w:rPr>
        <w:t xml:space="preserve">information </w:t>
      </w:r>
      <w:r>
        <w:rPr>
          <w:rFonts w:eastAsia="Segoe UI" w:cs="Segoe UI"/>
          <w:color w:val="000000" w:themeColor="text1"/>
        </w:rPr>
        <w:t>about</w:t>
      </w:r>
      <w:r w:rsidRPr="04008C28">
        <w:rPr>
          <w:rFonts w:eastAsia="Segoe UI" w:cs="Segoe UI"/>
          <w:color w:val="000000" w:themeColor="text1"/>
        </w:rPr>
        <w:t xml:space="preserve"> the outcome of any proactive submission sought by the Government (</w:t>
      </w:r>
      <w:r w:rsidRPr="000C5623">
        <w:rPr>
          <w:rFonts w:eastAsia="Segoe UI" w:cs="Segoe UI"/>
          <w:iCs/>
          <w:color w:val="000000" w:themeColor="text1"/>
        </w:rPr>
        <w:t xml:space="preserve">see </w:t>
      </w:r>
      <w:r>
        <w:rPr>
          <w:rFonts w:eastAsia="Segoe UI" w:cs="Segoe UI"/>
          <w:iCs/>
          <w:color w:val="000000" w:themeColor="text1"/>
        </w:rPr>
        <w:t>‘</w:t>
      </w:r>
      <w:r w:rsidRPr="000C5623">
        <w:rPr>
          <w:rFonts w:eastAsia="Segoe UI" w:cs="Segoe UI"/>
          <w:iCs/>
          <w:color w:val="000000" w:themeColor="text1"/>
        </w:rPr>
        <w:fldChar w:fldCharType="begin" w:fldLock="1"/>
      </w:r>
      <w:r w:rsidRPr="000C5623">
        <w:rPr>
          <w:rFonts w:eastAsia="Segoe UI" w:cs="Segoe UI"/>
          <w:iCs/>
          <w:color w:val="000000" w:themeColor="text1"/>
        </w:rPr>
        <w:instrText xml:space="preserve"> REF _Ref164783637 \r \h </w:instrText>
      </w:r>
      <w:r>
        <w:rPr>
          <w:rFonts w:eastAsia="Segoe UI" w:cs="Segoe UI"/>
          <w:iCs/>
          <w:color w:val="000000" w:themeColor="text1"/>
        </w:rPr>
        <w:instrText xml:space="preserve"> \* MERGEFORMAT </w:instrText>
      </w:r>
      <w:r w:rsidRPr="000C5623">
        <w:rPr>
          <w:rFonts w:eastAsia="Segoe UI" w:cs="Segoe UI"/>
          <w:iCs/>
          <w:color w:val="000000" w:themeColor="text1"/>
        </w:rPr>
      </w:r>
      <w:r w:rsidRPr="000C5623">
        <w:rPr>
          <w:rFonts w:eastAsia="Segoe UI" w:cs="Segoe UI"/>
          <w:iCs/>
          <w:color w:val="000000" w:themeColor="text1"/>
        </w:rPr>
        <w:fldChar w:fldCharType="separate"/>
      </w:r>
      <w:r w:rsidRPr="000C5623">
        <w:rPr>
          <w:rFonts w:eastAsia="Segoe UI" w:cs="Segoe UI"/>
          <w:iCs/>
          <w:color w:val="000000" w:themeColor="text1"/>
        </w:rPr>
        <w:t>Recommendation 46</w:t>
      </w:r>
      <w:r w:rsidRPr="000C5623">
        <w:rPr>
          <w:rFonts w:eastAsia="Segoe UI" w:cs="Segoe UI"/>
          <w:iCs/>
          <w:color w:val="000000" w:themeColor="text1"/>
        </w:rPr>
        <w:fldChar w:fldCharType="end"/>
      </w:r>
      <w:r>
        <w:rPr>
          <w:rFonts w:eastAsia="Segoe UI" w:cs="Segoe UI"/>
          <w:iCs/>
          <w:color w:val="000000" w:themeColor="text1"/>
        </w:rPr>
        <w:t>. Proactive pre-HTA processes supporting introduction of identified health technologies for high unmet clinical need’</w:t>
      </w:r>
      <w:r w:rsidRPr="04008C28">
        <w:rPr>
          <w:rFonts w:eastAsia="Segoe UI" w:cs="Segoe UI"/>
          <w:color w:val="000000" w:themeColor="text1"/>
        </w:rPr>
        <w:t>)</w:t>
      </w:r>
      <w:r>
        <w:rPr>
          <w:rFonts w:eastAsia="Segoe UI" w:cs="Segoe UI"/>
          <w:color w:val="000000" w:themeColor="text1"/>
        </w:rPr>
        <w:t>.</w:t>
      </w:r>
    </w:p>
    <w:p w14:paraId="3484D90A" w14:textId="6C1AC618" w:rsidR="00A05F35" w:rsidRDefault="007D15AA" w:rsidP="00484B58">
      <w:pPr>
        <w:pStyle w:val="Recommendation1"/>
      </w:pPr>
      <w:r>
        <w:t>Dev</w:t>
      </w:r>
      <w:r w:rsidR="0057796B">
        <w:t>eloping an engagement framework</w:t>
      </w:r>
    </w:p>
    <w:p w14:paraId="74430C58" w14:textId="443016E1" w:rsidR="00A05F35" w:rsidRPr="00DE14E2" w:rsidRDefault="00DE14E2" w:rsidP="00DE14E2">
      <w:pPr>
        <w:rPr>
          <w:rFonts w:eastAsia="Segoe UI"/>
        </w:rPr>
      </w:pPr>
      <w:r w:rsidRPr="008A6762" w:rsidDel="002C4399">
        <w:t xml:space="preserve">The Review recommends </w:t>
      </w:r>
      <w:r>
        <w:t xml:space="preserve">that </w:t>
      </w:r>
      <w:r w:rsidRPr="008A6762" w:rsidDel="002C4399">
        <w:t>the Australian Government</w:t>
      </w:r>
      <w:r>
        <w:rPr>
          <w:rStyle w:val="normaltextrun"/>
          <w:rFonts w:eastAsia="Segoe UI"/>
          <w:color w:val="000000" w:themeColor="text1"/>
        </w:rPr>
        <w:t xml:space="preserve"> </w:t>
      </w:r>
      <w:r w:rsidRPr="3D97149A">
        <w:rPr>
          <w:rStyle w:val="normaltextrun"/>
          <w:rFonts w:eastAsia="Segoe UI"/>
          <w:color w:val="000000" w:themeColor="text1"/>
        </w:rPr>
        <w:t>develop a stakeholder engagement framework</w:t>
      </w:r>
      <w:r>
        <w:rPr>
          <w:rStyle w:val="normaltextrun"/>
          <w:rFonts w:eastAsia="Segoe UI"/>
          <w:color w:val="000000" w:themeColor="text1"/>
        </w:rPr>
        <w:t xml:space="preserve"> that is g</w:t>
      </w:r>
      <w:r w:rsidRPr="3D97149A">
        <w:rPr>
          <w:rStyle w:val="eop"/>
          <w:rFonts w:eastAsia="Segoe UI"/>
          <w:color w:val="000000" w:themeColor="text1"/>
        </w:rPr>
        <w:t>uided by the recommendations of the</w:t>
      </w:r>
      <w:r>
        <w:rPr>
          <w:rStyle w:val="eop"/>
          <w:rFonts w:eastAsia="Segoe UI"/>
          <w:color w:val="000000" w:themeColor="text1"/>
        </w:rPr>
        <w:t xml:space="preserve"> Co-Design of an</w:t>
      </w:r>
      <w:r w:rsidRPr="3D97149A">
        <w:rPr>
          <w:rStyle w:val="eop"/>
          <w:rFonts w:eastAsia="Segoe UI"/>
          <w:color w:val="000000" w:themeColor="text1"/>
        </w:rPr>
        <w:t xml:space="preserve"> Enhanced Consumer Engagement </w:t>
      </w:r>
      <w:r>
        <w:rPr>
          <w:rStyle w:val="eop"/>
          <w:rFonts w:eastAsia="Segoe UI"/>
          <w:color w:val="000000" w:themeColor="text1"/>
        </w:rPr>
        <w:t>Process</w:t>
      </w:r>
      <w:r w:rsidRPr="3D97149A">
        <w:rPr>
          <w:rStyle w:val="eop"/>
          <w:rFonts w:eastAsia="Segoe UI"/>
          <w:color w:val="000000" w:themeColor="text1"/>
        </w:rPr>
        <w:t xml:space="preserve">, this Review, </w:t>
      </w:r>
      <w:r w:rsidRPr="000C5623">
        <w:rPr>
          <w:rStyle w:val="eop"/>
          <w:rFonts w:eastAsia="Segoe UI"/>
          <w:color w:val="000000" w:themeColor="text1"/>
        </w:rPr>
        <w:t xml:space="preserve">The </w:t>
      </w:r>
      <w:r w:rsidRPr="000C5623">
        <w:rPr>
          <w:rStyle w:val="normaltextrun"/>
          <w:rFonts w:eastAsia="Segoe UI"/>
          <w:color w:val="000000" w:themeColor="text1"/>
        </w:rPr>
        <w:t>New Frontier</w:t>
      </w:r>
      <w:r w:rsidRPr="3D97149A">
        <w:rPr>
          <w:rStyle w:val="normaltextrun"/>
          <w:rFonts w:eastAsia="Segoe UI"/>
          <w:color w:val="000000" w:themeColor="text1"/>
        </w:rPr>
        <w:t xml:space="preserve"> </w:t>
      </w:r>
      <w:r>
        <w:rPr>
          <w:rStyle w:val="normaltextrun"/>
          <w:rFonts w:eastAsia="Segoe UI"/>
          <w:color w:val="000000" w:themeColor="text1"/>
        </w:rPr>
        <w:t>i</w:t>
      </w:r>
      <w:r w:rsidRPr="495D7F03">
        <w:rPr>
          <w:rStyle w:val="normaltextrun"/>
          <w:rFonts w:eastAsia="Segoe UI"/>
          <w:color w:val="000000" w:themeColor="text1"/>
        </w:rPr>
        <w:t xml:space="preserve">nquiry </w:t>
      </w:r>
      <w:r w:rsidRPr="3D97149A">
        <w:rPr>
          <w:rStyle w:val="normaltextrun"/>
          <w:rFonts w:eastAsia="Segoe UI"/>
          <w:color w:val="000000" w:themeColor="text1"/>
        </w:rPr>
        <w:t xml:space="preserve">and </w:t>
      </w:r>
      <w:r w:rsidRPr="3D97149A">
        <w:rPr>
          <w:rStyle w:val="normaltextrun"/>
          <w:rFonts w:eastAsia="Segoe UI"/>
          <w:i/>
          <w:iCs/>
          <w:color w:val="000000" w:themeColor="text1"/>
        </w:rPr>
        <w:t>Conversations for Change</w:t>
      </w:r>
      <w:r w:rsidRPr="3D97149A">
        <w:rPr>
          <w:rStyle w:val="normaltextrun"/>
          <w:rFonts w:eastAsia="Segoe UI"/>
          <w:color w:val="000000" w:themeColor="text1"/>
        </w:rPr>
        <w:t xml:space="preserve"> </w:t>
      </w:r>
      <w:r w:rsidRPr="00B61FDC">
        <w:rPr>
          <w:rStyle w:val="normaltextrun"/>
          <w:rFonts w:eastAsia="Segoe UI"/>
          <w:i/>
          <w:iCs/>
          <w:color w:val="000000" w:themeColor="text1"/>
        </w:rPr>
        <w:t>report</w:t>
      </w:r>
      <w:r w:rsidRPr="3D97149A">
        <w:rPr>
          <w:rStyle w:val="normaltextrun"/>
          <w:rFonts w:eastAsia="Segoe UI"/>
          <w:color w:val="000000" w:themeColor="text1"/>
        </w:rPr>
        <w:t xml:space="preserve">. This framework should describe how and why engagement with stakeholders is used across all </w:t>
      </w:r>
      <w:r w:rsidRPr="00BA5F59">
        <w:rPr>
          <w:rStyle w:val="normaltextrun"/>
          <w:rFonts w:eastAsia="Segoe UI"/>
          <w:color w:val="000000" w:themeColor="text1"/>
        </w:rPr>
        <w:t>HTA</w:t>
      </w:r>
      <w:r w:rsidRPr="00BA5F59" w:rsidDel="00BA5F59">
        <w:rPr>
          <w:rStyle w:val="normaltextrun"/>
          <w:rFonts w:eastAsia="Segoe UI"/>
          <w:color w:val="000000" w:themeColor="text1"/>
        </w:rPr>
        <w:t xml:space="preserve"> </w:t>
      </w:r>
      <w:r w:rsidRPr="3D97149A">
        <w:rPr>
          <w:rStyle w:val="normaltextrun"/>
          <w:rFonts w:eastAsia="Segoe UI"/>
          <w:color w:val="000000" w:themeColor="text1"/>
        </w:rPr>
        <w:t>processes</w:t>
      </w:r>
      <w:r>
        <w:rPr>
          <w:rStyle w:val="normaltextrun"/>
          <w:rFonts w:eastAsia="Segoe UI"/>
          <w:color w:val="000000" w:themeColor="text1"/>
        </w:rPr>
        <w:t>,</w:t>
      </w:r>
      <w:r w:rsidRPr="4B14D880">
        <w:rPr>
          <w:rStyle w:val="normaltextrun"/>
          <w:rFonts w:eastAsia="Segoe UI"/>
          <w:color w:val="000000" w:themeColor="text1"/>
        </w:rPr>
        <w:t xml:space="preserve"> from horizon scanning to post-market review. The framework </w:t>
      </w:r>
      <w:r>
        <w:rPr>
          <w:rStyle w:val="normaltextrun"/>
          <w:rFonts w:eastAsia="Segoe UI"/>
          <w:color w:val="000000" w:themeColor="text1"/>
        </w:rPr>
        <w:t>should</w:t>
      </w:r>
      <w:r w:rsidRPr="3D97149A">
        <w:rPr>
          <w:rStyle w:val="normaltextrun"/>
          <w:rFonts w:eastAsia="Segoe UI"/>
          <w:color w:val="000000" w:themeColor="text1"/>
        </w:rPr>
        <w:t xml:space="preserve"> focus on consumers</w:t>
      </w:r>
      <w:r w:rsidRPr="4B14D880">
        <w:rPr>
          <w:rStyle w:val="normaltextrun"/>
          <w:rFonts w:eastAsia="Segoe UI"/>
          <w:color w:val="000000" w:themeColor="text1"/>
        </w:rPr>
        <w:t>, including co-design of engagement processes for under</w:t>
      </w:r>
      <w:r>
        <w:rPr>
          <w:rStyle w:val="normaltextrun"/>
          <w:rFonts w:eastAsia="Segoe UI"/>
          <w:color w:val="000000" w:themeColor="text1"/>
        </w:rPr>
        <w:t>-</w:t>
      </w:r>
      <w:r w:rsidRPr="4B14D880">
        <w:rPr>
          <w:rStyle w:val="normaltextrun"/>
          <w:rFonts w:eastAsia="Segoe UI"/>
          <w:color w:val="000000" w:themeColor="text1"/>
        </w:rPr>
        <w:t>represented communities.</w:t>
      </w:r>
      <w:r w:rsidRPr="3D97149A">
        <w:rPr>
          <w:rStyle w:val="normaltextrun"/>
          <w:rFonts w:eastAsia="Segoe UI"/>
          <w:color w:val="000000" w:themeColor="text1"/>
        </w:rPr>
        <w:t xml:space="preserve"> Additionally, the framework should acknowledge that the policies, methods and decisions </w:t>
      </w:r>
      <w:r>
        <w:rPr>
          <w:rStyle w:val="normaltextrun"/>
          <w:rFonts w:eastAsia="Segoe UI"/>
          <w:color w:val="000000" w:themeColor="text1"/>
        </w:rPr>
        <w:t xml:space="preserve">for </w:t>
      </w:r>
      <w:r w:rsidRPr="3D97149A">
        <w:rPr>
          <w:rStyle w:val="normaltextrun"/>
          <w:rFonts w:eastAsia="Segoe UI"/>
          <w:color w:val="000000" w:themeColor="text1"/>
        </w:rPr>
        <w:t xml:space="preserve">the HTA pathway have impacts </w:t>
      </w:r>
      <w:r>
        <w:rPr>
          <w:rStyle w:val="normaltextrun"/>
          <w:rFonts w:eastAsia="Segoe UI"/>
          <w:color w:val="000000" w:themeColor="text1"/>
        </w:rPr>
        <w:t>throughout</w:t>
      </w:r>
      <w:r w:rsidRPr="3D97149A">
        <w:rPr>
          <w:rStyle w:val="normaltextrun"/>
          <w:rFonts w:eastAsia="Segoe UI"/>
          <w:color w:val="000000" w:themeColor="text1"/>
        </w:rPr>
        <w:t xml:space="preserve"> the whole health technology lifecycle and can be used to improve stakeholder engagement outside the direct HTA processes.</w:t>
      </w:r>
      <w:r>
        <w:rPr>
          <w:rStyle w:val="normaltextrun"/>
          <w:rFonts w:eastAsia="Segoe UI"/>
          <w:color w:val="000000" w:themeColor="text1"/>
        </w:rPr>
        <w:t xml:space="preserve"> </w:t>
      </w:r>
    </w:p>
    <w:p w14:paraId="4B3D92C4" w14:textId="17715E26" w:rsidR="00A05F35" w:rsidRDefault="00A05F35" w:rsidP="00484B58">
      <w:pPr>
        <w:pStyle w:val="Recommendation1"/>
      </w:pPr>
      <w:r w:rsidRPr="003C6B61">
        <w:lastRenderedPageBreak/>
        <w:t>Improv</w:t>
      </w:r>
      <w:r>
        <w:t>ing</w:t>
      </w:r>
      <w:r w:rsidRPr="003C6B61">
        <w:t xml:space="preserve"> </w:t>
      </w:r>
      <w:proofErr w:type="spellStart"/>
      <w:r w:rsidRPr="003C6B61">
        <w:t>t</w:t>
      </w:r>
      <w:r w:rsidR="0057796B">
        <w:t>involvement</w:t>
      </w:r>
      <w:proofErr w:type="spellEnd"/>
      <w:r w:rsidR="0057796B">
        <w:t xml:space="preserve"> of consumers in </w:t>
      </w:r>
      <w:r w:rsidRPr="003C6B61">
        <w:t>HTA</w:t>
      </w:r>
      <w:r w:rsidR="0057796B">
        <w:t>s</w:t>
      </w:r>
      <w:r w:rsidRPr="003C6B61">
        <w:t xml:space="preserve"> </w:t>
      </w:r>
    </w:p>
    <w:p w14:paraId="4864038E" w14:textId="77777777" w:rsidR="007D08C9" w:rsidRDefault="007D08C9" w:rsidP="007D08C9">
      <w:pPr>
        <w:rPr>
          <w:rStyle w:val="eop"/>
          <w:color w:val="000000" w:themeColor="text1"/>
        </w:rPr>
      </w:pPr>
      <w:r w:rsidRPr="00405FD7" w:rsidDel="002C4399">
        <w:t xml:space="preserve">The Review recommends </w:t>
      </w:r>
      <w:r>
        <w:t xml:space="preserve">that </w:t>
      </w:r>
      <w:r w:rsidRPr="00405FD7" w:rsidDel="002C4399">
        <w:t>the Australian Government</w:t>
      </w:r>
      <w:r w:rsidRPr="000C5623">
        <w:rPr>
          <w:rStyle w:val="eop"/>
          <w:color w:val="000000" w:themeColor="text1"/>
        </w:rPr>
        <w:t>,</w:t>
      </w:r>
      <w:r>
        <w:rPr>
          <w:rStyle w:val="eop"/>
          <w:color w:val="000000" w:themeColor="text1"/>
        </w:rPr>
        <w:t xml:space="preserve"> in addition to other recommendations to improve engagement, inclusion and use of consumer evidence, support consumers to engage with </w:t>
      </w:r>
      <w:r w:rsidRPr="00BA5F59">
        <w:rPr>
          <w:rStyle w:val="eop"/>
          <w:color w:val="000000" w:themeColor="text1"/>
        </w:rPr>
        <w:t>HTA</w:t>
      </w:r>
      <w:r w:rsidRPr="00BA5F59" w:rsidDel="00BA5F59">
        <w:rPr>
          <w:rStyle w:val="eop"/>
          <w:color w:val="000000" w:themeColor="text1"/>
        </w:rPr>
        <w:t xml:space="preserve"> </w:t>
      </w:r>
      <w:r>
        <w:rPr>
          <w:rStyle w:val="eop"/>
          <w:color w:val="000000" w:themeColor="text1"/>
        </w:rPr>
        <w:t xml:space="preserve">processes through: </w:t>
      </w:r>
    </w:p>
    <w:p w14:paraId="3FE931FB" w14:textId="77777777" w:rsidR="007D08C9" w:rsidRPr="00E42503" w:rsidRDefault="007D08C9" w:rsidP="007D08C9">
      <w:pPr>
        <w:pStyle w:val="ListParagraph"/>
        <w:numPr>
          <w:ilvl w:val="0"/>
          <w:numId w:val="75"/>
        </w:numPr>
        <w:spacing w:before="0" w:after="160"/>
        <w:rPr>
          <w:rStyle w:val="normaltextrun"/>
          <w:color w:val="000000" w:themeColor="text1"/>
        </w:rPr>
      </w:pPr>
      <w:r w:rsidRPr="00E42503">
        <w:rPr>
          <w:rStyle w:val="normaltextrun"/>
          <w:color w:val="000000" w:themeColor="text1"/>
        </w:rPr>
        <w:t>actively engaging consumers across the HTA system and all relevant processes including horizon scanning; the Population, Intervention, Comparator, and Outcome</w:t>
      </w:r>
      <w:r>
        <w:rPr>
          <w:rStyle w:val="normaltextrun"/>
          <w:color w:val="000000" w:themeColor="text1"/>
        </w:rPr>
        <w:t xml:space="preserve"> (PICO) scoping</w:t>
      </w:r>
      <w:r w:rsidRPr="00E42503">
        <w:rPr>
          <w:rStyle w:val="normaltextrun"/>
          <w:color w:val="000000" w:themeColor="text1"/>
        </w:rPr>
        <w:t>; pre-submissions; evaluations; appraisals; post-market reviews, and disinvestment decisions</w:t>
      </w:r>
    </w:p>
    <w:p w14:paraId="702F4A64" w14:textId="77777777" w:rsidR="007D08C9" w:rsidRPr="00E42503" w:rsidRDefault="007D08C9" w:rsidP="007D08C9">
      <w:pPr>
        <w:pStyle w:val="ListParagraph"/>
        <w:numPr>
          <w:ilvl w:val="0"/>
          <w:numId w:val="75"/>
        </w:numPr>
        <w:spacing w:before="0" w:after="160"/>
        <w:rPr>
          <w:rStyle w:val="normaltextrun"/>
          <w:color w:val="000000" w:themeColor="text1"/>
        </w:rPr>
      </w:pPr>
      <w:r w:rsidRPr="00E42503">
        <w:rPr>
          <w:rStyle w:val="normaltextrun"/>
          <w:color w:val="000000" w:themeColor="text1"/>
        </w:rPr>
        <w:t xml:space="preserve">updating the Pharmaceutical Benefits Advisory Committee (PBAC) Guidelines to specifically request information about how consumers were engaged in the pre-HTA processes including clinical trial design </w:t>
      </w:r>
    </w:p>
    <w:p w14:paraId="1CD407CE" w14:textId="4200FD57" w:rsidR="00A05F35" w:rsidRPr="007D08C9" w:rsidRDefault="007D08C9" w:rsidP="007D08C9">
      <w:pPr>
        <w:pStyle w:val="ListParagraph"/>
        <w:numPr>
          <w:ilvl w:val="0"/>
          <w:numId w:val="75"/>
        </w:numPr>
        <w:spacing w:before="0" w:after="160"/>
        <w:rPr>
          <w:color w:val="000000" w:themeColor="text1"/>
        </w:rPr>
      </w:pPr>
      <w:r w:rsidRPr="00E42503">
        <w:rPr>
          <w:rStyle w:val="normaltextrun"/>
          <w:color w:val="000000" w:themeColor="text1"/>
        </w:rPr>
        <w:t xml:space="preserve">developing education and training to improve consumers’ ability to understand and engage with the HTA processes, including </w:t>
      </w:r>
      <w:r w:rsidRPr="00E42503">
        <w:rPr>
          <w:rStyle w:val="normaltextrun"/>
          <w:rFonts w:cs="Segoe UI"/>
        </w:rPr>
        <w:t>how input should be prepared, and how it will be used by committees.</w:t>
      </w:r>
    </w:p>
    <w:p w14:paraId="21252CC9" w14:textId="77777777" w:rsidR="00D61E09" w:rsidRPr="000B6D2F" w:rsidRDefault="00D61E09" w:rsidP="00484B58">
      <w:pPr>
        <w:pStyle w:val="Recommendation1"/>
      </w:pPr>
      <w:bookmarkStart w:id="37" w:name="_Ref164782186"/>
      <w:bookmarkStart w:id="38" w:name="_Hlk167302212"/>
      <w:r w:rsidRPr="000B6D2F">
        <w:t>Developing an explicit qualitative values framework</w:t>
      </w:r>
      <w:bookmarkEnd w:id="37"/>
    </w:p>
    <w:bookmarkEnd w:id="38"/>
    <w:p w14:paraId="2A33EA38" w14:textId="77777777" w:rsidR="00D61E09" w:rsidRPr="00CC00D3" w:rsidRDefault="00D61E09" w:rsidP="00CE4D4B">
      <w:pPr>
        <w:rPr>
          <w:rFonts w:eastAsia="Segoe UI"/>
          <w:color w:val="000000" w:themeColor="text1"/>
        </w:rPr>
      </w:pPr>
      <w:r w:rsidRPr="00405FD7">
        <w:t>The Review recommend</w:t>
      </w:r>
      <w:r>
        <w:t>s</w:t>
      </w:r>
      <w:r w:rsidRPr="00405FD7">
        <w:t xml:space="preserve"> </w:t>
      </w:r>
      <w:r>
        <w:t xml:space="preserve">that </w:t>
      </w:r>
      <w:r w:rsidRPr="00405FD7">
        <w:t>the Australian Government</w:t>
      </w:r>
      <w:r>
        <w:t xml:space="preserve"> support and resource the development of an</w:t>
      </w:r>
      <w:r w:rsidRPr="008E3615">
        <w:t xml:space="preserve"> explicit qualitative value</w:t>
      </w:r>
      <w:r>
        <w:t>s</w:t>
      </w:r>
      <w:r w:rsidRPr="008E3615">
        <w:t xml:space="preserve"> framework</w:t>
      </w:r>
      <w:r>
        <w:t xml:space="preserve"> by</w:t>
      </w:r>
      <w:r w:rsidRPr="000C5623">
        <w:t xml:space="preserve"> HTA advisory committees in consultation with a range of stakeholders. The framework should:</w:t>
      </w:r>
      <w:r w:rsidRPr="00CC00D3">
        <w:rPr>
          <w:rFonts w:eastAsia="Segoe UI"/>
          <w:color w:val="000000" w:themeColor="text1"/>
        </w:rPr>
        <w:t xml:space="preserve"> </w:t>
      </w:r>
    </w:p>
    <w:p w14:paraId="24AD3FF6" w14:textId="77777777" w:rsidR="00D61E09" w:rsidRPr="00E42503" w:rsidRDefault="00D61E09" w:rsidP="002F06FE">
      <w:pPr>
        <w:pStyle w:val="ListParagraph"/>
        <w:numPr>
          <w:ilvl w:val="0"/>
          <w:numId w:val="20"/>
        </w:numPr>
        <w:spacing w:before="0" w:after="160"/>
        <w:ind w:left="927"/>
        <w:rPr>
          <w:rFonts w:eastAsia="Segoe UI" w:cs="Segoe UI"/>
          <w:color w:val="000000" w:themeColor="text1"/>
        </w:rPr>
      </w:pPr>
      <w:r>
        <w:rPr>
          <w:rFonts w:eastAsia="Segoe UI" w:cs="Segoe UI"/>
          <w:color w:val="000000" w:themeColor="text1"/>
        </w:rPr>
        <w:t>publish</w:t>
      </w:r>
      <w:r w:rsidRPr="00E85361">
        <w:rPr>
          <w:rFonts w:eastAsia="Segoe UI" w:cs="Segoe UI"/>
          <w:color w:val="000000" w:themeColor="text1"/>
        </w:rPr>
        <w:t xml:space="preserve"> </w:t>
      </w:r>
      <w:r w:rsidRPr="00E42503">
        <w:rPr>
          <w:rFonts w:eastAsia="Segoe UI" w:cs="Segoe UI"/>
          <w:color w:val="000000" w:themeColor="text1"/>
        </w:rPr>
        <w:t>explicit</w:t>
      </w:r>
      <w:r>
        <w:rPr>
          <w:rFonts w:eastAsia="Segoe UI" w:cs="Segoe UI"/>
          <w:color w:val="000000" w:themeColor="text1"/>
        </w:rPr>
        <w:t xml:space="preserve"> </w:t>
      </w:r>
      <w:r w:rsidRPr="00E42503">
        <w:rPr>
          <w:rFonts w:eastAsia="Segoe UI" w:cs="Segoe UI"/>
          <w:color w:val="000000" w:themeColor="text1"/>
        </w:rPr>
        <w:t>guidance about the elements (beyond clinical effectiveness, cost-effectiveness and financial impact) each committee will consider, how they will consider them, and their impact on decision-making</w:t>
      </w:r>
    </w:p>
    <w:p w14:paraId="257B7D23" w14:textId="77777777" w:rsidR="00D61E09" w:rsidRPr="00E42503" w:rsidRDefault="00D61E09" w:rsidP="002F06FE">
      <w:pPr>
        <w:pStyle w:val="ListParagraph"/>
        <w:numPr>
          <w:ilvl w:val="0"/>
          <w:numId w:val="20"/>
        </w:numPr>
        <w:spacing w:before="0" w:after="160"/>
        <w:ind w:left="927"/>
        <w:rPr>
          <w:rFonts w:eastAsia="Segoe UI" w:cs="Segoe UI"/>
          <w:color w:val="000000" w:themeColor="text1"/>
        </w:rPr>
      </w:pPr>
      <w:r w:rsidRPr="00E42503">
        <w:rPr>
          <w:rFonts w:eastAsia="Segoe UI" w:cs="Segoe UI"/>
          <w:color w:val="000000" w:themeColor="text1"/>
        </w:rPr>
        <w:t>allow enough flexibility for the deliberation process itself to add value to the decisions; that is, not be pre-weighted and scored</w:t>
      </w:r>
    </w:p>
    <w:p w14:paraId="0D7C671C" w14:textId="77777777" w:rsidR="00D61E09" w:rsidRPr="00E42503" w:rsidRDefault="00D61E09" w:rsidP="002F06FE">
      <w:pPr>
        <w:pStyle w:val="ListParagraph"/>
        <w:numPr>
          <w:ilvl w:val="0"/>
          <w:numId w:val="20"/>
        </w:numPr>
        <w:spacing w:before="0" w:after="160"/>
        <w:ind w:left="927"/>
        <w:rPr>
          <w:rFonts w:eastAsia="Segoe UI" w:cs="Segoe UI"/>
          <w:color w:val="000000" w:themeColor="text1"/>
        </w:rPr>
      </w:pPr>
      <w:r w:rsidRPr="00E42503">
        <w:rPr>
          <w:rFonts w:eastAsia="Segoe UI" w:cs="Segoe UI"/>
          <w:color w:val="000000" w:themeColor="text1"/>
        </w:rPr>
        <w:t>ensure consideration of the value elements is explicit before, during and after consideration of a technology</w:t>
      </w:r>
      <w:r>
        <w:rPr>
          <w:rFonts w:eastAsia="Segoe UI" w:cs="Segoe UI"/>
          <w:color w:val="000000" w:themeColor="text1"/>
        </w:rPr>
        <w:t>,</w:t>
      </w:r>
      <w:r w:rsidRPr="00E42503">
        <w:rPr>
          <w:rFonts w:eastAsia="Segoe UI" w:cs="Segoe UI"/>
          <w:color w:val="000000" w:themeColor="text1"/>
        </w:rPr>
        <w:t xml:space="preserve"> and transparently communicate these considerations in public summary documents</w:t>
      </w:r>
    </w:p>
    <w:p w14:paraId="788C43E8" w14:textId="77777777" w:rsidR="00D61E09" w:rsidRPr="00E42503" w:rsidRDefault="00D61E09" w:rsidP="002F06FE">
      <w:pPr>
        <w:pStyle w:val="ListParagraph"/>
        <w:numPr>
          <w:ilvl w:val="0"/>
          <w:numId w:val="20"/>
        </w:numPr>
        <w:spacing w:before="0" w:after="160"/>
        <w:ind w:left="927"/>
        <w:rPr>
          <w:rFonts w:eastAsia="Segoe UI" w:cs="Segoe UI"/>
          <w:color w:val="000000" w:themeColor="text1"/>
        </w:rPr>
      </w:pPr>
      <w:r w:rsidRPr="00E42503">
        <w:rPr>
          <w:rFonts w:eastAsia="Segoe UI" w:cs="Segoe UI"/>
          <w:color w:val="000000" w:themeColor="text1"/>
        </w:rPr>
        <w:t>include documentation on how it will be considered during committee deliberations and guidance, including explaining how sponsors could provide data to respond to additional value elements</w:t>
      </w:r>
      <w:r>
        <w:rPr>
          <w:rFonts w:eastAsia="Segoe UI" w:cs="Segoe UI"/>
          <w:color w:val="000000" w:themeColor="text1"/>
        </w:rPr>
        <w:t xml:space="preserve"> and</w:t>
      </w:r>
      <w:r w:rsidRPr="00E42503">
        <w:rPr>
          <w:rFonts w:eastAsia="Segoe UI" w:cs="Segoe UI"/>
          <w:color w:val="000000" w:themeColor="text1"/>
        </w:rPr>
        <w:t xml:space="preserve"> </w:t>
      </w:r>
      <w:r w:rsidRPr="00E85361">
        <w:rPr>
          <w:rFonts w:eastAsia="Segoe UI" w:cs="Segoe UI"/>
          <w:color w:val="000000" w:themeColor="text1"/>
        </w:rPr>
        <w:t>explaining how</w:t>
      </w:r>
      <w:r w:rsidRPr="00E42503">
        <w:rPr>
          <w:rFonts w:eastAsia="Segoe UI" w:cs="Segoe UI"/>
          <w:color w:val="000000" w:themeColor="text1"/>
        </w:rPr>
        <w:t xml:space="preserve"> patients </w:t>
      </w:r>
      <w:r w:rsidRPr="00E85361">
        <w:rPr>
          <w:rFonts w:eastAsia="Segoe UI" w:cs="Segoe UI"/>
          <w:color w:val="000000" w:themeColor="text1"/>
        </w:rPr>
        <w:t>and</w:t>
      </w:r>
      <w:r w:rsidRPr="00E42503">
        <w:rPr>
          <w:rFonts w:eastAsia="Segoe UI" w:cs="Segoe UI"/>
          <w:color w:val="000000" w:themeColor="text1"/>
        </w:rPr>
        <w:t xml:space="preserve"> citizens could provide submissions to respond to additional value elements</w:t>
      </w:r>
    </w:p>
    <w:p w14:paraId="381617F6" w14:textId="77777777" w:rsidR="00D61E09" w:rsidRDefault="00D61E09" w:rsidP="002F06FE">
      <w:pPr>
        <w:pStyle w:val="ListParagraph"/>
        <w:numPr>
          <w:ilvl w:val="0"/>
          <w:numId w:val="20"/>
        </w:numPr>
        <w:spacing w:before="0" w:after="160"/>
        <w:ind w:left="927"/>
        <w:rPr>
          <w:rFonts w:eastAsia="Segoe UI" w:cs="Segoe UI"/>
          <w:color w:val="000000" w:themeColor="text1"/>
        </w:rPr>
      </w:pPr>
      <w:r w:rsidRPr="00E42503">
        <w:rPr>
          <w:rFonts w:eastAsia="Segoe UI" w:cs="Segoe UI"/>
          <w:color w:val="000000" w:themeColor="text1"/>
        </w:rPr>
        <w:t>be informed by published research and public consultation</w:t>
      </w:r>
    </w:p>
    <w:p w14:paraId="42A21BCC" w14:textId="60B56CA2" w:rsidR="00D61E09" w:rsidRDefault="00D61E09" w:rsidP="002F06FE">
      <w:pPr>
        <w:pStyle w:val="ListParagraph"/>
        <w:numPr>
          <w:ilvl w:val="0"/>
          <w:numId w:val="20"/>
        </w:numPr>
        <w:spacing w:before="0" w:after="160"/>
        <w:ind w:left="927"/>
        <w:rPr>
          <w:rFonts w:eastAsia="Segoe UI" w:cs="Segoe UI"/>
          <w:color w:val="000000" w:themeColor="text1"/>
        </w:rPr>
      </w:pPr>
      <w:r>
        <w:rPr>
          <w:rFonts w:eastAsia="Segoe UI" w:cs="Segoe UI"/>
          <w:color w:val="000000" w:themeColor="text1"/>
        </w:rPr>
        <w:t>i</w:t>
      </w:r>
      <w:r w:rsidRPr="00E42503">
        <w:rPr>
          <w:rFonts w:eastAsia="Segoe UI" w:cs="Segoe UI"/>
          <w:color w:val="000000" w:themeColor="text1"/>
        </w:rPr>
        <w:t>nclude a checklist to assist HTA decision-makers to integrate equity considerations into their deliberations in a more comprehensive</w:t>
      </w:r>
      <w:r>
        <w:rPr>
          <w:rFonts w:eastAsia="Segoe UI" w:cs="Segoe UI"/>
          <w:color w:val="000000" w:themeColor="text1"/>
        </w:rPr>
        <w:t>, consistent</w:t>
      </w:r>
      <w:r w:rsidRPr="00E42503">
        <w:rPr>
          <w:rFonts w:eastAsia="Segoe UI" w:cs="Segoe UI"/>
          <w:color w:val="000000" w:themeColor="text1"/>
        </w:rPr>
        <w:t xml:space="preserve"> and systematic way. The checklist should account for the fact that some new health </w:t>
      </w:r>
      <w:r w:rsidRPr="00E42503">
        <w:rPr>
          <w:rFonts w:eastAsia="Segoe UI" w:cs="Segoe UI"/>
          <w:color w:val="000000" w:themeColor="text1"/>
        </w:rPr>
        <w:lastRenderedPageBreak/>
        <w:t>technologies may have a negative impact on health equity</w:t>
      </w:r>
      <w:r>
        <w:rPr>
          <w:rFonts w:eastAsia="Segoe UI" w:cs="Segoe UI"/>
          <w:color w:val="000000" w:themeColor="text1"/>
        </w:rPr>
        <w:t xml:space="preserve">. It should also </w:t>
      </w:r>
      <w:r w:rsidRPr="00E42503">
        <w:rPr>
          <w:rFonts w:eastAsia="Segoe UI" w:cs="Segoe UI"/>
          <w:color w:val="000000" w:themeColor="text1"/>
        </w:rPr>
        <w:t xml:space="preserve">include explicit consideration of priority populations such as First Nations people </w:t>
      </w:r>
    </w:p>
    <w:p w14:paraId="724CB519" w14:textId="77777777" w:rsidR="00EC41B5" w:rsidRDefault="00D61E09" w:rsidP="002F06FE">
      <w:pPr>
        <w:pStyle w:val="ListParagraph"/>
        <w:numPr>
          <w:ilvl w:val="0"/>
          <w:numId w:val="20"/>
        </w:numPr>
        <w:spacing w:before="0" w:after="160"/>
        <w:ind w:left="927"/>
        <w:rPr>
          <w:rFonts w:eastAsia="Segoe UI" w:cs="Segoe UI"/>
          <w:color w:val="000000" w:themeColor="text1"/>
        </w:rPr>
      </w:pPr>
      <w:r w:rsidRPr="00300258">
        <w:rPr>
          <w:rFonts w:eastAsia="Segoe UI" w:cs="Segoe UI"/>
          <w:color w:val="000000" w:themeColor="text1"/>
        </w:rPr>
        <w:t>be consistent with Recommendation 34: Overarching principles for adopting methods in Australian HTA</w:t>
      </w:r>
      <w:r>
        <w:rPr>
          <w:rFonts w:eastAsia="Segoe UI" w:cs="Segoe UI"/>
          <w:color w:val="000000" w:themeColor="text1"/>
        </w:rPr>
        <w:t xml:space="preserve">. </w:t>
      </w:r>
    </w:p>
    <w:p w14:paraId="48C173B0" w14:textId="77777777" w:rsidR="00EC41B5" w:rsidRDefault="00EC41B5" w:rsidP="00484B58">
      <w:pPr>
        <w:pStyle w:val="Recommendation1"/>
      </w:pPr>
      <w:bookmarkStart w:id="39" w:name="_Ref165281422"/>
      <w:bookmarkStart w:id="40" w:name="_Ref166776766"/>
      <w:bookmarkStart w:id="41" w:name="_Hlk167302257"/>
      <w:r w:rsidRPr="006324CB">
        <w:t xml:space="preserve">Governance and </w:t>
      </w:r>
      <w:bookmarkEnd w:id="39"/>
      <w:r>
        <w:t>s</w:t>
      </w:r>
      <w:r w:rsidRPr="006324CB">
        <w:t xml:space="preserve">trategic </w:t>
      </w:r>
      <w:r>
        <w:t>o</w:t>
      </w:r>
      <w:r w:rsidRPr="006324CB">
        <w:t>versight</w:t>
      </w:r>
      <w:r>
        <w:t xml:space="preserve"> of real-world data to support HTA</w:t>
      </w:r>
      <w:bookmarkEnd w:id="40"/>
      <w:r>
        <w:t>s</w:t>
      </w:r>
    </w:p>
    <w:bookmarkEnd w:id="41"/>
    <w:p w14:paraId="40800D11" w14:textId="77777777" w:rsidR="00EC41B5" w:rsidRDefault="00EC41B5" w:rsidP="00CE4D4B">
      <w:pPr>
        <w:keepNext/>
      </w:pPr>
      <w:r w:rsidRPr="00405FD7">
        <w:t xml:space="preserve">The Review recommends </w:t>
      </w:r>
      <w:r>
        <w:t xml:space="preserve">that </w:t>
      </w:r>
      <w:r w:rsidRPr="00405FD7">
        <w:t xml:space="preserve">the Australian </w:t>
      </w:r>
      <w:r w:rsidRPr="00C07AE2">
        <w:t>Government</w:t>
      </w:r>
      <w:r>
        <w:t xml:space="preserve"> </w:t>
      </w:r>
      <w:r w:rsidRPr="00C07AE2">
        <w:t>d</w:t>
      </w:r>
      <w:bookmarkStart w:id="42" w:name="_Ref164155239"/>
      <w:r w:rsidRPr="00C07AE2">
        <w:t xml:space="preserve">evelop and implement an Australia-specific framework to </w:t>
      </w:r>
      <w:proofErr w:type="spellStart"/>
      <w:r w:rsidRPr="00C07AE2">
        <w:t>optimise</w:t>
      </w:r>
      <w:proofErr w:type="spellEnd"/>
      <w:r w:rsidRPr="00C07AE2">
        <w:t xml:space="preserve"> timely access to relevant real-world data (RWD) for HTAs, to supplement available </w:t>
      </w:r>
      <w:proofErr w:type="spellStart"/>
      <w:r w:rsidRPr="00C07AE2">
        <w:t>randomised</w:t>
      </w:r>
      <w:proofErr w:type="spellEnd"/>
      <w:r w:rsidRPr="00C07AE2">
        <w:t xml:space="preserve"> controlled trial (RCT)</w:t>
      </w:r>
      <w:r w:rsidRPr="00C07AE2" w:rsidDel="00F57BBF">
        <w:t xml:space="preserve"> </w:t>
      </w:r>
      <w:r w:rsidRPr="00C07AE2">
        <w:t xml:space="preserve">evidence. </w:t>
      </w:r>
      <w:bookmarkEnd w:id="42"/>
      <w:r w:rsidRPr="00C07AE2">
        <w:t>This framework should:</w:t>
      </w:r>
      <w:r>
        <w:t xml:space="preserve"> </w:t>
      </w:r>
    </w:p>
    <w:p w14:paraId="0B820EC2" w14:textId="77777777" w:rsidR="00EC41B5" w:rsidRPr="00E91ED2" w:rsidRDefault="00EC41B5" w:rsidP="002F06FE">
      <w:pPr>
        <w:pStyle w:val="ListParagraph"/>
        <w:numPr>
          <w:ilvl w:val="0"/>
          <w:numId w:val="21"/>
        </w:numPr>
        <w:spacing w:before="0" w:after="160"/>
      </w:pPr>
      <w:r w:rsidRPr="00E91ED2">
        <w:t xml:space="preserve">cover enabling systems and pathways, and evaluation and research when collecting and using RWD for HTAs </w:t>
      </w:r>
    </w:p>
    <w:p w14:paraId="177CEA31" w14:textId="77777777" w:rsidR="00EC41B5" w:rsidRPr="00E91ED2" w:rsidRDefault="00EC41B5" w:rsidP="002F06FE">
      <w:pPr>
        <w:pStyle w:val="ListParagraph"/>
        <w:numPr>
          <w:ilvl w:val="0"/>
          <w:numId w:val="21"/>
        </w:numPr>
        <w:spacing w:before="0" w:after="160"/>
      </w:pPr>
      <w:r w:rsidRPr="00E91ED2">
        <w:t>be co-designed and developed with oversight from a multi-disciplinary, multi-stakeholder advisory group, reporting to government. It is important that the group has links to international entities and partnerships with data stewards to facilitate access to data applicable to HTAs</w:t>
      </w:r>
    </w:p>
    <w:p w14:paraId="2E3118BE" w14:textId="77777777" w:rsidR="00EC41B5" w:rsidRPr="00E91ED2" w:rsidRDefault="00EC41B5" w:rsidP="002F06FE">
      <w:pPr>
        <w:pStyle w:val="ListParagraph"/>
        <w:numPr>
          <w:ilvl w:val="0"/>
          <w:numId w:val="21"/>
        </w:numPr>
        <w:spacing w:before="0" w:after="160"/>
      </w:pPr>
      <w:r w:rsidRPr="00E91ED2">
        <w:t>include a strategy to increase confidence, awareness and acceptance of cross-jurisdictional and cross-sectoral RWD access and use in HTAs. The strategy should:</w:t>
      </w:r>
    </w:p>
    <w:p w14:paraId="2C8EFAAE" w14:textId="77777777" w:rsidR="00EC41B5" w:rsidRPr="00E91ED2" w:rsidRDefault="00EC41B5" w:rsidP="002F06FE">
      <w:pPr>
        <w:pStyle w:val="ListParagraph"/>
        <w:numPr>
          <w:ilvl w:val="1"/>
          <w:numId w:val="21"/>
        </w:numPr>
        <w:spacing w:before="0" w:after="160"/>
      </w:pPr>
      <w:r w:rsidRPr="00E91ED2">
        <w:t>centre around consumer and community engagement and co-design, leverage and integrate existing international activities and guidelines, incorporate the Australian context and evidence, and fine-tune responses and messages specific to HTAs</w:t>
      </w:r>
    </w:p>
    <w:p w14:paraId="0433ADE5" w14:textId="77777777" w:rsidR="00EC41B5" w:rsidRDefault="00EC41B5" w:rsidP="002F06FE">
      <w:pPr>
        <w:pStyle w:val="ListParagraph"/>
        <w:numPr>
          <w:ilvl w:val="1"/>
          <w:numId w:val="21"/>
        </w:numPr>
        <w:spacing w:before="0" w:after="160"/>
        <w:rPr>
          <w:rFonts w:cs="Segoe UI"/>
        </w:rPr>
      </w:pPr>
      <w:r w:rsidRPr="00E91ED2">
        <w:t xml:space="preserve">support </w:t>
      </w:r>
      <w:r>
        <w:t xml:space="preserve">the </w:t>
      </w:r>
      <w:r w:rsidRPr="00E91ED2">
        <w:t>development and enhancement of systems that ensure privacy protections, data security and First Nations data governance,</w:t>
      </w:r>
      <w:r w:rsidRPr="00E91ED2" w:rsidDel="00760282">
        <w:t xml:space="preserve"> </w:t>
      </w:r>
      <w:r w:rsidRPr="00E91ED2">
        <w:t>aligning with existing strategies</w:t>
      </w:r>
      <w:r w:rsidRPr="00C90E10">
        <w:rPr>
          <w:rFonts w:cs="Segoe UI"/>
        </w:rPr>
        <w:t xml:space="preserve"> (e.g. the Department of Health and Aged Care</w:t>
      </w:r>
      <w:r>
        <w:rPr>
          <w:rFonts w:cs="Segoe UI"/>
        </w:rPr>
        <w:t>’s</w:t>
      </w:r>
      <w:r w:rsidRPr="00C90E10">
        <w:rPr>
          <w:rFonts w:cs="Segoe UI"/>
        </w:rPr>
        <w:t xml:space="preserve"> </w:t>
      </w:r>
      <w:r w:rsidRPr="000C5623">
        <w:rPr>
          <w:rFonts w:cs="Segoe UI"/>
          <w:i/>
          <w:iCs/>
        </w:rPr>
        <w:t>Data Strategy 2022–2025</w:t>
      </w:r>
      <w:r w:rsidRPr="00C90E10">
        <w:rPr>
          <w:rFonts w:cs="Segoe UI"/>
        </w:rPr>
        <w:t>).</w:t>
      </w:r>
    </w:p>
    <w:p w14:paraId="4DA2E502" w14:textId="77777777" w:rsidR="00EC41B5" w:rsidRPr="00093C0D" w:rsidRDefault="00EC41B5" w:rsidP="00484B58">
      <w:pPr>
        <w:pStyle w:val="Recommendation1"/>
      </w:pPr>
      <w:bookmarkStart w:id="43" w:name="_Ref166789414"/>
      <w:bookmarkStart w:id="44" w:name="_Hlk167302268"/>
      <w:r>
        <w:t>Data infrastructure to support HTA</w:t>
      </w:r>
      <w:bookmarkEnd w:id="43"/>
      <w:r>
        <w:t>s</w:t>
      </w:r>
    </w:p>
    <w:bookmarkEnd w:id="44"/>
    <w:p w14:paraId="7D386E1E" w14:textId="77777777" w:rsidR="00EC41B5" w:rsidRPr="001D756C" w:rsidRDefault="00EC41B5" w:rsidP="002F06FE">
      <w:pPr>
        <w:pStyle w:val="ListParagraph"/>
        <w:numPr>
          <w:ilvl w:val="0"/>
          <w:numId w:val="22"/>
        </w:numPr>
      </w:pPr>
      <w:r w:rsidRPr="00405FD7">
        <w:rPr>
          <w:rFonts w:cs="Segoe UI"/>
        </w:rPr>
        <w:t xml:space="preserve">The Review recommends </w:t>
      </w:r>
      <w:r>
        <w:rPr>
          <w:rFonts w:cs="Segoe UI"/>
        </w:rPr>
        <w:t xml:space="preserve">that </w:t>
      </w:r>
      <w:r w:rsidRPr="00405FD7">
        <w:rPr>
          <w:rFonts w:cs="Segoe UI"/>
        </w:rPr>
        <w:t>the Australian Government</w:t>
      </w:r>
      <w:r>
        <w:rPr>
          <w:rFonts w:cs="Segoe UI"/>
        </w:rPr>
        <w:t xml:space="preserve"> </w:t>
      </w:r>
      <w:r>
        <w:t>d</w:t>
      </w:r>
      <w:r w:rsidRPr="00405FD7">
        <w:t>evelop</w:t>
      </w:r>
      <w:bookmarkStart w:id="45" w:name="_Ref164157873"/>
      <w:r w:rsidRPr="00405FD7">
        <w:t xml:space="preserve"> dynamic, enduring</w:t>
      </w:r>
      <w:r>
        <w:t>,</w:t>
      </w:r>
      <w:r w:rsidRPr="00405FD7">
        <w:t xml:space="preserve"> whole-of-government data infrastructure, with oversight by the multi-stakeholder advisory group (</w:t>
      </w:r>
      <w:bookmarkEnd w:id="45"/>
      <w:r>
        <w:t xml:space="preserve">see ‘Recommendation 27: </w:t>
      </w:r>
      <w:r w:rsidRPr="000C5623">
        <w:t xml:space="preserve">Governance and strategic oversight of </w:t>
      </w:r>
      <w:r>
        <w:t>real-world data</w:t>
      </w:r>
      <w:r w:rsidRPr="000C5623">
        <w:t xml:space="preserve"> to support HTAs</w:t>
      </w:r>
      <w:r>
        <w:t>’). Consideration should be given to</w:t>
      </w:r>
      <w:r w:rsidDel="00FF08F3">
        <w:t xml:space="preserve"> </w:t>
      </w:r>
      <w:r>
        <w:t xml:space="preserve">jointly funded infrastructure by the Commonwealth, state and territory governments and industry </w:t>
      </w:r>
      <w:r w:rsidDel="009220B6">
        <w:t xml:space="preserve">with potential access </w:t>
      </w:r>
      <w:r>
        <w:t xml:space="preserve">to additional stakeholders </w:t>
      </w:r>
      <w:r w:rsidDel="009220B6">
        <w:t>on</w:t>
      </w:r>
      <w:r w:rsidDel="00FF08F3">
        <w:t xml:space="preserve"> a user-pays system</w:t>
      </w:r>
      <w:r>
        <w:t>.</w:t>
      </w:r>
    </w:p>
    <w:p w14:paraId="78E5606B" w14:textId="77777777" w:rsidR="00EC41B5" w:rsidRDefault="00EC41B5" w:rsidP="002F06FE">
      <w:pPr>
        <w:pStyle w:val="ListParagraph"/>
        <w:numPr>
          <w:ilvl w:val="0"/>
          <w:numId w:val="22"/>
        </w:numPr>
        <w:rPr>
          <w:lang w:eastAsia="en-AU"/>
        </w:rPr>
      </w:pPr>
      <w:r>
        <w:rPr>
          <w:lang w:eastAsia="en-AU"/>
        </w:rPr>
        <w:lastRenderedPageBreak/>
        <w:t xml:space="preserve">This </w:t>
      </w:r>
      <w:r w:rsidRPr="00405FD7">
        <w:t>infrastructure</w:t>
      </w:r>
      <w:r>
        <w:rPr>
          <w:lang w:eastAsia="en-AU"/>
        </w:rPr>
        <w:t xml:space="preserve"> should provide: </w:t>
      </w:r>
    </w:p>
    <w:p w14:paraId="12B0DBE4" w14:textId="77777777" w:rsidR="00EC41B5" w:rsidRPr="00544AF3" w:rsidRDefault="00EC41B5" w:rsidP="00F20014">
      <w:pPr>
        <w:pStyle w:val="ListParagraph"/>
        <w:numPr>
          <w:ilvl w:val="1"/>
          <w:numId w:val="55"/>
        </w:numPr>
        <w:spacing w:before="0" w:after="160"/>
      </w:pPr>
      <w:r w:rsidRPr="00405FD7">
        <w:t>transparent and streamlined governance</w:t>
      </w:r>
    </w:p>
    <w:p w14:paraId="25F0666A" w14:textId="77777777" w:rsidR="00EC41B5" w:rsidRPr="00D27949" w:rsidRDefault="00EC41B5" w:rsidP="00F20014">
      <w:pPr>
        <w:pStyle w:val="ListParagraph"/>
        <w:numPr>
          <w:ilvl w:val="1"/>
          <w:numId w:val="55"/>
        </w:numPr>
        <w:spacing w:before="0" w:after="160"/>
      </w:pPr>
      <w:r>
        <w:t xml:space="preserve">the ability to </w:t>
      </w:r>
      <w:r w:rsidRPr="00D27949">
        <w:t xml:space="preserve">evolve over time, based on the needs of </w:t>
      </w:r>
      <w:r w:rsidRPr="00FE1477">
        <w:t>HTA</w:t>
      </w:r>
      <w:r w:rsidRPr="00FE1477" w:rsidDel="00FE1477">
        <w:t xml:space="preserve"> </w:t>
      </w:r>
      <w:r w:rsidRPr="00D27949">
        <w:t>agencies and other stakeholders</w:t>
      </w:r>
      <w:r>
        <w:t xml:space="preserve">, evolution of health and digital technologies and assessment tools, and research </w:t>
      </w:r>
      <w:r w:rsidRPr="002B38D3">
        <w:t xml:space="preserve">questions that </w:t>
      </w:r>
      <w:r>
        <w:t>are likely to</w:t>
      </w:r>
      <w:r w:rsidRPr="002B38D3">
        <w:t xml:space="preserve"> be addressed </w:t>
      </w:r>
      <w:r>
        <w:t>using</w:t>
      </w:r>
      <w:r w:rsidRPr="002B38D3">
        <w:t xml:space="preserve"> </w:t>
      </w:r>
      <w:r>
        <w:t>real-world data (</w:t>
      </w:r>
      <w:r w:rsidRPr="002B38D3">
        <w:t>RWD</w:t>
      </w:r>
      <w:r>
        <w:t>) and real-world evidence</w:t>
      </w:r>
    </w:p>
    <w:p w14:paraId="1295A6E9" w14:textId="77777777" w:rsidR="00EC41B5" w:rsidRDefault="00EC41B5" w:rsidP="00F20014">
      <w:pPr>
        <w:pStyle w:val="ListParagraph"/>
        <w:numPr>
          <w:ilvl w:val="1"/>
          <w:numId w:val="55"/>
        </w:numPr>
        <w:spacing w:before="0" w:after="160"/>
      </w:pPr>
      <w:r w:rsidRPr="00D27949">
        <w:t>harmonised international standards,</w:t>
      </w:r>
      <w:r>
        <w:t xml:space="preserve"> and be</w:t>
      </w:r>
      <w:r w:rsidRPr="00D27949">
        <w:t xml:space="preserve"> flexible</w:t>
      </w:r>
      <w:r>
        <w:t xml:space="preserve"> and</w:t>
      </w:r>
      <w:r w:rsidRPr="00D27949">
        <w:t xml:space="preserve"> scalable, and allow transparent data quality assessment</w:t>
      </w:r>
    </w:p>
    <w:p w14:paraId="1230E72E" w14:textId="77777777" w:rsidR="00EC41B5" w:rsidDel="00CC50C3" w:rsidRDefault="00EC41B5" w:rsidP="00F20014">
      <w:pPr>
        <w:pStyle w:val="ListParagraph"/>
        <w:numPr>
          <w:ilvl w:val="1"/>
          <w:numId w:val="55"/>
        </w:numPr>
        <w:spacing w:before="0" w:after="160"/>
      </w:pPr>
      <w:r>
        <w:t>a dedicated consumer-evidence repository to collect data for future HTA activities, track expectations, and support the development of consumer-centred measurement tools</w:t>
      </w:r>
    </w:p>
    <w:p w14:paraId="79217B77" w14:textId="77777777" w:rsidR="00EC41B5" w:rsidRDefault="00EC41B5" w:rsidP="00F20014">
      <w:pPr>
        <w:pStyle w:val="ListParagraph"/>
        <w:numPr>
          <w:ilvl w:val="1"/>
          <w:numId w:val="55"/>
        </w:numPr>
        <w:spacing w:before="0" w:after="160"/>
      </w:pPr>
      <w:r>
        <w:t>work towards co-designing and building</w:t>
      </w:r>
      <w:r w:rsidDel="00487485">
        <w:t xml:space="preserve"> </w:t>
      </w:r>
      <w:r>
        <w:t>an enduring, sustainable, safe, high</w:t>
      </w:r>
      <w:r>
        <w:noBreakHyphen/>
        <w:t>quality and fit-for-purpose data ecosystem that evolves over time to meet Australia’s HTA needs.</w:t>
      </w:r>
    </w:p>
    <w:p w14:paraId="148A876F" w14:textId="77777777" w:rsidR="00EC41B5" w:rsidRDefault="00EC41B5" w:rsidP="002F06FE">
      <w:pPr>
        <w:pStyle w:val="ListParagraph"/>
        <w:numPr>
          <w:ilvl w:val="0"/>
          <w:numId w:val="22"/>
        </w:numPr>
      </w:pPr>
      <w:r w:rsidDel="00CC50C3">
        <w:t>As an immediate priority</w:t>
      </w:r>
      <w:r>
        <w:t>:</w:t>
      </w:r>
    </w:p>
    <w:p w14:paraId="217A62E6" w14:textId="77777777" w:rsidR="00EC41B5" w:rsidRDefault="00EC41B5" w:rsidP="002F06FE">
      <w:pPr>
        <w:pStyle w:val="ListParagraph"/>
        <w:numPr>
          <w:ilvl w:val="1"/>
          <w:numId w:val="22"/>
        </w:numPr>
        <w:spacing w:before="0" w:after="160"/>
      </w:pPr>
      <w:r>
        <w:t>c</w:t>
      </w:r>
      <w:r w:rsidRPr="00C641CC">
        <w:t>ore priority Australian RWD collections</w:t>
      </w:r>
      <w:r>
        <w:t xml:space="preserve"> </w:t>
      </w:r>
      <w:r w:rsidRPr="00C641CC">
        <w:t>that are</w:t>
      </w:r>
      <w:r>
        <w:t xml:space="preserve"> </w:t>
      </w:r>
      <w:r w:rsidRPr="00C641CC">
        <w:t>fit-for-purpose for HTA requirements</w:t>
      </w:r>
      <w:r>
        <w:t xml:space="preserve"> (including registries and pharmacovigilance data) should be mapped</w:t>
      </w:r>
    </w:p>
    <w:p w14:paraId="6F30E685" w14:textId="77777777" w:rsidR="00EC41B5" w:rsidRDefault="00EC41B5" w:rsidP="002F06FE">
      <w:pPr>
        <w:pStyle w:val="ListParagraph"/>
        <w:numPr>
          <w:ilvl w:val="1"/>
          <w:numId w:val="22"/>
        </w:numPr>
        <w:spacing w:before="0" w:after="0"/>
      </w:pPr>
      <w:r>
        <w:t xml:space="preserve">access should be facilitated to relevant priority RWD collections </w:t>
      </w:r>
      <w:r w:rsidRPr="00C641CC">
        <w:t xml:space="preserve">for </w:t>
      </w:r>
      <w:r>
        <w:t>relevant stakeholders to</w:t>
      </w:r>
      <w:r w:rsidRPr="00C641CC">
        <w:t xml:space="preserve"> support</w:t>
      </w:r>
      <w:r>
        <w:t xml:space="preserve"> </w:t>
      </w:r>
      <w:r w:rsidRPr="00C641CC">
        <w:t>HTA</w:t>
      </w:r>
      <w:r>
        <w:t>s</w:t>
      </w:r>
    </w:p>
    <w:p w14:paraId="42087BC5" w14:textId="77777777" w:rsidR="00EC41B5" w:rsidRPr="00C641CC" w:rsidRDefault="00EC41B5" w:rsidP="002F06FE">
      <w:pPr>
        <w:pStyle w:val="ListParagraph"/>
        <w:numPr>
          <w:ilvl w:val="1"/>
          <w:numId w:val="22"/>
        </w:numPr>
        <w:spacing w:before="0" w:after="0"/>
      </w:pPr>
      <w:r>
        <w:t>m</w:t>
      </w:r>
      <w:r w:rsidRPr="00C641CC">
        <w:t>inimum data quality standards</w:t>
      </w:r>
      <w:r>
        <w:t xml:space="preserve"> and</w:t>
      </w:r>
      <w:r w:rsidRPr="00C641CC">
        <w:t xml:space="preserve"> validation and reporting processes</w:t>
      </w:r>
      <w:r>
        <w:t xml:space="preserve"> should be </w:t>
      </w:r>
      <w:r w:rsidDel="004E2B4A">
        <w:t xml:space="preserve">implemented </w:t>
      </w:r>
      <w:r>
        <w:t>for priority RWD collections</w:t>
      </w:r>
    </w:p>
    <w:p w14:paraId="5A810D5B" w14:textId="77777777" w:rsidR="00EC41B5" w:rsidRDefault="00EC41B5" w:rsidP="002F06FE">
      <w:pPr>
        <w:pStyle w:val="ListParagraph"/>
        <w:numPr>
          <w:ilvl w:val="1"/>
          <w:numId w:val="22"/>
        </w:numPr>
        <w:spacing w:before="0" w:after="0"/>
      </w:pPr>
      <w:r>
        <w:t>Data should be h</w:t>
      </w:r>
      <w:r w:rsidRPr="008224DF">
        <w:t>armonis</w:t>
      </w:r>
      <w:r>
        <w:t>ed</w:t>
      </w:r>
      <w:r w:rsidRPr="008224DF">
        <w:t xml:space="preserve"> across </w:t>
      </w:r>
      <w:r>
        <w:t>g</w:t>
      </w:r>
      <w:r w:rsidRPr="008224DF">
        <w:t xml:space="preserve">overnment </w:t>
      </w:r>
      <w:r>
        <w:t>d</w:t>
      </w:r>
      <w:r w:rsidRPr="008224DF">
        <w:t xml:space="preserve">epartments and jurisdictions for </w:t>
      </w:r>
      <w:r>
        <w:t>g</w:t>
      </w:r>
      <w:r w:rsidRPr="008224DF">
        <w:t>overnment-held Australian RWD collections that are fit-for-purpose for HTA</w:t>
      </w:r>
      <w:r>
        <w:t>s</w:t>
      </w:r>
      <w:r w:rsidRPr="008224DF">
        <w:t xml:space="preserve"> </w:t>
      </w:r>
      <w:r w:rsidRPr="00232DA1">
        <w:t>(</w:t>
      </w:r>
      <w:r w:rsidRPr="0063247B">
        <w:t>including data held by public hospitals and health services</w:t>
      </w:r>
      <w:r w:rsidRPr="00232DA1">
        <w:t>)</w:t>
      </w:r>
    </w:p>
    <w:p w14:paraId="23EA3F44" w14:textId="77777777" w:rsidR="00EC41B5" w:rsidRPr="00C641CC" w:rsidRDefault="00EC41B5" w:rsidP="002F06FE">
      <w:pPr>
        <w:pStyle w:val="ListParagraph"/>
        <w:numPr>
          <w:ilvl w:val="1"/>
          <w:numId w:val="22"/>
        </w:numPr>
        <w:spacing w:before="0" w:after="0"/>
      </w:pPr>
      <w:r w:rsidRPr="00C641CC">
        <w:t xml:space="preserve">RWD curation and harmonisation activities </w:t>
      </w:r>
      <w:r>
        <w:t xml:space="preserve">should be implemented </w:t>
      </w:r>
      <w:r w:rsidRPr="00C641CC">
        <w:t>for priority RWD collections</w:t>
      </w:r>
      <w:r>
        <w:t>,</w:t>
      </w:r>
      <w:r w:rsidRPr="00C641CC">
        <w:t xml:space="preserve"> including international</w:t>
      </w:r>
      <w:r>
        <w:t>ly</w:t>
      </w:r>
      <w:r w:rsidRPr="00C641CC">
        <w:t xml:space="preserve"> standardis</w:t>
      </w:r>
      <w:r>
        <w:t>ed</w:t>
      </w:r>
      <w:r w:rsidRPr="00C641CC">
        <w:t xml:space="preserve"> coding and terminology</w:t>
      </w:r>
      <w:r>
        <w:t>.</w:t>
      </w:r>
    </w:p>
    <w:p w14:paraId="6C89DA0F" w14:textId="77777777" w:rsidR="00EC41B5" w:rsidRPr="00E121B5" w:rsidRDefault="00EC41B5" w:rsidP="00484B58">
      <w:pPr>
        <w:pStyle w:val="Recommendation1"/>
      </w:pPr>
      <w:bookmarkStart w:id="46" w:name="_Hlk167302290"/>
      <w:r w:rsidRPr="00E121B5">
        <w:t>Inter</w:t>
      </w:r>
      <w:r>
        <w:t>g</w:t>
      </w:r>
      <w:r w:rsidRPr="00E121B5">
        <w:t xml:space="preserve">overnmental collaboration in </w:t>
      </w:r>
      <w:proofErr w:type="spellStart"/>
      <w:r w:rsidRPr="00E121B5">
        <w:t>standardised</w:t>
      </w:r>
      <w:proofErr w:type="spellEnd"/>
      <w:r w:rsidRPr="00E121B5">
        <w:t xml:space="preserve"> collection and sharing of health technology</w:t>
      </w:r>
      <w:r>
        <w:t>–</w:t>
      </w:r>
      <w:r w:rsidRPr="00E121B5">
        <w:t>related data</w:t>
      </w:r>
    </w:p>
    <w:bookmarkEnd w:id="46"/>
    <w:p w14:paraId="7F7F60CA" w14:textId="77777777" w:rsidR="00EC41B5" w:rsidRDefault="00EC41B5" w:rsidP="005B78F7">
      <w:pPr>
        <w:spacing w:after="0"/>
      </w:pPr>
      <w:r w:rsidRPr="00405FD7">
        <w:t xml:space="preserve">The Review recommends </w:t>
      </w:r>
      <w:r>
        <w:t xml:space="preserve">that </w:t>
      </w:r>
      <w:r w:rsidRPr="00405FD7">
        <w:t>the Australian Government</w:t>
      </w:r>
      <w:r>
        <w:t xml:space="preserve"> p</w:t>
      </w:r>
      <w:r w:rsidRPr="0019054D">
        <w:t xml:space="preserve">romote </w:t>
      </w:r>
      <w:r>
        <w:t>s</w:t>
      </w:r>
      <w:r w:rsidRPr="0019054D">
        <w:t xml:space="preserve">tate and </w:t>
      </w:r>
      <w:r>
        <w:t>t</w:t>
      </w:r>
      <w:r w:rsidRPr="0019054D">
        <w:t xml:space="preserve">erritory </w:t>
      </w:r>
      <w:r>
        <w:t>g</w:t>
      </w:r>
      <w:r w:rsidRPr="0019054D">
        <w:t>overnment collaboration and participation in cross-jurisdictional data</w:t>
      </w:r>
      <w:r>
        <w:t xml:space="preserve"> </w:t>
      </w:r>
      <w:r w:rsidRPr="0019054D">
        <w:t xml:space="preserve">sharing to support </w:t>
      </w:r>
      <w:r>
        <w:t xml:space="preserve">a </w:t>
      </w:r>
      <w:r w:rsidRPr="0019054D">
        <w:t xml:space="preserve">nationally cohesive </w:t>
      </w:r>
      <w:r w:rsidRPr="00FE1477">
        <w:t>HTA</w:t>
      </w:r>
      <w:r>
        <w:t xml:space="preserve"> system</w:t>
      </w:r>
      <w:r w:rsidRPr="0019054D">
        <w:t xml:space="preserve">. </w:t>
      </w:r>
    </w:p>
    <w:p w14:paraId="7624B5B6" w14:textId="77777777" w:rsidR="00471959" w:rsidRPr="0019054D" w:rsidRDefault="00471959" w:rsidP="005B78F7">
      <w:pPr>
        <w:spacing w:after="0"/>
      </w:pPr>
    </w:p>
    <w:p w14:paraId="54B12296" w14:textId="0E460578" w:rsidR="00EC41B5" w:rsidRDefault="00EC41B5" w:rsidP="00E32250">
      <w:r w:rsidRPr="0019054D">
        <w:lastRenderedPageBreak/>
        <w:t xml:space="preserve">This should be facilitated via </w:t>
      </w:r>
      <w:proofErr w:type="spellStart"/>
      <w:r w:rsidRPr="0019054D">
        <w:t>centralised</w:t>
      </w:r>
      <w:proofErr w:type="spellEnd"/>
      <w:r w:rsidRPr="0019054D">
        <w:t xml:space="preserve"> data-sharing infrastructure and </w:t>
      </w:r>
      <w:proofErr w:type="spellStart"/>
      <w:r w:rsidRPr="0019054D">
        <w:t>harmonisation</w:t>
      </w:r>
      <w:proofErr w:type="spellEnd"/>
      <w:r w:rsidRPr="0019054D">
        <w:t xml:space="preserve"> of access to existing government-held </w:t>
      </w:r>
      <w:r>
        <w:t xml:space="preserve">real-world data </w:t>
      </w:r>
      <w:r w:rsidRPr="0019054D">
        <w:t>collections (</w:t>
      </w:r>
      <w:r>
        <w:t>see ‘</w:t>
      </w:r>
      <w:r>
        <w:rPr>
          <w:i/>
        </w:rPr>
        <w:fldChar w:fldCharType="begin" w:fldLock="1"/>
      </w:r>
      <w:r>
        <w:instrText xml:space="preserve"> REF _Ref166789414 \r \h </w:instrText>
      </w:r>
      <w:r w:rsidR="00E32250">
        <w:rPr>
          <w:i/>
        </w:rPr>
        <w:instrText xml:space="preserve"> \* MERGEFORMAT </w:instrText>
      </w:r>
      <w:r>
        <w:rPr>
          <w:i/>
        </w:rPr>
      </w:r>
      <w:r>
        <w:rPr>
          <w:i/>
        </w:rPr>
        <w:fldChar w:fldCharType="separate"/>
      </w:r>
      <w:r>
        <w:t>Recommendation 28</w:t>
      </w:r>
      <w:r>
        <w:rPr>
          <w:i/>
        </w:rPr>
        <w:fldChar w:fldCharType="end"/>
      </w:r>
      <w:r>
        <w:rPr>
          <w:i/>
        </w:rPr>
        <w:t>.</w:t>
      </w:r>
      <w:r w:rsidRPr="000C5623">
        <w:rPr>
          <w:iCs/>
        </w:rPr>
        <w:t xml:space="preserve"> Data infrastructure to support HTAs</w:t>
      </w:r>
      <w:r>
        <w:t>’</w:t>
      </w:r>
      <w:r w:rsidRPr="00620ACF">
        <w:t>).</w:t>
      </w:r>
    </w:p>
    <w:p w14:paraId="579AC8AD" w14:textId="77777777" w:rsidR="00471959" w:rsidRPr="0019054D" w:rsidRDefault="00471959" w:rsidP="00E32250"/>
    <w:p w14:paraId="2A88C26A" w14:textId="77777777" w:rsidR="00EC41B5" w:rsidRPr="0019054D" w:rsidRDefault="00EC41B5" w:rsidP="00E32250">
      <w:r w:rsidRPr="0019054D">
        <w:t>Consideration should be given to</w:t>
      </w:r>
      <w:r>
        <w:t xml:space="preserve"> </w:t>
      </w:r>
      <w:r w:rsidRPr="0019054D" w:rsidDel="005D4E74">
        <w:t xml:space="preserve">strengthening and </w:t>
      </w:r>
      <w:r w:rsidRPr="0019054D">
        <w:t>supporting the information</w:t>
      </w:r>
      <w:r>
        <w:t>-</w:t>
      </w:r>
      <w:r w:rsidRPr="0019054D">
        <w:t xml:space="preserve">sharing </w:t>
      </w:r>
      <w:r>
        <w:t>clauses</w:t>
      </w:r>
      <w:r w:rsidRPr="0019054D">
        <w:t xml:space="preserve"> recommended in the</w:t>
      </w:r>
      <w:r>
        <w:t xml:space="preserve"> </w:t>
      </w:r>
      <w:r w:rsidRPr="00F84997">
        <w:t>2020</w:t>
      </w:r>
      <w:r>
        <w:t>–</w:t>
      </w:r>
      <w:r w:rsidRPr="00F84997">
        <w:t xml:space="preserve">25 </w:t>
      </w:r>
      <w:r>
        <w:t>Addendum to the</w:t>
      </w:r>
      <w:r w:rsidRPr="0019054D">
        <w:t xml:space="preserve"> </w:t>
      </w:r>
      <w:r w:rsidRPr="00F84997">
        <w:t>National Health Reform Agreement</w:t>
      </w:r>
      <w:r>
        <w:t>, including</w:t>
      </w:r>
      <w:r w:rsidRPr="0019054D">
        <w:t xml:space="preserve"> establishment of information</w:t>
      </w:r>
      <w:r>
        <w:t>-</w:t>
      </w:r>
      <w:r w:rsidRPr="0019054D">
        <w:t>sharing platform</w:t>
      </w:r>
      <w:r>
        <w:t>. This would</w:t>
      </w:r>
      <w:r w:rsidRPr="00F84997" w:rsidDel="005D4E74">
        <w:t xml:space="preserve"> </w:t>
      </w:r>
      <w:r>
        <w:t xml:space="preserve">help to </w:t>
      </w:r>
      <w:r w:rsidRPr="0019054D">
        <w:t xml:space="preserve">ensure </w:t>
      </w:r>
      <w:r>
        <w:t xml:space="preserve">that </w:t>
      </w:r>
      <w:r w:rsidRPr="0019054D">
        <w:t xml:space="preserve">all states and territories </w:t>
      </w:r>
      <w:r>
        <w:t xml:space="preserve">meet the </w:t>
      </w:r>
      <w:r w:rsidRPr="0019054D">
        <w:t>policy and resource commitment</w:t>
      </w:r>
      <w:r>
        <w:t>s</w:t>
      </w:r>
      <w:r w:rsidRPr="0019054D">
        <w:t xml:space="preserve"> </w:t>
      </w:r>
      <w:r>
        <w:t>made</w:t>
      </w:r>
      <w:r w:rsidRPr="0019054D" w:rsidDel="005D4E74">
        <w:t xml:space="preserve"> </w:t>
      </w:r>
      <w:r w:rsidRPr="0019054D">
        <w:t xml:space="preserve">in </w:t>
      </w:r>
      <w:r>
        <w:t xml:space="preserve">relation to </w:t>
      </w:r>
      <w:r w:rsidRPr="0019054D">
        <w:t>collecti</w:t>
      </w:r>
      <w:r>
        <w:t>ng</w:t>
      </w:r>
      <w:r w:rsidRPr="0019054D">
        <w:t xml:space="preserve"> and sharing data </w:t>
      </w:r>
      <w:r>
        <w:t>on</w:t>
      </w:r>
      <w:r w:rsidRPr="0019054D">
        <w:t xml:space="preserve"> the use of health technologies of interest, from pre-registration to post-market</w:t>
      </w:r>
      <w:r>
        <w:t xml:space="preserve"> review</w:t>
      </w:r>
      <w:r w:rsidRPr="0019054D">
        <w:t>.</w:t>
      </w:r>
      <w:r>
        <w:t xml:space="preserve"> </w:t>
      </w:r>
    </w:p>
    <w:p w14:paraId="5B9721E4" w14:textId="77777777" w:rsidR="00EC41B5" w:rsidRDefault="00EC41B5" w:rsidP="00484B58">
      <w:pPr>
        <w:pStyle w:val="Recommendation1"/>
      </w:pPr>
      <w:bookmarkStart w:id="47" w:name="_Hlk167302321"/>
      <w:r w:rsidRPr="00496E3C">
        <w:t>R</w:t>
      </w:r>
      <w:r>
        <w:t>eal-world data</w:t>
      </w:r>
      <w:r w:rsidRPr="00496E3C">
        <w:t xml:space="preserve"> </w:t>
      </w:r>
      <w:r>
        <w:t>and real-world evidence m</w:t>
      </w:r>
      <w:r w:rsidRPr="00496E3C">
        <w:t xml:space="preserve">ethods development </w:t>
      </w:r>
    </w:p>
    <w:bookmarkEnd w:id="47"/>
    <w:p w14:paraId="4FFC094F" w14:textId="7D4DF1AA" w:rsidR="00EC41B5" w:rsidRDefault="00EC41B5" w:rsidP="00E32250">
      <w:pPr>
        <w:rPr>
          <w:rFonts w:eastAsia="Times New Roman"/>
          <w:lang w:eastAsia="en-AU"/>
        </w:rPr>
      </w:pPr>
      <w:r w:rsidRPr="00405FD7">
        <w:t xml:space="preserve">The Review recommends </w:t>
      </w:r>
      <w:r>
        <w:t xml:space="preserve">that </w:t>
      </w:r>
      <w:r w:rsidRPr="00405FD7">
        <w:t>the Australian Government</w:t>
      </w:r>
      <w:r>
        <w:t xml:space="preserve">, </w:t>
      </w:r>
      <w:r>
        <w:rPr>
          <w:rFonts w:eastAsia="Times New Roman"/>
          <w:lang w:eastAsia="en-AU"/>
        </w:rPr>
        <w:t>w</w:t>
      </w:r>
      <w:r w:rsidRPr="00744E9A">
        <w:rPr>
          <w:rFonts w:eastAsia="Times New Roman"/>
          <w:lang w:eastAsia="en-AU"/>
        </w:rPr>
        <w:t xml:space="preserve">ith oversight by the </w:t>
      </w:r>
      <w:r w:rsidRPr="00C37589">
        <w:rPr>
          <w:bCs/>
        </w:rPr>
        <w:t>multi-stakeholder advisory group (see ‘</w:t>
      </w:r>
      <w:r w:rsidRPr="006F419F">
        <w:fldChar w:fldCharType="begin" w:fldLock="1"/>
      </w:r>
      <w:r w:rsidRPr="006F419F">
        <w:instrText xml:space="preserve"> REF _Ref166776766 \r \h  \* MERGEFORMAT </w:instrText>
      </w:r>
      <w:r w:rsidRPr="006F419F">
        <w:fldChar w:fldCharType="separate"/>
      </w:r>
      <w:r w:rsidRPr="006F419F">
        <w:t>Recommendation</w:t>
      </w:r>
      <w:r w:rsidRPr="00BD4B2C">
        <w:rPr>
          <w:b/>
          <w:bCs/>
        </w:rPr>
        <w:t xml:space="preserve"> </w:t>
      </w:r>
      <w:r w:rsidRPr="006F419F">
        <w:t>27</w:t>
      </w:r>
      <w:r w:rsidRPr="006F419F">
        <w:fldChar w:fldCharType="end"/>
      </w:r>
      <w:r w:rsidRPr="00C37589">
        <w:rPr>
          <w:bCs/>
        </w:rPr>
        <w:t>.</w:t>
      </w:r>
      <w:r w:rsidRPr="00C37589">
        <w:rPr>
          <w:bCs/>
          <w:iCs/>
        </w:rPr>
        <w:tab/>
      </w:r>
      <w:r w:rsidR="006F419F">
        <w:rPr>
          <w:bCs/>
          <w:iCs/>
        </w:rPr>
        <w:t xml:space="preserve"> </w:t>
      </w:r>
      <w:r w:rsidRPr="00C37589">
        <w:rPr>
          <w:bCs/>
          <w:iCs/>
        </w:rPr>
        <w:t>Governance</w:t>
      </w:r>
      <w:r w:rsidR="00BC1ACE">
        <w:rPr>
          <w:bCs/>
          <w:iCs/>
        </w:rPr>
        <w:t xml:space="preserve"> </w:t>
      </w:r>
      <w:r w:rsidRPr="00C37589">
        <w:rPr>
          <w:bCs/>
          <w:iCs/>
        </w:rPr>
        <w:t>and</w:t>
      </w:r>
      <w:r w:rsidR="00BC1ACE">
        <w:rPr>
          <w:bCs/>
          <w:iCs/>
        </w:rPr>
        <w:t xml:space="preserve"> </w:t>
      </w:r>
      <w:r w:rsidRPr="00C37589">
        <w:rPr>
          <w:bCs/>
          <w:iCs/>
        </w:rPr>
        <w:t>strategic oversight of real-world data to support HTAs’)</w:t>
      </w:r>
      <w:r w:rsidRPr="00C37589">
        <w:rPr>
          <w:bCs/>
        </w:rPr>
        <w:t>, d</w:t>
      </w:r>
      <w:r w:rsidRPr="008F4609">
        <w:rPr>
          <w:rFonts w:eastAsia="Times New Roman"/>
          <w:lang w:eastAsia="en-AU"/>
        </w:rPr>
        <w:t>evelop</w:t>
      </w:r>
      <w:r>
        <w:rPr>
          <w:rFonts w:eastAsia="Times New Roman"/>
          <w:lang w:eastAsia="en-AU"/>
        </w:rPr>
        <w:t xml:space="preserve"> </w:t>
      </w:r>
      <w:r w:rsidRPr="002B38D3">
        <w:rPr>
          <w:rFonts w:eastAsia="Times New Roman"/>
          <w:lang w:eastAsia="en-AU"/>
        </w:rPr>
        <w:t xml:space="preserve">a multi-stakeholder coordinated approach to transparent evidence development for </w:t>
      </w:r>
      <w:r w:rsidRPr="001A6C49">
        <w:rPr>
          <w:rFonts w:eastAsia="Times New Roman"/>
          <w:lang w:eastAsia="en-AU"/>
        </w:rPr>
        <w:t>HTA</w:t>
      </w:r>
      <w:r>
        <w:rPr>
          <w:rFonts w:eastAsia="Times New Roman"/>
          <w:lang w:eastAsia="en-AU"/>
        </w:rPr>
        <w:t>s,</w:t>
      </w:r>
      <w:r w:rsidRPr="001A6C49" w:rsidDel="001A6C49">
        <w:rPr>
          <w:rFonts w:eastAsia="Times New Roman"/>
          <w:lang w:eastAsia="en-AU"/>
        </w:rPr>
        <w:t xml:space="preserve"> </w:t>
      </w:r>
      <w:r w:rsidRPr="002B38D3">
        <w:rPr>
          <w:rFonts w:eastAsia="Times New Roman"/>
          <w:lang w:eastAsia="en-AU"/>
        </w:rPr>
        <w:t xml:space="preserve">using best-practice methods, spanning data </w:t>
      </w:r>
      <w:proofErr w:type="spellStart"/>
      <w:r w:rsidRPr="002B38D3">
        <w:rPr>
          <w:rFonts w:eastAsia="Times New Roman"/>
          <w:lang w:eastAsia="en-AU"/>
        </w:rPr>
        <w:t>standardisation</w:t>
      </w:r>
      <w:proofErr w:type="spellEnd"/>
      <w:r w:rsidRPr="002B38D3">
        <w:rPr>
          <w:rFonts w:eastAsia="Times New Roman"/>
          <w:lang w:eastAsia="en-AU"/>
        </w:rPr>
        <w:t xml:space="preserve">, </w:t>
      </w:r>
      <w:proofErr w:type="spellStart"/>
      <w:r w:rsidRPr="002B38D3">
        <w:rPr>
          <w:rFonts w:eastAsia="Times New Roman"/>
          <w:lang w:eastAsia="en-AU"/>
        </w:rPr>
        <w:t>standardised</w:t>
      </w:r>
      <w:proofErr w:type="spellEnd"/>
      <w:r w:rsidRPr="002B38D3">
        <w:rPr>
          <w:rFonts w:eastAsia="Times New Roman"/>
          <w:lang w:eastAsia="en-AU"/>
        </w:rPr>
        <w:t xml:space="preserve"> analytics and reporting.</w:t>
      </w:r>
      <w:r>
        <w:rPr>
          <w:rFonts w:eastAsia="Times New Roman"/>
          <w:lang w:eastAsia="en-AU"/>
        </w:rPr>
        <w:t xml:space="preserve"> </w:t>
      </w:r>
    </w:p>
    <w:p w14:paraId="12FE019B" w14:textId="77777777" w:rsidR="00EC41B5" w:rsidRPr="005B4EBF" w:rsidRDefault="00EC41B5" w:rsidP="00484B58">
      <w:pPr>
        <w:pStyle w:val="Recommendation1"/>
      </w:pPr>
      <w:bookmarkStart w:id="48" w:name="_Hlk167302339"/>
      <w:r w:rsidRPr="004C0894">
        <w:t>Collecti</w:t>
      </w:r>
      <w:r>
        <w:t>ng and using</w:t>
      </w:r>
      <w:r w:rsidRPr="004C0894">
        <w:t xml:space="preserve"> </w:t>
      </w:r>
      <w:r>
        <w:t>real-world data to resolve uncertainty</w:t>
      </w:r>
    </w:p>
    <w:bookmarkEnd w:id="48"/>
    <w:p w14:paraId="35904BFC" w14:textId="77777777" w:rsidR="00EC41B5" w:rsidRPr="00141E16" w:rsidRDefault="00EC41B5" w:rsidP="00141E16">
      <w:r w:rsidRPr="00141E16">
        <w:t xml:space="preserve">The Review recommends that the Australian Government ensure early identification and/or configuration of data collections potentially suitable to help resolve uncertainties (and any new </w:t>
      </w:r>
      <w:proofErr w:type="spellStart"/>
      <w:r w:rsidRPr="00141E16">
        <w:t>randomised</w:t>
      </w:r>
      <w:proofErr w:type="spellEnd"/>
      <w:r w:rsidRPr="00141E16">
        <w:t xml:space="preserve"> controlled trial</w:t>
      </w:r>
      <w:r w:rsidRPr="00141E16" w:rsidDel="00B615F2">
        <w:t xml:space="preserve"> </w:t>
      </w:r>
      <w:r w:rsidRPr="00141E16">
        <w:t>evidence</w:t>
      </w:r>
      <w:r w:rsidRPr="00141E16">
        <w:rPr>
          <w:lang w:eastAsia="en-AU"/>
        </w:rPr>
        <w:t xml:space="preserve">), where </w:t>
      </w:r>
      <w:r w:rsidRPr="00141E16">
        <w:t>it is expected that an application is likely to result in a managed entry agreement (MEA).</w:t>
      </w:r>
    </w:p>
    <w:p w14:paraId="7BBFD09E" w14:textId="77777777" w:rsidR="00EC41B5" w:rsidRDefault="00EC41B5" w:rsidP="00F20014">
      <w:pPr>
        <w:pStyle w:val="ListParagraph"/>
        <w:numPr>
          <w:ilvl w:val="0"/>
          <w:numId w:val="57"/>
        </w:numPr>
        <w:rPr>
          <w:lang w:eastAsia="en-AU"/>
        </w:rPr>
      </w:pPr>
      <w:r>
        <w:rPr>
          <w:lang w:eastAsia="en-AU"/>
        </w:rPr>
        <w:t>Suitable data collections may include:</w:t>
      </w:r>
    </w:p>
    <w:p w14:paraId="08B347F2" w14:textId="77777777" w:rsidR="00EC41B5" w:rsidRPr="00C07A09" w:rsidRDefault="00EC41B5" w:rsidP="00F20014">
      <w:pPr>
        <w:pStyle w:val="ListParagraph"/>
        <w:numPr>
          <w:ilvl w:val="1"/>
          <w:numId w:val="56"/>
        </w:numPr>
        <w:spacing w:before="0" w:after="0"/>
        <w:rPr>
          <w:lang w:eastAsia="en-AU"/>
        </w:rPr>
      </w:pPr>
      <w:r>
        <w:rPr>
          <w:lang w:eastAsia="en-AU"/>
        </w:rPr>
        <w:t>priority real-world data (RWD) collections (see ‘Recommendation 28. Data infrastructure to support HTAs’</w:t>
      </w:r>
      <w:r w:rsidRPr="002F06FE">
        <w:fldChar w:fldCharType="begin" w:fldLock="1"/>
      </w:r>
      <w:r w:rsidRPr="002F06FE">
        <w:instrText xml:space="preserve"> REF _Ref165281443 \n \h  \* MERGEFORMAT </w:instrText>
      </w:r>
      <w:r w:rsidR="006F411B">
        <w:fldChar w:fldCharType="separate"/>
      </w:r>
      <w:r w:rsidRPr="002F06FE">
        <w:fldChar w:fldCharType="end"/>
      </w:r>
      <w:r>
        <w:rPr>
          <w:lang w:eastAsia="en-AU"/>
        </w:rPr>
        <w:t>), such as in e</w:t>
      </w:r>
      <w:r w:rsidRPr="00232DA1">
        <w:t xml:space="preserve">xisting </w:t>
      </w:r>
      <w:r w:rsidRPr="00D84017">
        <w:t>clinical</w:t>
      </w:r>
      <w:r w:rsidRPr="00232DA1">
        <w:t xml:space="preserve"> registries</w:t>
      </w:r>
      <w:r w:rsidRPr="00232DA1" w:rsidDel="00002EBF">
        <w:t xml:space="preserve">. </w:t>
      </w:r>
      <w:r w:rsidRPr="002B38D3" w:rsidDel="00002EBF">
        <w:t>I</w:t>
      </w:r>
      <w:r w:rsidRPr="002B38D3">
        <w:t>ntegrated data from a single populous jurisdiction may be fit-</w:t>
      </w:r>
      <w:r w:rsidRPr="00A14EA3">
        <w:rPr>
          <w:rFonts w:eastAsia="Times New Roman" w:cs="Segoe UI"/>
          <w:lang w:eastAsia="en-AU"/>
        </w:rPr>
        <w:t>for</w:t>
      </w:r>
      <w:r w:rsidRPr="002B38D3">
        <w:t>-purpose</w:t>
      </w:r>
      <w:r w:rsidRPr="00A14EA3">
        <w:rPr>
          <w:rFonts w:eastAsia="Times New Roman" w:cs="Segoe UI"/>
          <w:lang w:eastAsia="en-AU"/>
        </w:rPr>
        <w:t xml:space="preserve"> to address </w:t>
      </w:r>
      <w:r>
        <w:rPr>
          <w:rFonts w:eastAsia="Times New Roman" w:cs="Segoe UI"/>
          <w:lang w:eastAsia="en-AU"/>
        </w:rPr>
        <w:t>certain</w:t>
      </w:r>
      <w:r w:rsidRPr="00A14EA3">
        <w:rPr>
          <w:rFonts w:eastAsia="Times New Roman" w:cs="Segoe UI"/>
          <w:lang w:eastAsia="en-AU"/>
        </w:rPr>
        <w:t xml:space="preserve"> research questions</w:t>
      </w:r>
      <w:r>
        <w:rPr>
          <w:rFonts w:eastAsia="Times New Roman" w:cs="Segoe UI"/>
          <w:lang w:eastAsia="en-AU"/>
        </w:rPr>
        <w:t>)</w:t>
      </w:r>
    </w:p>
    <w:p w14:paraId="60DBBCD8" w14:textId="77777777" w:rsidR="00EC41B5" w:rsidRDefault="00EC41B5" w:rsidP="00F20014">
      <w:pPr>
        <w:pStyle w:val="ListParagraph"/>
        <w:numPr>
          <w:ilvl w:val="1"/>
          <w:numId w:val="56"/>
        </w:numPr>
        <w:spacing w:before="0" w:after="0"/>
        <w:rPr>
          <w:lang w:eastAsia="en-AU"/>
        </w:rPr>
      </w:pPr>
      <w:r>
        <w:rPr>
          <w:lang w:eastAsia="en-AU"/>
        </w:rPr>
        <w:t>i</w:t>
      </w:r>
      <w:r w:rsidRPr="00810D9D">
        <w:rPr>
          <w:lang w:eastAsia="en-AU"/>
        </w:rPr>
        <w:t>n the longer</w:t>
      </w:r>
      <w:r>
        <w:rPr>
          <w:lang w:eastAsia="en-AU"/>
        </w:rPr>
        <w:t xml:space="preserve"> </w:t>
      </w:r>
      <w:r w:rsidRPr="00810D9D">
        <w:rPr>
          <w:lang w:eastAsia="en-AU"/>
        </w:rPr>
        <w:t>term</w:t>
      </w:r>
      <w:r>
        <w:rPr>
          <w:lang w:eastAsia="en-AU"/>
        </w:rPr>
        <w:t xml:space="preserve">, </w:t>
      </w:r>
      <w:r w:rsidRPr="00810D9D">
        <w:rPr>
          <w:lang w:eastAsia="en-AU"/>
        </w:rPr>
        <w:t xml:space="preserve">outcomes of interest </w:t>
      </w:r>
      <w:r w:rsidRPr="00810D9D" w:rsidDel="00002EBF">
        <w:rPr>
          <w:lang w:eastAsia="en-AU"/>
        </w:rPr>
        <w:t xml:space="preserve">may be </w:t>
      </w:r>
      <w:r w:rsidRPr="00810D9D">
        <w:rPr>
          <w:lang w:eastAsia="en-AU"/>
        </w:rPr>
        <w:t>collected as add-on</w:t>
      </w:r>
      <w:r>
        <w:rPr>
          <w:lang w:eastAsia="en-AU"/>
        </w:rPr>
        <w:t>s</w:t>
      </w:r>
      <w:r w:rsidRPr="00810D9D">
        <w:rPr>
          <w:lang w:eastAsia="en-AU"/>
        </w:rPr>
        <w:t xml:space="preserve"> to enduring data</w:t>
      </w:r>
      <w:r>
        <w:rPr>
          <w:lang w:eastAsia="en-AU"/>
        </w:rPr>
        <w:t xml:space="preserve"> </w:t>
      </w:r>
      <w:r w:rsidRPr="00810D9D">
        <w:rPr>
          <w:lang w:eastAsia="en-AU"/>
        </w:rPr>
        <w:t>linkages</w:t>
      </w:r>
      <w:r w:rsidRPr="00DE49AC">
        <w:rPr>
          <w:lang w:eastAsia="en-AU"/>
        </w:rPr>
        <w:t>, national dataset</w:t>
      </w:r>
      <w:r>
        <w:rPr>
          <w:lang w:eastAsia="en-AU"/>
        </w:rPr>
        <w:t>s</w:t>
      </w:r>
      <w:r w:rsidRPr="00DE49AC">
        <w:rPr>
          <w:lang w:eastAsia="en-AU"/>
        </w:rPr>
        <w:t xml:space="preserve"> (</w:t>
      </w:r>
      <w:r w:rsidRPr="00F15415">
        <w:rPr>
          <w:lang w:eastAsia="en-AU"/>
        </w:rPr>
        <w:t>see ‘Recommendation 28</w:t>
      </w:r>
      <w:r w:rsidRPr="002F06FE">
        <w:t xml:space="preserve">. </w:t>
      </w:r>
      <w:r w:rsidRPr="00F15415">
        <w:rPr>
          <w:lang w:eastAsia="en-AU"/>
        </w:rPr>
        <w:t>Data infrastructure to support HTAs’</w:t>
      </w:r>
      <w:r w:rsidRPr="002F06FE">
        <w:fldChar w:fldCharType="begin" w:fldLock="1"/>
      </w:r>
      <w:r w:rsidRPr="002F06FE">
        <w:instrText xml:space="preserve"> REF _Ref165281443 \n \h  \* MERGEFORMAT </w:instrText>
      </w:r>
      <w:r w:rsidR="006F411B">
        <w:fldChar w:fldCharType="separate"/>
      </w:r>
      <w:r w:rsidRPr="002F06FE">
        <w:fldChar w:fldCharType="end"/>
      </w:r>
      <w:r w:rsidRPr="00F15415">
        <w:rPr>
          <w:lang w:eastAsia="en-AU"/>
        </w:rPr>
        <w:t>)</w:t>
      </w:r>
      <w:r w:rsidRPr="00DE49AC">
        <w:rPr>
          <w:lang w:eastAsia="en-AU"/>
        </w:rPr>
        <w:t xml:space="preserve"> </w:t>
      </w:r>
      <w:r w:rsidRPr="00810D9D" w:rsidDel="004F5152">
        <w:rPr>
          <w:lang w:eastAsia="en-AU"/>
        </w:rPr>
        <w:t>or</w:t>
      </w:r>
      <w:r w:rsidRPr="00810D9D">
        <w:rPr>
          <w:lang w:eastAsia="en-AU"/>
        </w:rPr>
        <w:t xml:space="preserve"> </w:t>
      </w:r>
      <w:r w:rsidRPr="00F15415">
        <w:rPr>
          <w:lang w:eastAsia="en-AU"/>
        </w:rPr>
        <w:t>electronic health records</w:t>
      </w:r>
      <w:r w:rsidRPr="00810D9D">
        <w:rPr>
          <w:lang w:eastAsia="en-AU"/>
        </w:rPr>
        <w:t xml:space="preserve"> data, as recommended by the advisory </w:t>
      </w:r>
      <w:r>
        <w:rPr>
          <w:lang w:eastAsia="en-AU"/>
        </w:rPr>
        <w:t>group</w:t>
      </w:r>
      <w:r w:rsidRPr="00810D9D">
        <w:rPr>
          <w:lang w:eastAsia="en-AU"/>
        </w:rPr>
        <w:t xml:space="preserve"> (</w:t>
      </w:r>
      <w:r w:rsidRPr="00F15415">
        <w:t>see ‘Recommendation 27: Governance and strategic oversight of real-world data to support HTAs</w:t>
      </w:r>
      <w:r w:rsidRPr="00F15415">
        <w:rPr>
          <w:lang w:eastAsia="en-AU"/>
        </w:rPr>
        <w:t>’</w:t>
      </w:r>
      <w:r>
        <w:rPr>
          <w:lang w:eastAsia="en-AU"/>
        </w:rPr>
        <w:t>).</w:t>
      </w:r>
    </w:p>
    <w:p w14:paraId="68E89191" w14:textId="4BC6889E" w:rsidR="00EC41B5" w:rsidRDefault="00EC41B5" w:rsidP="00F20014">
      <w:pPr>
        <w:pStyle w:val="ListParagraph"/>
        <w:numPr>
          <w:ilvl w:val="0"/>
          <w:numId w:val="57"/>
        </w:numPr>
        <w:rPr>
          <w:lang w:eastAsia="en-AU"/>
        </w:rPr>
      </w:pPr>
      <w:r w:rsidDel="004F5152">
        <w:rPr>
          <w:lang w:eastAsia="en-AU"/>
        </w:rPr>
        <w:lastRenderedPageBreak/>
        <w:t>W</w:t>
      </w:r>
      <w:r>
        <w:rPr>
          <w:lang w:eastAsia="en-AU"/>
        </w:rPr>
        <w:t xml:space="preserve">here a suitable data collection cannot be identified, establishing new datasets could be considered. These could be obtained via pre-agreed data items (e.g. minimum datasets) collected via relevant </w:t>
      </w:r>
      <w:r w:rsidRPr="00F15415">
        <w:rPr>
          <w:lang w:eastAsia="en-AU"/>
        </w:rPr>
        <w:t>electronic medical records</w:t>
      </w:r>
      <w:r w:rsidDel="00160F4C">
        <w:rPr>
          <w:lang w:eastAsia="en-AU"/>
        </w:rPr>
        <w:t xml:space="preserve"> </w:t>
      </w:r>
      <w:r>
        <w:rPr>
          <w:lang w:eastAsia="en-AU"/>
        </w:rPr>
        <w:t xml:space="preserve">or a customised form used for collecting data as a requirement for access to provisionally listed therapies </w:t>
      </w:r>
    </w:p>
    <w:p w14:paraId="3D25657B" w14:textId="64BA01C6" w:rsidR="00EC41B5" w:rsidRDefault="00EC41B5" w:rsidP="00F20014">
      <w:pPr>
        <w:pStyle w:val="ListParagraph"/>
        <w:numPr>
          <w:ilvl w:val="0"/>
          <w:numId w:val="57"/>
        </w:numPr>
        <w:suppressOverlap/>
        <w:rPr>
          <w:lang w:eastAsia="en-AU"/>
        </w:rPr>
      </w:pPr>
      <w:r>
        <w:rPr>
          <w:lang w:eastAsia="en-AU"/>
        </w:rPr>
        <w:t>Early exploration</w:t>
      </w:r>
      <w:r w:rsidRPr="00810D9D">
        <w:rPr>
          <w:lang w:eastAsia="en-AU"/>
        </w:rPr>
        <w:t xml:space="preserve"> and </w:t>
      </w:r>
      <w:r>
        <w:rPr>
          <w:lang w:eastAsia="en-AU"/>
        </w:rPr>
        <w:t>n</w:t>
      </w:r>
      <w:r w:rsidRPr="00810D9D">
        <w:rPr>
          <w:lang w:eastAsia="en-AU"/>
        </w:rPr>
        <w:t xml:space="preserve">egotiation </w:t>
      </w:r>
      <w:r>
        <w:rPr>
          <w:lang w:eastAsia="en-AU"/>
        </w:rPr>
        <w:t>should begin</w:t>
      </w:r>
      <w:r w:rsidDel="00215178">
        <w:rPr>
          <w:lang w:eastAsia="en-AU"/>
        </w:rPr>
        <w:t xml:space="preserve"> </w:t>
      </w:r>
      <w:r w:rsidRPr="00810D9D">
        <w:rPr>
          <w:lang w:eastAsia="en-AU"/>
        </w:rPr>
        <w:t>to determine the feasibility of</w:t>
      </w:r>
      <w:r>
        <w:rPr>
          <w:lang w:eastAsia="en-AU"/>
        </w:rPr>
        <w:t>, and resourcing requirements for,</w:t>
      </w:r>
      <w:r w:rsidRPr="00810D9D">
        <w:rPr>
          <w:lang w:eastAsia="en-AU"/>
        </w:rPr>
        <w:t xml:space="preserve"> </w:t>
      </w:r>
      <w:r>
        <w:rPr>
          <w:lang w:eastAsia="en-AU"/>
        </w:rPr>
        <w:t xml:space="preserve">timely, quality </w:t>
      </w:r>
      <w:r w:rsidRPr="00810D9D">
        <w:rPr>
          <w:lang w:eastAsia="en-AU"/>
        </w:rPr>
        <w:t>data collection</w:t>
      </w:r>
      <w:r>
        <w:rPr>
          <w:lang w:eastAsia="en-AU"/>
        </w:rPr>
        <w:t xml:space="preserve"> and reporting for the intended purpose</w:t>
      </w:r>
    </w:p>
    <w:p w14:paraId="5EB2F88C" w14:textId="2345B3C3" w:rsidR="00EC41B5" w:rsidRDefault="00EC41B5" w:rsidP="00F20014">
      <w:pPr>
        <w:pStyle w:val="ListParagraph"/>
        <w:numPr>
          <w:ilvl w:val="1"/>
          <w:numId w:val="58"/>
        </w:numPr>
        <w:spacing w:before="0" w:after="0"/>
        <w:suppressOverlap/>
        <w:rPr>
          <w:lang w:eastAsia="en-AU"/>
        </w:rPr>
      </w:pPr>
      <w:r>
        <w:rPr>
          <w:lang w:eastAsia="en-AU"/>
        </w:rPr>
        <w:t>Resourcing should be jointly</w:t>
      </w:r>
      <w:r w:rsidRPr="689E1B1A">
        <w:rPr>
          <w:lang w:eastAsia="en-AU"/>
        </w:rPr>
        <w:t xml:space="preserve"> </w:t>
      </w:r>
      <w:r>
        <w:rPr>
          <w:lang w:eastAsia="en-AU"/>
        </w:rPr>
        <w:t>funded by relevant parties, with fund administration</w:t>
      </w:r>
      <w:r w:rsidDel="00AC3595">
        <w:rPr>
          <w:lang w:eastAsia="en-AU"/>
        </w:rPr>
        <w:t xml:space="preserve"> </w:t>
      </w:r>
      <w:r>
        <w:rPr>
          <w:lang w:eastAsia="en-AU"/>
        </w:rPr>
        <w:t>and data collection overseen by the multi-stakeholder advisory group (</w:t>
      </w:r>
      <w:r w:rsidRPr="00F15415">
        <w:t>see ‘Recommendation 27: Governance and strategic oversight of real-world data to support HTAs</w:t>
      </w:r>
      <w:r w:rsidRPr="00F15415">
        <w:rPr>
          <w:lang w:eastAsia="en-AU"/>
        </w:rPr>
        <w:t>’)</w:t>
      </w:r>
      <w:r>
        <w:rPr>
          <w:lang w:eastAsia="en-AU"/>
        </w:rPr>
        <w:t xml:space="preserve"> </w:t>
      </w:r>
    </w:p>
    <w:p w14:paraId="12F5FD09" w14:textId="77777777" w:rsidR="00EC41B5" w:rsidRDefault="00EC41B5" w:rsidP="00F20014">
      <w:pPr>
        <w:pStyle w:val="ListParagraph"/>
        <w:numPr>
          <w:ilvl w:val="1"/>
          <w:numId w:val="58"/>
        </w:numPr>
        <w:spacing w:before="0" w:after="0"/>
        <w:suppressOverlap/>
        <w:rPr>
          <w:lang w:eastAsia="en-AU"/>
        </w:rPr>
      </w:pPr>
      <w:r>
        <w:rPr>
          <w:lang w:eastAsia="en-AU"/>
        </w:rPr>
        <w:t xml:space="preserve">Details need to be resolved before entering into any MEA, to provide assurance that uncertainties will likely be resolved via evidence generation during the provisional listing period. </w:t>
      </w:r>
    </w:p>
    <w:p w14:paraId="01F90483" w14:textId="03EA3A2D" w:rsidR="00EC41B5" w:rsidRPr="00810D9D" w:rsidRDefault="00EC41B5" w:rsidP="00F20014">
      <w:pPr>
        <w:pStyle w:val="ListParagraph"/>
        <w:numPr>
          <w:ilvl w:val="0"/>
          <w:numId w:val="57"/>
        </w:numPr>
        <w:rPr>
          <w:lang w:eastAsia="en-AU"/>
        </w:rPr>
      </w:pPr>
      <w:r w:rsidRPr="00810D9D">
        <w:rPr>
          <w:lang w:eastAsia="en-AU"/>
        </w:rPr>
        <w:t xml:space="preserve">Outcomes of interest should be determined based on the areas of uncertainty to be resolved, along with baseline data and information relating to other care received </w:t>
      </w:r>
    </w:p>
    <w:p w14:paraId="492EB895" w14:textId="77777777" w:rsidR="00EC41B5" w:rsidRDefault="00EC41B5" w:rsidP="00F20014">
      <w:pPr>
        <w:pStyle w:val="ListParagraph"/>
        <w:numPr>
          <w:ilvl w:val="0"/>
          <w:numId w:val="57"/>
        </w:numPr>
      </w:pPr>
      <w:bookmarkStart w:id="49" w:name="_Ref164783053"/>
      <w:r w:rsidRPr="00810D9D">
        <w:rPr>
          <w:lang w:eastAsia="en-AU"/>
        </w:rPr>
        <w:t>In the case of ultra-rare diseases</w:t>
      </w:r>
      <w:r>
        <w:rPr>
          <w:lang w:eastAsia="en-AU"/>
        </w:rPr>
        <w:t xml:space="preserve"> and other small populations</w:t>
      </w:r>
      <w:r w:rsidRPr="00810D9D">
        <w:rPr>
          <w:lang w:eastAsia="en-AU"/>
        </w:rPr>
        <w:t xml:space="preserve">, international </w:t>
      </w:r>
      <w:r>
        <w:rPr>
          <w:lang w:eastAsia="en-AU"/>
        </w:rPr>
        <w:t xml:space="preserve">collaboration in the collection of patient-level data (e.g. international </w:t>
      </w:r>
      <w:r w:rsidRPr="00810D9D">
        <w:rPr>
          <w:lang w:eastAsia="en-AU"/>
        </w:rPr>
        <w:t>registries</w:t>
      </w:r>
      <w:r>
        <w:rPr>
          <w:lang w:eastAsia="en-AU"/>
        </w:rPr>
        <w:t>) and the</w:t>
      </w:r>
      <w:r w:rsidDel="00770EC3">
        <w:rPr>
          <w:lang w:eastAsia="en-AU"/>
        </w:rPr>
        <w:t xml:space="preserve"> </w:t>
      </w:r>
      <w:r>
        <w:rPr>
          <w:lang w:eastAsia="en-AU"/>
        </w:rPr>
        <w:t>potential use of common data models should be considered, where possible</w:t>
      </w:r>
      <w:r w:rsidRPr="00810D9D">
        <w:rPr>
          <w:lang w:eastAsia="en-AU"/>
        </w:rPr>
        <w:t xml:space="preserve">. </w:t>
      </w:r>
      <w:r>
        <w:rPr>
          <w:lang w:eastAsia="en-AU"/>
        </w:rPr>
        <w:t xml:space="preserve">Inclusion of </w:t>
      </w:r>
      <w:r w:rsidRPr="005A02A2">
        <w:rPr>
          <w:lang w:eastAsia="en-AU"/>
        </w:rPr>
        <w:t xml:space="preserve">RWD and </w:t>
      </w:r>
      <w:r>
        <w:rPr>
          <w:lang w:eastAsia="en-AU"/>
        </w:rPr>
        <w:t xml:space="preserve">real-world evidence </w:t>
      </w:r>
      <w:r w:rsidRPr="005A02A2">
        <w:rPr>
          <w:lang w:eastAsia="en-AU"/>
        </w:rPr>
        <w:t>obtained through local use</w:t>
      </w:r>
      <w:r w:rsidRPr="008F4E1F">
        <w:rPr>
          <w:lang w:eastAsia="en-AU"/>
        </w:rPr>
        <w:t xml:space="preserve"> </w:t>
      </w:r>
      <w:r>
        <w:rPr>
          <w:lang w:eastAsia="en-AU"/>
        </w:rPr>
        <w:t>should</w:t>
      </w:r>
      <w:r w:rsidRPr="005A02A2">
        <w:rPr>
          <w:lang w:eastAsia="en-AU"/>
        </w:rPr>
        <w:t xml:space="preserve"> still serve as a mechanism to </w:t>
      </w:r>
      <w:r>
        <w:rPr>
          <w:lang w:eastAsia="en-AU"/>
        </w:rPr>
        <w:t>support</w:t>
      </w:r>
      <w:r w:rsidRPr="005A02A2">
        <w:rPr>
          <w:lang w:eastAsia="en-AU"/>
        </w:rPr>
        <w:t xml:space="preserve"> funding suitability and clinical effectiveness</w:t>
      </w:r>
      <w:r>
        <w:rPr>
          <w:lang w:eastAsia="en-AU"/>
        </w:rPr>
        <w:t xml:space="preserve">, </w:t>
      </w:r>
      <w:r w:rsidRPr="005A02A2">
        <w:rPr>
          <w:lang w:eastAsia="en-AU"/>
        </w:rPr>
        <w:t>as it provides local context</w:t>
      </w:r>
      <w:r>
        <w:rPr>
          <w:lang w:eastAsia="en-AU"/>
        </w:rPr>
        <w:t>.</w:t>
      </w:r>
      <w:bookmarkEnd w:id="49"/>
    </w:p>
    <w:p w14:paraId="65604FAA" w14:textId="77777777" w:rsidR="00EE3FBF" w:rsidRPr="00824739" w:rsidRDefault="00EE3FBF" w:rsidP="00484B58">
      <w:pPr>
        <w:pStyle w:val="Recommendation1"/>
      </w:pPr>
      <w:bookmarkStart w:id="50" w:name="_Hlk167302394"/>
      <w:r>
        <w:t>Creating a framework for PICO development to support HTA submissions</w:t>
      </w:r>
    </w:p>
    <w:bookmarkEnd w:id="50"/>
    <w:p w14:paraId="3ADD25B1" w14:textId="77777777" w:rsidR="00EE3FBF" w:rsidRPr="00FA7BF6" w:rsidRDefault="00EE3FBF" w:rsidP="00EE3FBF">
      <w:r w:rsidRPr="00405FD7">
        <w:t xml:space="preserve">The Review recommends </w:t>
      </w:r>
      <w:r>
        <w:t xml:space="preserve">that </w:t>
      </w:r>
      <w:r w:rsidRPr="00405FD7">
        <w:t>the Australian Government</w:t>
      </w:r>
      <w:r w:rsidRPr="00FA7BF6">
        <w:t>:</w:t>
      </w:r>
    </w:p>
    <w:p w14:paraId="50FBD795" w14:textId="77777777" w:rsidR="00EE3FBF" w:rsidRPr="00824739" w:rsidRDefault="00EE3FBF" w:rsidP="002F06FE">
      <w:pPr>
        <w:pStyle w:val="ListParagraph"/>
        <w:numPr>
          <w:ilvl w:val="0"/>
          <w:numId w:val="24"/>
        </w:numPr>
        <w:rPr>
          <w:rFonts w:cs="Segoe UI"/>
        </w:rPr>
      </w:pPr>
      <w:r>
        <w:rPr>
          <w:rFonts w:cs="Segoe UI"/>
          <w:lang w:eastAsia="en-AU"/>
        </w:rPr>
        <w:t>w</w:t>
      </w:r>
      <w:r w:rsidRPr="00824739">
        <w:rPr>
          <w:rFonts w:cs="Segoe UI"/>
          <w:lang w:eastAsia="en-AU"/>
        </w:rPr>
        <w:t xml:space="preserve">ork with stakeholders to </w:t>
      </w:r>
      <w:r>
        <w:rPr>
          <w:rFonts w:cs="Segoe UI"/>
          <w:lang w:eastAsia="en-AU"/>
        </w:rPr>
        <w:t>establish</w:t>
      </w:r>
      <w:r w:rsidRPr="00824739">
        <w:rPr>
          <w:rFonts w:cs="Segoe UI"/>
          <w:lang w:eastAsia="en-AU"/>
        </w:rPr>
        <w:t xml:space="preserve"> framework principles and application criteria that govern when and how </w:t>
      </w:r>
      <w:r>
        <w:rPr>
          <w:rFonts w:cs="Segoe UI"/>
          <w:lang w:eastAsia="en-AU"/>
        </w:rPr>
        <w:t xml:space="preserve">the </w:t>
      </w:r>
      <w:r w:rsidRPr="00E26645">
        <w:rPr>
          <w:rFonts w:cs="Segoe UI"/>
          <w:lang w:eastAsia="en-AU"/>
        </w:rPr>
        <w:t>Population, Intervention, Comparator, and Outcome (PICO)</w:t>
      </w:r>
      <w:r w:rsidRPr="00E26645" w:rsidDel="00E26645">
        <w:rPr>
          <w:rFonts w:cs="Segoe UI"/>
          <w:lang w:eastAsia="en-AU"/>
        </w:rPr>
        <w:t xml:space="preserve"> </w:t>
      </w:r>
      <w:r>
        <w:rPr>
          <w:rFonts w:cs="Segoe UI"/>
          <w:lang w:eastAsia="en-AU"/>
        </w:rPr>
        <w:t xml:space="preserve">framework </w:t>
      </w:r>
      <w:r w:rsidRPr="00824739">
        <w:rPr>
          <w:rFonts w:cs="Segoe UI"/>
          <w:lang w:eastAsia="en-AU"/>
        </w:rPr>
        <w:t>is to be developed in support of a</w:t>
      </w:r>
      <w:r>
        <w:rPr>
          <w:rFonts w:cs="Segoe UI"/>
          <w:lang w:eastAsia="en-AU"/>
        </w:rPr>
        <w:t>n</w:t>
      </w:r>
      <w:r w:rsidRPr="00824739">
        <w:rPr>
          <w:rFonts w:cs="Segoe UI"/>
          <w:lang w:eastAsia="en-AU"/>
        </w:rPr>
        <w:t xml:space="preserve"> </w:t>
      </w:r>
      <w:r w:rsidRPr="00E26645">
        <w:rPr>
          <w:rFonts w:cs="Segoe UI"/>
          <w:lang w:eastAsia="en-AU"/>
        </w:rPr>
        <w:t>HTA</w:t>
      </w:r>
      <w:r w:rsidRPr="00E26645" w:rsidDel="00E26645">
        <w:rPr>
          <w:rFonts w:cs="Segoe UI"/>
          <w:lang w:eastAsia="en-AU"/>
        </w:rPr>
        <w:t xml:space="preserve"> </w:t>
      </w:r>
      <w:r w:rsidRPr="00824739">
        <w:rPr>
          <w:rFonts w:cs="Segoe UI"/>
          <w:lang w:eastAsia="en-AU"/>
        </w:rPr>
        <w:t>submission</w:t>
      </w:r>
      <w:r>
        <w:rPr>
          <w:rFonts w:cs="Segoe UI"/>
          <w:lang w:eastAsia="en-AU"/>
        </w:rPr>
        <w:t>. The framework should</w:t>
      </w:r>
      <w:r w:rsidRPr="00824739">
        <w:rPr>
          <w:rFonts w:cs="Segoe UI"/>
          <w:lang w:eastAsia="en-AU"/>
        </w:rPr>
        <w:t>:</w:t>
      </w:r>
    </w:p>
    <w:p w14:paraId="688A58A0" w14:textId="77777777" w:rsidR="00EE3FBF" w:rsidRPr="00824739" w:rsidRDefault="00EE3FBF" w:rsidP="002F06FE">
      <w:pPr>
        <w:pStyle w:val="ListParagraph"/>
        <w:numPr>
          <w:ilvl w:val="1"/>
          <w:numId w:val="24"/>
        </w:numPr>
        <w:rPr>
          <w:rFonts w:cs="Segoe UI"/>
          <w:lang w:eastAsia="en-AU"/>
        </w:rPr>
      </w:pPr>
      <w:r w:rsidRPr="00824739">
        <w:rPr>
          <w:rFonts w:cs="Segoe UI"/>
          <w:lang w:eastAsia="en-AU"/>
        </w:rPr>
        <w:t xml:space="preserve">establish a baseline set of circumstances where a comprehensive and facilitated PICO scoping process would add value to the HTA process </w:t>
      </w:r>
    </w:p>
    <w:p w14:paraId="1E76E8BD" w14:textId="77777777" w:rsidR="00EE3FBF" w:rsidRDefault="00EE3FBF" w:rsidP="002F06FE">
      <w:pPr>
        <w:pStyle w:val="ListParagraph"/>
        <w:numPr>
          <w:ilvl w:val="1"/>
          <w:numId w:val="24"/>
        </w:numPr>
        <w:rPr>
          <w:rFonts w:cs="Segoe UI"/>
          <w:lang w:eastAsia="en-AU"/>
        </w:rPr>
      </w:pPr>
      <w:r>
        <w:rPr>
          <w:rFonts w:cs="Segoe UI"/>
          <w:lang w:eastAsia="en-AU"/>
        </w:rPr>
        <w:t xml:space="preserve">ensure that any new PICO process facilitates </w:t>
      </w:r>
      <w:r w:rsidDel="00830AFC">
        <w:rPr>
          <w:rFonts w:cs="Segoe UI"/>
          <w:lang w:eastAsia="en-AU"/>
        </w:rPr>
        <w:t>decision</w:t>
      </w:r>
      <w:r>
        <w:rPr>
          <w:rFonts w:cs="Segoe UI"/>
          <w:lang w:eastAsia="en-AU"/>
        </w:rPr>
        <w:t>-making,</w:t>
      </w:r>
      <w:r w:rsidDel="00773E3F">
        <w:rPr>
          <w:rFonts w:cs="Segoe UI"/>
          <w:lang w:eastAsia="en-AU"/>
        </w:rPr>
        <w:t xml:space="preserve"> </w:t>
      </w:r>
      <w:r>
        <w:rPr>
          <w:rFonts w:cs="Segoe UI"/>
          <w:lang w:eastAsia="en-AU"/>
        </w:rPr>
        <w:t>reduces the likelihood of resubmission churn, and avoids adding time or complexity to the HTA</w:t>
      </w:r>
    </w:p>
    <w:p w14:paraId="52CB62BE" w14:textId="77777777" w:rsidR="00EE3FBF" w:rsidRPr="00AD30A2" w:rsidRDefault="00EE3FBF" w:rsidP="002F06FE">
      <w:pPr>
        <w:pStyle w:val="ListParagraph"/>
        <w:numPr>
          <w:ilvl w:val="1"/>
          <w:numId w:val="24"/>
        </w:numPr>
        <w:rPr>
          <w:rFonts w:cs="Segoe UI"/>
          <w:lang w:eastAsia="en-AU"/>
        </w:rPr>
      </w:pPr>
      <w:r w:rsidRPr="00824739">
        <w:rPr>
          <w:rFonts w:cs="Segoe UI"/>
          <w:lang w:eastAsia="en-AU"/>
        </w:rPr>
        <w:lastRenderedPageBreak/>
        <w:t xml:space="preserve">ensure criteria of importance to patients and clinicians (e.g. for </w:t>
      </w:r>
      <w:r w:rsidRPr="00B61FDC">
        <w:rPr>
          <w:rFonts w:cs="Segoe UI"/>
          <w:lang w:eastAsia="en-AU"/>
        </w:rPr>
        <w:t>high added therapeutic value (HATV) that addresses high unmet clinical need (HUCN))</w:t>
      </w:r>
      <w:r w:rsidRPr="00824739">
        <w:rPr>
          <w:rFonts w:cs="Segoe UI"/>
          <w:lang w:eastAsia="en-AU"/>
        </w:rPr>
        <w:t xml:space="preserve"> are appropriately considered and discussed as part of PICO development in a manner that:</w:t>
      </w:r>
    </w:p>
    <w:p w14:paraId="5F97E2D2" w14:textId="77777777" w:rsidR="00EE3FBF" w:rsidRPr="00824739" w:rsidRDefault="00EE3FBF" w:rsidP="002F06FE">
      <w:pPr>
        <w:pStyle w:val="ListParagraph"/>
        <w:numPr>
          <w:ilvl w:val="2"/>
          <w:numId w:val="24"/>
        </w:numPr>
        <w:rPr>
          <w:rFonts w:cs="Segoe UI"/>
          <w:lang w:eastAsia="en-AU"/>
        </w:rPr>
      </w:pPr>
      <w:r>
        <w:rPr>
          <w:rFonts w:cs="Segoe UI"/>
          <w:lang w:eastAsia="en-AU"/>
        </w:rPr>
        <w:t>e</w:t>
      </w:r>
      <w:r w:rsidRPr="00824739">
        <w:rPr>
          <w:rFonts w:cs="Segoe UI"/>
          <w:lang w:eastAsia="en-AU"/>
        </w:rPr>
        <w:t xml:space="preserve">nsures </w:t>
      </w:r>
      <w:r>
        <w:rPr>
          <w:rFonts w:cs="Segoe UI"/>
          <w:lang w:eastAsia="en-AU"/>
        </w:rPr>
        <w:t xml:space="preserve">consideration of </w:t>
      </w:r>
      <w:r w:rsidRPr="00824739">
        <w:rPr>
          <w:rFonts w:cs="Segoe UI"/>
          <w:lang w:eastAsia="en-AU"/>
        </w:rPr>
        <w:t xml:space="preserve">relevant patient populations that could potentially benefit from the new therapy </w:t>
      </w:r>
    </w:p>
    <w:p w14:paraId="60E57D49" w14:textId="77777777" w:rsidR="00EE3FBF" w:rsidRPr="00824739" w:rsidRDefault="00EE3FBF" w:rsidP="002F06FE">
      <w:pPr>
        <w:pStyle w:val="ListParagraph"/>
        <w:numPr>
          <w:ilvl w:val="2"/>
          <w:numId w:val="24"/>
        </w:numPr>
        <w:rPr>
          <w:rFonts w:cs="Segoe UI"/>
          <w:lang w:eastAsia="en-AU"/>
        </w:rPr>
      </w:pPr>
      <w:r>
        <w:rPr>
          <w:rFonts w:cs="Segoe UI"/>
          <w:lang w:eastAsia="en-AU"/>
        </w:rPr>
        <w:t>c</w:t>
      </w:r>
      <w:r w:rsidRPr="00824739">
        <w:rPr>
          <w:rFonts w:cs="Segoe UI"/>
          <w:lang w:eastAsia="en-AU"/>
        </w:rPr>
        <w:t>onsiders the health equity and high unmet need implications associated with access to a health technology</w:t>
      </w:r>
    </w:p>
    <w:p w14:paraId="5F04420B" w14:textId="77777777" w:rsidR="00EE3FBF" w:rsidRPr="00824739" w:rsidRDefault="00EE3FBF" w:rsidP="002F06FE">
      <w:pPr>
        <w:pStyle w:val="ListParagraph"/>
        <w:numPr>
          <w:ilvl w:val="2"/>
          <w:numId w:val="24"/>
        </w:numPr>
        <w:rPr>
          <w:rFonts w:cs="Segoe UI"/>
          <w:lang w:eastAsia="en-AU"/>
        </w:rPr>
      </w:pPr>
      <w:r>
        <w:rPr>
          <w:rFonts w:cs="Segoe UI"/>
          <w:lang w:eastAsia="en-AU"/>
        </w:rPr>
        <w:t>a</w:t>
      </w:r>
      <w:r w:rsidRPr="00824739">
        <w:rPr>
          <w:rFonts w:cs="Segoe UI"/>
          <w:lang w:eastAsia="en-AU"/>
        </w:rPr>
        <w:t xml:space="preserve">llows </w:t>
      </w:r>
      <w:r>
        <w:rPr>
          <w:rFonts w:cs="Segoe UI"/>
          <w:lang w:eastAsia="en-AU"/>
        </w:rPr>
        <w:t xml:space="preserve">discussion of </w:t>
      </w:r>
      <w:r w:rsidRPr="00824739">
        <w:rPr>
          <w:rFonts w:cs="Segoe UI"/>
          <w:lang w:eastAsia="en-AU"/>
        </w:rPr>
        <w:t>issues that may</w:t>
      </w:r>
      <w:r>
        <w:rPr>
          <w:rFonts w:cs="Segoe UI"/>
          <w:lang w:eastAsia="en-AU"/>
        </w:rPr>
        <w:t xml:space="preserve"> affect early</w:t>
      </w:r>
      <w:r w:rsidRPr="00824739" w:rsidDel="00773E3F">
        <w:rPr>
          <w:rFonts w:cs="Segoe UI"/>
          <w:lang w:eastAsia="en-AU"/>
        </w:rPr>
        <w:t xml:space="preserve"> </w:t>
      </w:r>
      <w:r w:rsidRPr="00824739">
        <w:rPr>
          <w:rFonts w:cs="Segoe UI"/>
          <w:lang w:eastAsia="en-AU"/>
        </w:rPr>
        <w:t>implementation (for new drugs or major expanded indications claiming added therapeutic value)</w:t>
      </w:r>
    </w:p>
    <w:p w14:paraId="416688BF" w14:textId="77777777" w:rsidR="00EE3FBF" w:rsidRPr="00824739" w:rsidRDefault="00EE3FBF" w:rsidP="002F06FE">
      <w:pPr>
        <w:pStyle w:val="ListParagraph"/>
        <w:numPr>
          <w:ilvl w:val="2"/>
          <w:numId w:val="24"/>
        </w:numPr>
        <w:rPr>
          <w:rFonts w:cs="Segoe UI"/>
          <w:lang w:eastAsia="en-AU"/>
        </w:rPr>
      </w:pPr>
      <w:r>
        <w:rPr>
          <w:rFonts w:cs="Segoe UI"/>
          <w:lang w:eastAsia="en-AU"/>
        </w:rPr>
        <w:t>c</w:t>
      </w:r>
      <w:r w:rsidRPr="00824739">
        <w:rPr>
          <w:rFonts w:cs="Segoe UI"/>
          <w:lang w:eastAsia="en-AU"/>
        </w:rPr>
        <w:t>aptures patient and clinician viewpoints appropriately as part of PICO confirmation outputs</w:t>
      </w:r>
    </w:p>
    <w:p w14:paraId="1598DEAE" w14:textId="48F0C62F" w:rsidR="00EE3FBF" w:rsidRDefault="00EE3FBF" w:rsidP="002F06FE">
      <w:pPr>
        <w:pStyle w:val="ListParagraph"/>
        <w:numPr>
          <w:ilvl w:val="2"/>
          <w:numId w:val="24"/>
        </w:numPr>
        <w:rPr>
          <w:rFonts w:cs="Segoe UI"/>
          <w:lang w:eastAsia="en-AU"/>
        </w:rPr>
      </w:pPr>
      <w:r>
        <w:rPr>
          <w:rFonts w:cs="Segoe UI"/>
          <w:lang w:eastAsia="en-AU"/>
        </w:rPr>
        <w:t>i</w:t>
      </w:r>
      <w:r w:rsidRPr="00824739">
        <w:rPr>
          <w:rFonts w:cs="Segoe UI"/>
          <w:lang w:eastAsia="en-AU"/>
        </w:rPr>
        <w:t xml:space="preserve">nforms the development of the HTA submission and the resulting screening, evaluation and deliberation processes by the relevant HTA </w:t>
      </w:r>
      <w:r>
        <w:rPr>
          <w:rFonts w:cs="Segoe UI"/>
          <w:lang w:eastAsia="en-AU"/>
        </w:rPr>
        <w:t>advisory committee</w:t>
      </w:r>
      <w:r w:rsidR="00E8683E">
        <w:rPr>
          <w:rFonts w:cs="Segoe UI"/>
          <w:lang w:eastAsia="en-AU"/>
        </w:rPr>
        <w:t>.</w:t>
      </w:r>
    </w:p>
    <w:p w14:paraId="24A38424" w14:textId="77777777" w:rsidR="00EE3FBF" w:rsidRPr="006672EC" w:rsidRDefault="00EE3FBF" w:rsidP="002F06FE">
      <w:pPr>
        <w:pStyle w:val="ListParagraph"/>
        <w:numPr>
          <w:ilvl w:val="1"/>
          <w:numId w:val="24"/>
        </w:numPr>
        <w:rPr>
          <w:rFonts w:cs="Segoe UI"/>
          <w:lang w:eastAsia="en-AU"/>
        </w:rPr>
      </w:pPr>
      <w:r w:rsidRPr="006672EC">
        <w:rPr>
          <w:rFonts w:cs="Segoe UI"/>
          <w:lang w:eastAsia="en-AU"/>
        </w:rPr>
        <w:t>accommodate circumstances where a level of flexibility from the normal PICO scoping and definition process may be appropriate, with clear justification. This may include situations where (for example):</w:t>
      </w:r>
    </w:p>
    <w:p w14:paraId="30112522" w14:textId="77777777" w:rsidR="00EE3FBF" w:rsidRPr="00824739" w:rsidRDefault="00EE3FBF" w:rsidP="002F06FE">
      <w:pPr>
        <w:pStyle w:val="ListParagraph"/>
        <w:numPr>
          <w:ilvl w:val="2"/>
          <w:numId w:val="24"/>
        </w:numPr>
        <w:rPr>
          <w:rFonts w:cs="Segoe UI"/>
        </w:rPr>
      </w:pPr>
      <w:r w:rsidRPr="00824739">
        <w:rPr>
          <w:rFonts w:cs="Segoe UI"/>
          <w:lang w:eastAsia="en-AU"/>
        </w:rPr>
        <w:t xml:space="preserve">PICO dialogue has been conducted in alternative settings (such as via horizon scanning </w:t>
      </w:r>
      <w:r>
        <w:rPr>
          <w:rFonts w:cs="Segoe UI"/>
          <w:lang w:eastAsia="en-AU"/>
        </w:rPr>
        <w:t xml:space="preserve">in </w:t>
      </w:r>
      <w:r w:rsidRPr="00824739">
        <w:rPr>
          <w:rFonts w:cs="Segoe UI"/>
          <w:lang w:eastAsia="en-AU"/>
        </w:rPr>
        <w:t xml:space="preserve">stakeholder engagement processes) and information has been collected formally in a manner that serves as an appropriate functional substitute for the purposes of efficient public consultation </w:t>
      </w:r>
    </w:p>
    <w:p w14:paraId="1CCA4AD7" w14:textId="4BEEBC84" w:rsidR="00EE3FBF" w:rsidRPr="00824739" w:rsidRDefault="00EE3FBF" w:rsidP="002F06FE">
      <w:pPr>
        <w:pStyle w:val="ListParagraph"/>
        <w:numPr>
          <w:ilvl w:val="2"/>
          <w:numId w:val="24"/>
        </w:numPr>
        <w:rPr>
          <w:rFonts w:cs="Segoe UI"/>
        </w:rPr>
      </w:pPr>
      <w:r>
        <w:rPr>
          <w:rFonts w:cs="Segoe UI"/>
          <w:lang w:eastAsia="en-AU"/>
        </w:rPr>
        <w:t>a</w:t>
      </w:r>
      <w:r w:rsidRPr="00824739">
        <w:rPr>
          <w:rFonts w:cs="Segoe UI"/>
          <w:lang w:eastAsia="en-AU"/>
        </w:rPr>
        <w:t xml:space="preserve"> well-defined PICO can be adapted from a comparable overseas HTA entity and has the endorsement of key affected stakeholders to support Australian considerations</w:t>
      </w:r>
      <w:r w:rsidR="00561593">
        <w:rPr>
          <w:rFonts w:cs="Segoe UI"/>
          <w:lang w:eastAsia="en-AU"/>
        </w:rPr>
        <w:t>.</w:t>
      </w:r>
    </w:p>
    <w:p w14:paraId="17A5EA82" w14:textId="77777777" w:rsidR="00EE3FBF" w:rsidRPr="00824739" w:rsidRDefault="00EE3FBF" w:rsidP="002F06FE">
      <w:pPr>
        <w:pStyle w:val="ListParagraph"/>
        <w:numPr>
          <w:ilvl w:val="0"/>
          <w:numId w:val="24"/>
        </w:numPr>
        <w:rPr>
          <w:rFonts w:cs="Segoe UI"/>
        </w:rPr>
      </w:pPr>
      <w:r>
        <w:rPr>
          <w:rFonts w:cs="Segoe UI"/>
          <w:lang w:eastAsia="en-AU"/>
        </w:rPr>
        <w:t>e</w:t>
      </w:r>
      <w:r w:rsidRPr="00824739">
        <w:rPr>
          <w:rFonts w:cs="Segoe UI"/>
          <w:lang w:eastAsia="en-AU"/>
        </w:rPr>
        <w:t xml:space="preserve">stablish a process with stakeholders to produce and release plain language summaries of the PICO with the </w:t>
      </w:r>
      <w:r>
        <w:rPr>
          <w:rFonts w:cs="Segoe UI"/>
          <w:lang w:eastAsia="en-AU"/>
        </w:rPr>
        <w:t>P</w:t>
      </w:r>
      <w:r w:rsidRPr="00980F02">
        <w:rPr>
          <w:rFonts w:cs="Segoe UI"/>
          <w:lang w:eastAsia="en-AU"/>
        </w:rPr>
        <w:t>harmaceutical Benefits Advisory Committee</w:t>
      </w:r>
      <w:r>
        <w:rPr>
          <w:rFonts w:cs="Segoe UI"/>
          <w:lang w:eastAsia="en-AU"/>
        </w:rPr>
        <w:t xml:space="preserve"> (PBAC)</w:t>
      </w:r>
      <w:r w:rsidRPr="00980F02" w:rsidDel="00773E3F">
        <w:rPr>
          <w:rFonts w:cs="Segoe UI"/>
          <w:lang w:eastAsia="en-AU"/>
        </w:rPr>
        <w:t xml:space="preserve"> </w:t>
      </w:r>
      <w:r w:rsidRPr="00824739">
        <w:rPr>
          <w:rFonts w:cs="Segoe UI"/>
          <w:lang w:eastAsia="en-AU"/>
        </w:rPr>
        <w:t>agenda to:</w:t>
      </w:r>
    </w:p>
    <w:p w14:paraId="53222CE1" w14:textId="77777777" w:rsidR="00EE3FBF" w:rsidRPr="00824739" w:rsidRDefault="00EE3FBF" w:rsidP="002F06FE">
      <w:pPr>
        <w:pStyle w:val="ListParagraph"/>
        <w:numPr>
          <w:ilvl w:val="1"/>
          <w:numId w:val="24"/>
        </w:numPr>
        <w:rPr>
          <w:rFonts w:cs="Segoe UI"/>
        </w:rPr>
      </w:pPr>
      <w:r w:rsidRPr="00824739">
        <w:rPr>
          <w:rFonts w:cs="Segoe UI"/>
          <w:lang w:eastAsia="en-AU"/>
        </w:rPr>
        <w:t xml:space="preserve">increase transparency about the proposed treatment population and communicate the expected benefit (outcome) </w:t>
      </w:r>
    </w:p>
    <w:p w14:paraId="6120A1A8" w14:textId="77777777" w:rsidR="00EE3FBF" w:rsidRPr="00824739" w:rsidRDefault="00EE3FBF" w:rsidP="002F06FE">
      <w:pPr>
        <w:pStyle w:val="ListParagraph"/>
        <w:numPr>
          <w:ilvl w:val="1"/>
          <w:numId w:val="24"/>
        </w:numPr>
        <w:rPr>
          <w:rFonts w:cs="Segoe UI"/>
          <w:i/>
        </w:rPr>
      </w:pPr>
      <w:r w:rsidRPr="00824739">
        <w:rPr>
          <w:rFonts w:cs="Segoe UI"/>
          <w:lang w:eastAsia="en-AU"/>
        </w:rPr>
        <w:t>assist in managing stakeholder expectations (for new drugs or major expanded indications claiming added therapeutic value).</w:t>
      </w:r>
    </w:p>
    <w:p w14:paraId="37AA3074" w14:textId="77777777" w:rsidR="00095EA4" w:rsidRPr="00E74124" w:rsidRDefault="00095EA4" w:rsidP="00484B58">
      <w:pPr>
        <w:pStyle w:val="Recommendation1"/>
      </w:pPr>
      <w:bookmarkStart w:id="51" w:name="_Ref164782216"/>
      <w:bookmarkStart w:id="52" w:name="_Hlk167302425"/>
      <w:r w:rsidRPr="00E74124">
        <w:t>M</w:t>
      </w:r>
      <w:r w:rsidRPr="00E74124">
        <w:rPr>
          <w:rStyle w:val="Heading4Char"/>
          <w:rFonts w:cs="Segoe UI"/>
          <w:i w:val="0"/>
          <w:iCs/>
          <w:color w:val="00717A"/>
        </w:rPr>
        <w:t>ethods for assessing consumer evidence</w:t>
      </w:r>
      <w:bookmarkEnd w:id="51"/>
    </w:p>
    <w:bookmarkEnd w:id="52"/>
    <w:p w14:paraId="1711B580" w14:textId="77777777" w:rsidR="00095EA4" w:rsidRDefault="00095EA4" w:rsidP="00410529">
      <w:pPr>
        <w:keepNext/>
      </w:pPr>
      <w:r w:rsidRPr="00A53E48">
        <w:t xml:space="preserve">The Review recommends </w:t>
      </w:r>
      <w:r>
        <w:t xml:space="preserve">that </w:t>
      </w:r>
      <w:r w:rsidRPr="00A53E48">
        <w:t>the Australian Government</w:t>
      </w:r>
      <w:r>
        <w:t xml:space="preserve"> s</w:t>
      </w:r>
      <w:r w:rsidRPr="00FF76E4">
        <w:t xml:space="preserve">upport the development of updates to the </w:t>
      </w:r>
      <w:r>
        <w:t>P</w:t>
      </w:r>
      <w:r w:rsidRPr="00980F02">
        <w:t>harmaceutical Benefits Advisory Committee</w:t>
      </w:r>
      <w:r>
        <w:t xml:space="preserve"> (PBAC)</w:t>
      </w:r>
      <w:r w:rsidRPr="00980F02">
        <w:t xml:space="preserve"> </w:t>
      </w:r>
      <w:r w:rsidRPr="00FF76E4">
        <w:t xml:space="preserve">and </w:t>
      </w:r>
      <w:r w:rsidRPr="00825F12">
        <w:t>Medical Services Advisory Committee</w:t>
      </w:r>
      <w:r>
        <w:t xml:space="preserve"> (MSAC)</w:t>
      </w:r>
      <w:r w:rsidRPr="00825F12">
        <w:t xml:space="preserve"> </w:t>
      </w:r>
      <w:r>
        <w:t>G</w:t>
      </w:r>
      <w:r w:rsidRPr="00FF76E4">
        <w:t xml:space="preserve">uidelines, assessment methods, public summaries and </w:t>
      </w:r>
      <w:r w:rsidRPr="00FF76E4">
        <w:lastRenderedPageBreak/>
        <w:t xml:space="preserve">other explanatory materials to ensure it is clear how both consumer evidence (research into patients’ needs, preferences, experiences and perspectives) and consumer input arising from engagement processes (see </w:t>
      </w:r>
      <w:r>
        <w:t>C</w:t>
      </w:r>
      <w:r w:rsidRPr="00FF76E4">
        <w:t xml:space="preserve">hapter 6) may be integrated into </w:t>
      </w:r>
      <w:r>
        <w:t>HTA</w:t>
      </w:r>
      <w:r w:rsidRPr="00FF76E4">
        <w:t>s.</w:t>
      </w:r>
      <w:r>
        <w:t xml:space="preserve"> The updates should:</w:t>
      </w:r>
    </w:p>
    <w:p w14:paraId="1D6C9D6F" w14:textId="77777777" w:rsidR="00095EA4" w:rsidRPr="00E91ED2" w:rsidRDefault="00095EA4" w:rsidP="002F06FE">
      <w:pPr>
        <w:pStyle w:val="ListParagraph"/>
        <w:numPr>
          <w:ilvl w:val="0"/>
          <w:numId w:val="25"/>
        </w:numPr>
        <w:rPr>
          <w:rFonts w:cs="Segoe UI"/>
          <w:lang w:eastAsia="en-AU"/>
        </w:rPr>
      </w:pPr>
      <w:r w:rsidRPr="00E91ED2">
        <w:rPr>
          <w:rFonts w:cs="Segoe UI"/>
          <w:lang w:eastAsia="en-AU"/>
        </w:rPr>
        <w:t xml:space="preserve">include further guidance on the preparation, use and evaluation of consumer evidence and input, and evidence about equity in submissions. This should include guidance on use of: </w:t>
      </w:r>
    </w:p>
    <w:p w14:paraId="6AE06C0F" w14:textId="77777777" w:rsidR="00095EA4" w:rsidRPr="00E91ED2" w:rsidRDefault="00095EA4" w:rsidP="00E74124">
      <w:pPr>
        <w:pStyle w:val="ListParagraph"/>
        <w:numPr>
          <w:ilvl w:val="1"/>
          <w:numId w:val="25"/>
        </w:numPr>
      </w:pPr>
      <w:r w:rsidRPr="00E91ED2">
        <w:t xml:space="preserve">qualitative evidence </w:t>
      </w:r>
    </w:p>
    <w:p w14:paraId="3E9E7941" w14:textId="77777777" w:rsidR="00095EA4" w:rsidRPr="00E91ED2" w:rsidRDefault="00095EA4" w:rsidP="00E74124">
      <w:pPr>
        <w:pStyle w:val="ListParagraph"/>
        <w:numPr>
          <w:ilvl w:val="1"/>
          <w:numId w:val="25"/>
        </w:numPr>
      </w:pPr>
      <w:r w:rsidRPr="00E91ED2">
        <w:t xml:space="preserve">patient-reported outcome measures </w:t>
      </w:r>
    </w:p>
    <w:p w14:paraId="609E8B8D" w14:textId="77777777" w:rsidR="00095EA4" w:rsidRPr="00E91ED2" w:rsidRDefault="00095EA4" w:rsidP="00E74124">
      <w:pPr>
        <w:pStyle w:val="ListParagraph"/>
        <w:numPr>
          <w:ilvl w:val="1"/>
          <w:numId w:val="25"/>
        </w:numPr>
      </w:pPr>
      <w:r w:rsidRPr="00E91ED2">
        <w:t xml:space="preserve">patient preference studies </w:t>
      </w:r>
    </w:p>
    <w:p w14:paraId="3D5C915D" w14:textId="77777777" w:rsidR="00095EA4" w:rsidRPr="00E91ED2" w:rsidRDefault="00095EA4" w:rsidP="00E74124">
      <w:pPr>
        <w:pStyle w:val="ListParagraph"/>
        <w:numPr>
          <w:ilvl w:val="1"/>
          <w:numId w:val="25"/>
        </w:numPr>
      </w:pPr>
      <w:r w:rsidRPr="00E91ED2">
        <w:t>patient-reported experience measures</w:t>
      </w:r>
    </w:p>
    <w:p w14:paraId="23418144" w14:textId="77777777" w:rsidR="00095EA4" w:rsidRPr="00E91ED2" w:rsidRDefault="00095EA4" w:rsidP="00E74124">
      <w:pPr>
        <w:pStyle w:val="ListParagraph"/>
        <w:numPr>
          <w:ilvl w:val="1"/>
          <w:numId w:val="25"/>
        </w:numPr>
      </w:pPr>
      <w:r w:rsidRPr="00E91ED2">
        <w:t>evidence about why patients and clinicians in Australia want or need a substitute for current care</w:t>
      </w:r>
    </w:p>
    <w:p w14:paraId="2308D76F" w14:textId="057E2B7D" w:rsidR="00095EA4" w:rsidRPr="00E91ED2" w:rsidRDefault="00095EA4" w:rsidP="00E74124">
      <w:pPr>
        <w:pStyle w:val="ListParagraph"/>
        <w:numPr>
          <w:ilvl w:val="1"/>
          <w:numId w:val="25"/>
        </w:numPr>
      </w:pPr>
      <w:r w:rsidRPr="00E91ED2">
        <w:t xml:space="preserve">consumer input or use of consumer evidence in R&amp;D </w:t>
      </w:r>
      <w:r>
        <w:t>relating to</w:t>
      </w:r>
      <w:r w:rsidRPr="00E91ED2">
        <w:t xml:space="preserve"> the product</w:t>
      </w:r>
      <w:r w:rsidR="009D3081">
        <w:t>.</w:t>
      </w:r>
      <w:r w:rsidRPr="00E91ED2">
        <w:t xml:space="preserve"> </w:t>
      </w:r>
    </w:p>
    <w:p w14:paraId="253D8CFA" w14:textId="70B5D5E1" w:rsidR="00095EA4" w:rsidRPr="00E91ED2" w:rsidRDefault="00095EA4" w:rsidP="002F06FE">
      <w:pPr>
        <w:pStyle w:val="ListParagraph"/>
        <w:numPr>
          <w:ilvl w:val="0"/>
          <w:numId w:val="25"/>
        </w:numPr>
        <w:rPr>
          <w:rFonts w:cs="Segoe UI"/>
          <w:lang w:eastAsia="en-AU"/>
        </w:rPr>
      </w:pPr>
      <w:r w:rsidRPr="00E91ED2">
        <w:rPr>
          <w:rFonts w:cs="Segoe UI"/>
          <w:lang w:eastAsia="en-AU"/>
        </w:rPr>
        <w:t>clarify how Population, Intervention, Comparator, and Outcome</w:t>
      </w:r>
      <w:r w:rsidR="009D3081">
        <w:rPr>
          <w:rFonts w:cs="Segoe UI"/>
          <w:lang w:eastAsia="en-AU"/>
        </w:rPr>
        <w:t xml:space="preserve"> (PICO)</w:t>
      </w:r>
      <w:r>
        <w:rPr>
          <w:rFonts w:cs="Segoe UI"/>
          <w:lang w:eastAsia="en-AU"/>
        </w:rPr>
        <w:t xml:space="preserve"> scoping</w:t>
      </w:r>
      <w:r w:rsidRPr="00E91ED2">
        <w:rPr>
          <w:rFonts w:cs="Segoe UI"/>
          <w:lang w:eastAsia="en-AU"/>
        </w:rPr>
        <w:t>; and clinical and economic evaluation steps can be informed by this evidence</w:t>
      </w:r>
    </w:p>
    <w:p w14:paraId="45560985" w14:textId="77777777" w:rsidR="00095EA4" w:rsidRPr="00E91ED2" w:rsidRDefault="00095EA4" w:rsidP="002F06FE">
      <w:pPr>
        <w:pStyle w:val="ListParagraph"/>
        <w:numPr>
          <w:ilvl w:val="0"/>
          <w:numId w:val="25"/>
        </w:numPr>
        <w:rPr>
          <w:rFonts w:cs="Segoe UI"/>
          <w:lang w:eastAsia="en-AU"/>
        </w:rPr>
      </w:pPr>
      <w:r w:rsidRPr="00E91ED2">
        <w:rPr>
          <w:rFonts w:cs="Segoe UI"/>
          <w:lang w:eastAsia="en-AU"/>
        </w:rPr>
        <w:t>elicit evidence that would help determine applicability to the Australian setting such as:</w:t>
      </w:r>
    </w:p>
    <w:p w14:paraId="10B7FDB9" w14:textId="77777777" w:rsidR="00095EA4" w:rsidRPr="00E91ED2" w:rsidRDefault="00095EA4" w:rsidP="00E74124">
      <w:pPr>
        <w:pStyle w:val="ListParagraph"/>
        <w:numPr>
          <w:ilvl w:val="1"/>
          <w:numId w:val="25"/>
        </w:numPr>
      </w:pPr>
      <w:r w:rsidRPr="00E91ED2">
        <w:t>evidence from relevant Australian trials (if any), including any evidence specific to Australia in terms of comparative effectiveness and safety and/or patient preferences to inform the clinical evaluation</w:t>
      </w:r>
    </w:p>
    <w:p w14:paraId="7D8D63D7" w14:textId="77777777" w:rsidR="00095EA4" w:rsidRPr="00E91ED2" w:rsidRDefault="00095EA4" w:rsidP="00E74124">
      <w:pPr>
        <w:pStyle w:val="ListParagraph"/>
        <w:numPr>
          <w:ilvl w:val="1"/>
          <w:numId w:val="25"/>
        </w:numPr>
      </w:pPr>
      <w:r w:rsidRPr="00E91ED2">
        <w:t>evidence from Australian patients about their experiences using the technology, including where patients see its use in Australian practice.</w:t>
      </w:r>
    </w:p>
    <w:p w14:paraId="6107666A" w14:textId="77777777" w:rsidR="0005329F" w:rsidRPr="00824739" w:rsidRDefault="0005329F" w:rsidP="00484B58">
      <w:pPr>
        <w:pStyle w:val="Recommendation1"/>
      </w:pPr>
      <w:bookmarkStart w:id="53" w:name="_Ref164782266"/>
      <w:bookmarkStart w:id="54" w:name="_Hlk167302457"/>
      <w:r w:rsidRPr="00824739">
        <w:t>Overarching principles for adopting methods in Australian HTA</w:t>
      </w:r>
      <w:bookmarkEnd w:id="53"/>
      <w:r>
        <w:t>s</w:t>
      </w:r>
    </w:p>
    <w:bookmarkEnd w:id="54"/>
    <w:p w14:paraId="73F0CC5E" w14:textId="77777777" w:rsidR="0005329F" w:rsidRPr="00824739" w:rsidRDefault="0005329F" w:rsidP="00524DAB">
      <w:r w:rsidRPr="00C07AE2">
        <w:t>The Review recommends that the Australian Government</w:t>
      </w:r>
      <w:r>
        <w:t xml:space="preserve"> </w:t>
      </w:r>
      <w:r w:rsidRPr="00C07AE2">
        <w:t>adopt overarching principles for the methods used in HTAs</w:t>
      </w:r>
      <w:r w:rsidRPr="00C07AE2" w:rsidDel="00144E97">
        <w:t xml:space="preserve"> </w:t>
      </w:r>
      <w:r w:rsidRPr="00C07AE2" w:rsidDel="00C51818">
        <w:t xml:space="preserve">for </w:t>
      </w:r>
      <w:r w:rsidRPr="00C07AE2">
        <w:t>decision-making about reimbursements. These should include:</w:t>
      </w:r>
    </w:p>
    <w:p w14:paraId="77DD2682" w14:textId="77777777" w:rsidR="0005329F" w:rsidRDefault="0005329F" w:rsidP="00F20014">
      <w:pPr>
        <w:pStyle w:val="ListParagraph"/>
        <w:numPr>
          <w:ilvl w:val="0"/>
          <w:numId w:val="27"/>
        </w:numPr>
        <w:spacing w:after="0"/>
        <w:rPr>
          <w:rFonts w:cs="Segoe UI"/>
          <w:lang w:eastAsia="en-AU"/>
        </w:rPr>
      </w:pPr>
      <w:r w:rsidRPr="76C41307">
        <w:rPr>
          <w:rFonts w:cs="Segoe UI"/>
          <w:lang w:eastAsia="en-AU"/>
        </w:rPr>
        <w:t>maintain</w:t>
      </w:r>
      <w:r>
        <w:rPr>
          <w:rFonts w:cs="Segoe UI"/>
          <w:lang w:eastAsia="en-AU"/>
        </w:rPr>
        <w:t>ing</w:t>
      </w:r>
      <w:r w:rsidRPr="76C41307">
        <w:rPr>
          <w:rFonts w:cs="Segoe UI"/>
          <w:lang w:eastAsia="en-AU"/>
        </w:rPr>
        <w:t xml:space="preserve"> preference for</w:t>
      </w:r>
      <w:r>
        <w:rPr>
          <w:rFonts w:cs="Segoe UI"/>
          <w:lang w:eastAsia="en-AU"/>
        </w:rPr>
        <w:t>:</w:t>
      </w:r>
      <w:r w:rsidRPr="76C41307">
        <w:rPr>
          <w:rFonts w:cs="Segoe UI"/>
          <w:lang w:eastAsia="en-AU"/>
        </w:rPr>
        <w:t xml:space="preserve"> </w:t>
      </w:r>
    </w:p>
    <w:p w14:paraId="7A1B4CDF" w14:textId="77777777" w:rsidR="0005329F" w:rsidRPr="00824739" w:rsidRDefault="0005329F" w:rsidP="00F20014">
      <w:pPr>
        <w:pStyle w:val="ListParagraph"/>
        <w:numPr>
          <w:ilvl w:val="1"/>
          <w:numId w:val="59"/>
        </w:numPr>
      </w:pPr>
      <w:r w:rsidRPr="76C41307">
        <w:t>the best available evidence</w:t>
      </w:r>
    </w:p>
    <w:p w14:paraId="04610CC3" w14:textId="77777777" w:rsidR="0005329F" w:rsidRPr="00824739" w:rsidRDefault="0005329F" w:rsidP="00F20014">
      <w:pPr>
        <w:pStyle w:val="ListParagraph"/>
        <w:numPr>
          <w:ilvl w:val="1"/>
          <w:numId w:val="59"/>
        </w:numPr>
      </w:pPr>
      <w:r>
        <w:t>methods that are</w:t>
      </w:r>
      <w:r w:rsidRPr="76C41307">
        <w:t xml:space="preserve"> fit-for-purpose, transparent </w:t>
      </w:r>
      <w:r>
        <w:t>and</w:t>
      </w:r>
      <w:r w:rsidRPr="76C41307">
        <w:t xml:space="preserve"> only as complex as required to address the problem</w:t>
      </w:r>
    </w:p>
    <w:p w14:paraId="1A335129" w14:textId="1D49B716" w:rsidR="0005329F" w:rsidRPr="00824739" w:rsidRDefault="0005329F" w:rsidP="00F20014">
      <w:pPr>
        <w:pStyle w:val="ListParagraph"/>
        <w:numPr>
          <w:ilvl w:val="1"/>
          <w:numId w:val="59"/>
        </w:numPr>
      </w:pPr>
      <w:r>
        <w:t xml:space="preserve">justification of the </w:t>
      </w:r>
      <w:r w:rsidRPr="76C41307">
        <w:t>use of more complex methods</w:t>
      </w:r>
      <w:r w:rsidR="00F013F7">
        <w:t>.</w:t>
      </w:r>
    </w:p>
    <w:p w14:paraId="3DBD4DD6" w14:textId="77777777" w:rsidR="0005329F" w:rsidRDefault="0005329F" w:rsidP="00F20014">
      <w:pPr>
        <w:pStyle w:val="ListParagraph"/>
        <w:numPr>
          <w:ilvl w:val="0"/>
          <w:numId w:val="27"/>
        </w:numPr>
        <w:spacing w:after="0"/>
        <w:rPr>
          <w:rFonts w:cs="Segoe UI"/>
          <w:lang w:eastAsia="en-AU"/>
        </w:rPr>
      </w:pPr>
      <w:r>
        <w:rPr>
          <w:rFonts w:cs="Segoe UI"/>
          <w:lang w:eastAsia="en-AU"/>
        </w:rPr>
        <w:t>greater acceptance of uncertainty and complex methods where:</w:t>
      </w:r>
    </w:p>
    <w:p w14:paraId="225FF092" w14:textId="77777777" w:rsidR="0005329F" w:rsidRDefault="0005329F" w:rsidP="00F20014">
      <w:pPr>
        <w:pStyle w:val="ListParagraph"/>
        <w:numPr>
          <w:ilvl w:val="1"/>
          <w:numId w:val="60"/>
        </w:numPr>
      </w:pPr>
      <w:r>
        <w:t>managed entry agreements are proposed, and/or</w:t>
      </w:r>
    </w:p>
    <w:p w14:paraId="559CE51C" w14:textId="43B1F67B" w:rsidR="0005329F" w:rsidRDefault="0005329F" w:rsidP="00F20014">
      <w:pPr>
        <w:pStyle w:val="ListParagraph"/>
        <w:numPr>
          <w:ilvl w:val="1"/>
          <w:numId w:val="60"/>
        </w:numPr>
      </w:pPr>
      <w:r>
        <w:lastRenderedPageBreak/>
        <w:t>a health technology is likely to provide high added therapeutic value in areas of high unmet clinical need (HUCN)</w:t>
      </w:r>
      <w:r w:rsidR="00F013F7">
        <w:t>.</w:t>
      </w:r>
    </w:p>
    <w:p w14:paraId="7F0E355D" w14:textId="77777777" w:rsidR="0005329F" w:rsidRDefault="0005329F" w:rsidP="00F20014">
      <w:pPr>
        <w:pStyle w:val="ListParagraph"/>
        <w:numPr>
          <w:ilvl w:val="0"/>
          <w:numId w:val="27"/>
        </w:numPr>
        <w:spacing w:after="0"/>
        <w:rPr>
          <w:rFonts w:cs="Segoe UI"/>
          <w:lang w:eastAsia="en-AU"/>
        </w:rPr>
      </w:pPr>
      <w:r>
        <w:rPr>
          <w:rFonts w:cs="Segoe UI"/>
          <w:lang w:eastAsia="en-AU"/>
        </w:rPr>
        <w:t>provision of:</w:t>
      </w:r>
    </w:p>
    <w:p w14:paraId="5F223AF4" w14:textId="77777777" w:rsidR="0005329F" w:rsidRPr="00824739" w:rsidRDefault="0005329F" w:rsidP="00F013F7">
      <w:pPr>
        <w:pStyle w:val="ListParagraph"/>
        <w:numPr>
          <w:ilvl w:val="1"/>
          <w:numId w:val="76"/>
        </w:numPr>
      </w:pPr>
      <w:r w:rsidRPr="76C41307">
        <w:t>guidance on methodologies preferred by decision-makers</w:t>
      </w:r>
    </w:p>
    <w:p w14:paraId="3F3C7A62" w14:textId="77777777" w:rsidR="0005329F" w:rsidRPr="00824739" w:rsidRDefault="0005329F" w:rsidP="00F013F7">
      <w:pPr>
        <w:pStyle w:val="ListParagraph"/>
        <w:numPr>
          <w:ilvl w:val="1"/>
          <w:numId w:val="76"/>
        </w:numPr>
      </w:pPr>
      <w:r w:rsidRPr="76C41307">
        <w:t xml:space="preserve">training and guidance </w:t>
      </w:r>
      <w:r>
        <w:t>for evaluation groups</w:t>
      </w:r>
      <w:r w:rsidRPr="76C41307">
        <w:t xml:space="preserve"> on new methods</w:t>
      </w:r>
    </w:p>
    <w:p w14:paraId="0E2FCFFB" w14:textId="1BF29104" w:rsidR="0005329F" w:rsidRPr="00824739" w:rsidRDefault="0005329F" w:rsidP="00F013F7">
      <w:pPr>
        <w:pStyle w:val="ListParagraph"/>
        <w:numPr>
          <w:ilvl w:val="1"/>
          <w:numId w:val="76"/>
        </w:numPr>
      </w:pPr>
      <w:r w:rsidRPr="76C41307">
        <w:t>feedback to sponsors on their use and presentation of analys</w:t>
      </w:r>
      <w:r>
        <w:t>i</w:t>
      </w:r>
      <w:r w:rsidRPr="76C41307">
        <w:t>s based on more complex methods</w:t>
      </w:r>
      <w:r w:rsidR="00F013F7">
        <w:t>.</w:t>
      </w:r>
    </w:p>
    <w:p w14:paraId="5B4A8382" w14:textId="77777777" w:rsidR="0005329F" w:rsidRPr="00F872DC" w:rsidRDefault="0005329F" w:rsidP="00F20014">
      <w:pPr>
        <w:pStyle w:val="ListParagraph"/>
        <w:numPr>
          <w:ilvl w:val="0"/>
          <w:numId w:val="27"/>
        </w:numPr>
        <w:rPr>
          <w:rFonts w:cs="Segoe UI"/>
          <w:lang w:eastAsia="en-AU"/>
        </w:rPr>
      </w:pPr>
      <w:r>
        <w:rPr>
          <w:rFonts w:cs="Segoe UI"/>
          <w:lang w:eastAsia="en-AU"/>
        </w:rPr>
        <w:t>consultation with stakeholders</w:t>
      </w:r>
      <w:r w:rsidRPr="76C41307">
        <w:rPr>
          <w:rFonts w:cs="Segoe UI"/>
          <w:lang w:eastAsia="en-AU"/>
        </w:rPr>
        <w:t xml:space="preserve"> on adoption of methodologies</w:t>
      </w:r>
      <w:r>
        <w:rPr>
          <w:rFonts w:cs="Segoe UI"/>
          <w:lang w:eastAsia="en-AU"/>
        </w:rPr>
        <w:t>.</w:t>
      </w:r>
    </w:p>
    <w:p w14:paraId="54A3FC53" w14:textId="77777777" w:rsidR="0005329F" w:rsidRPr="00824739" w:rsidRDefault="0005329F" w:rsidP="00484B58">
      <w:pPr>
        <w:pStyle w:val="Recommendation1"/>
      </w:pPr>
      <w:bookmarkStart w:id="55" w:name="_Ref164782336"/>
      <w:bookmarkStart w:id="56" w:name="_Hlk167302479"/>
      <w:r w:rsidRPr="00824739">
        <w:t>Methods for assess</w:t>
      </w:r>
      <w:r>
        <w:t xml:space="preserve">ing </w:t>
      </w:r>
      <w:r w:rsidRPr="5DA15D02">
        <w:t>non-</w:t>
      </w:r>
      <w:proofErr w:type="spellStart"/>
      <w:r w:rsidRPr="5DA15D02">
        <w:t>randomised</w:t>
      </w:r>
      <w:proofErr w:type="spellEnd"/>
      <w:r w:rsidRPr="00824739">
        <w:t xml:space="preserve"> and observational evidence</w:t>
      </w:r>
      <w:bookmarkEnd w:id="55"/>
    </w:p>
    <w:bookmarkEnd w:id="56"/>
    <w:p w14:paraId="22DD17F8" w14:textId="4897FE60" w:rsidR="00B72A6F" w:rsidRDefault="0005329F" w:rsidP="00B72A6F">
      <w:pPr>
        <w:spacing w:line="278" w:lineRule="auto"/>
        <w:contextualSpacing w:val="0"/>
        <w:rPr>
          <w:kern w:val="24"/>
          <w:lang w:eastAsia="en-AU"/>
        </w:rPr>
      </w:pPr>
      <w:r w:rsidRPr="00C07AE2">
        <w:t>The Review recommends that the Australian Government</w:t>
      </w:r>
      <w:r>
        <w:t xml:space="preserve"> </w:t>
      </w:r>
      <w:r w:rsidRPr="00C07AE2">
        <w:rPr>
          <w:kern w:val="24"/>
          <w:lang w:eastAsia="en-AU"/>
        </w:rPr>
        <w:t>support</w:t>
      </w:r>
      <w:r w:rsidRPr="00C07AE2" w:rsidDel="00F16083">
        <w:rPr>
          <w:kern w:val="24"/>
          <w:lang w:eastAsia="en-AU"/>
        </w:rPr>
        <w:t xml:space="preserve"> </w:t>
      </w:r>
      <w:r w:rsidRPr="00C07AE2">
        <w:rPr>
          <w:kern w:val="24"/>
          <w:lang w:eastAsia="en-AU"/>
        </w:rPr>
        <w:t>updates to methods, in consultation with stakeholders, for using non-</w:t>
      </w:r>
      <w:proofErr w:type="spellStart"/>
      <w:r w:rsidRPr="00C07AE2">
        <w:rPr>
          <w:kern w:val="24"/>
          <w:lang w:eastAsia="en-AU"/>
        </w:rPr>
        <w:t>randomised</w:t>
      </w:r>
      <w:proofErr w:type="spellEnd"/>
      <w:r w:rsidRPr="00C07AE2">
        <w:rPr>
          <w:kern w:val="24"/>
          <w:lang w:eastAsia="en-AU"/>
        </w:rPr>
        <w:t xml:space="preserve"> and observational evidence, in line with the overarching principles for adopting methods in HTAs. </w:t>
      </w:r>
    </w:p>
    <w:p w14:paraId="3F30357F" w14:textId="77777777" w:rsidR="0005329F" w:rsidRPr="00C07AE2" w:rsidRDefault="0005329F" w:rsidP="00B72A6F">
      <w:pPr>
        <w:rPr>
          <w:lang w:eastAsia="en-AU"/>
        </w:rPr>
      </w:pPr>
      <w:r w:rsidRPr="00C07AE2">
        <w:t>Revised methods should include the following updates:</w:t>
      </w:r>
    </w:p>
    <w:p w14:paraId="37811BEF" w14:textId="77777777" w:rsidR="0005329F" w:rsidRPr="00751FD5" w:rsidRDefault="0005329F" w:rsidP="00F20014">
      <w:pPr>
        <w:pStyle w:val="ListParagraph"/>
        <w:numPr>
          <w:ilvl w:val="0"/>
          <w:numId w:val="61"/>
        </w:numPr>
        <w:rPr>
          <w:lang w:eastAsia="en-AU"/>
        </w:rPr>
      </w:pPr>
      <w:r w:rsidRPr="00751FD5">
        <w:rPr>
          <w:lang w:eastAsia="en-AU"/>
        </w:rPr>
        <w:t>use of indirect comparisons to include the presentation of a comparison of study characteristics, as well as how successful efforts for controlling for differences in characteristics are likely to be</w:t>
      </w:r>
    </w:p>
    <w:p w14:paraId="6F196EA5" w14:textId="77777777" w:rsidR="0005329F" w:rsidRPr="00751FD5" w:rsidRDefault="0005329F" w:rsidP="00F20014">
      <w:pPr>
        <w:pStyle w:val="ListParagraph"/>
        <w:numPr>
          <w:ilvl w:val="0"/>
          <w:numId w:val="61"/>
        </w:numPr>
        <w:rPr>
          <w:lang w:eastAsia="en-AU"/>
        </w:rPr>
      </w:pPr>
      <w:r w:rsidRPr="00751FD5">
        <w:rPr>
          <w:lang w:eastAsia="en-AU"/>
        </w:rPr>
        <w:t>creation of control groups to include:</w:t>
      </w:r>
    </w:p>
    <w:p w14:paraId="3DB6B371" w14:textId="77777777" w:rsidR="0005329F" w:rsidRPr="00C07AE2" w:rsidRDefault="0005329F" w:rsidP="00F20014">
      <w:pPr>
        <w:pStyle w:val="ListParagraph"/>
        <w:numPr>
          <w:ilvl w:val="1"/>
          <w:numId w:val="62"/>
        </w:numPr>
        <w:rPr>
          <w:lang w:eastAsia="en-AU"/>
        </w:rPr>
      </w:pPr>
      <w:r w:rsidRPr="00824739">
        <w:rPr>
          <w:lang w:eastAsia="en-AU"/>
        </w:rPr>
        <w:t>justification of why an indirect comparison is not possible, or less reliable, than the proposed approach of creating a control group</w:t>
      </w:r>
    </w:p>
    <w:p w14:paraId="250EC780" w14:textId="77777777" w:rsidR="0005329F" w:rsidRPr="00C07AE2" w:rsidRDefault="0005329F" w:rsidP="00F20014">
      <w:pPr>
        <w:pStyle w:val="ListParagraph"/>
        <w:numPr>
          <w:ilvl w:val="1"/>
          <w:numId w:val="62"/>
        </w:numPr>
        <w:rPr>
          <w:lang w:eastAsia="en-AU"/>
        </w:rPr>
      </w:pPr>
      <w:r w:rsidRPr="00C07AE2">
        <w:rPr>
          <w:lang w:eastAsia="en-AU"/>
        </w:rPr>
        <w:t>justification for using methods that are not pre-specified in the study protocol of the proposed technology</w:t>
      </w:r>
    </w:p>
    <w:p w14:paraId="43083DFC" w14:textId="1ED2A9A6" w:rsidR="0005329F" w:rsidRPr="00C07AE2" w:rsidRDefault="0005329F" w:rsidP="00F20014">
      <w:pPr>
        <w:pStyle w:val="ListParagraph"/>
        <w:numPr>
          <w:ilvl w:val="1"/>
          <w:numId w:val="62"/>
        </w:numPr>
        <w:rPr>
          <w:lang w:eastAsia="en-AU"/>
        </w:rPr>
      </w:pPr>
      <w:r w:rsidRPr="00C07AE2">
        <w:rPr>
          <w:lang w:eastAsia="en-AU"/>
        </w:rPr>
        <w:t>multiple approaches and/or multiple data sources, if possible, and a discussion of any inconsistencies in estimates</w:t>
      </w:r>
      <w:r w:rsidR="00F013F7">
        <w:rPr>
          <w:lang w:eastAsia="en-AU"/>
        </w:rPr>
        <w:t>.</w:t>
      </w:r>
    </w:p>
    <w:p w14:paraId="2E3EC723" w14:textId="77777777" w:rsidR="0005329F" w:rsidRPr="00751FD5" w:rsidRDefault="0005329F" w:rsidP="00F20014">
      <w:pPr>
        <w:pStyle w:val="ListParagraph"/>
        <w:numPr>
          <w:ilvl w:val="0"/>
          <w:numId w:val="61"/>
        </w:numPr>
        <w:rPr>
          <w:lang w:eastAsia="en-AU"/>
        </w:rPr>
      </w:pPr>
      <w:r w:rsidRPr="00751FD5">
        <w:rPr>
          <w:lang w:eastAsia="en-AU"/>
        </w:rPr>
        <w:t xml:space="preserve">use of non-randomised studies to estimate a treatment effect only where: </w:t>
      </w:r>
    </w:p>
    <w:p w14:paraId="396A5458" w14:textId="77777777" w:rsidR="0005329F" w:rsidRPr="00824739" w:rsidRDefault="0005329F" w:rsidP="00F20014">
      <w:pPr>
        <w:pStyle w:val="ListParagraph"/>
        <w:numPr>
          <w:ilvl w:val="1"/>
          <w:numId w:val="63"/>
        </w:numPr>
        <w:rPr>
          <w:lang w:eastAsia="en-AU"/>
        </w:rPr>
      </w:pPr>
      <w:bookmarkStart w:id="57" w:name="_Int_I9kBCWH5"/>
      <w:r w:rsidRPr="00824739">
        <w:rPr>
          <w:lang w:eastAsia="en-AU"/>
        </w:rPr>
        <w:t>well</w:t>
      </w:r>
      <w:bookmarkEnd w:id="57"/>
      <w:r w:rsidRPr="00824739">
        <w:rPr>
          <w:lang w:eastAsia="en-AU"/>
        </w:rPr>
        <w:t xml:space="preserve"> justified</w:t>
      </w:r>
    </w:p>
    <w:p w14:paraId="3F328A83" w14:textId="77777777" w:rsidR="0005329F" w:rsidRPr="00510FDE" w:rsidRDefault="0005329F" w:rsidP="00F20014">
      <w:pPr>
        <w:pStyle w:val="ListParagraph"/>
        <w:numPr>
          <w:ilvl w:val="1"/>
          <w:numId w:val="63"/>
        </w:numPr>
        <w:rPr>
          <w:lang w:eastAsia="en-AU"/>
        </w:rPr>
      </w:pPr>
      <w:r w:rsidRPr="00510FDE">
        <w:rPr>
          <w:lang w:eastAsia="en-AU"/>
        </w:rPr>
        <w:t xml:space="preserve">design and analysis elements are sufficiently rigorous to support confidence in </w:t>
      </w:r>
      <w:r w:rsidRPr="00510FDE" w:rsidDel="00830AFC">
        <w:rPr>
          <w:lang w:eastAsia="en-AU"/>
        </w:rPr>
        <w:t>decision</w:t>
      </w:r>
      <w:r>
        <w:rPr>
          <w:lang w:eastAsia="en-AU"/>
        </w:rPr>
        <w:t>-making</w:t>
      </w:r>
      <w:r w:rsidRPr="00510FDE">
        <w:rPr>
          <w:lang w:eastAsia="en-AU"/>
        </w:rPr>
        <w:t xml:space="preserve"> such as through</w:t>
      </w:r>
      <w:r w:rsidRPr="0019054D">
        <w:rPr>
          <w:lang w:eastAsia="en-AU"/>
        </w:rPr>
        <w:t>:</w:t>
      </w:r>
    </w:p>
    <w:p w14:paraId="10F89591" w14:textId="77777777" w:rsidR="0005329F" w:rsidRPr="00824739" w:rsidRDefault="0005329F" w:rsidP="00F20014">
      <w:pPr>
        <w:pStyle w:val="ListParagraph"/>
        <w:numPr>
          <w:ilvl w:val="2"/>
          <w:numId w:val="63"/>
        </w:numPr>
        <w:rPr>
          <w:lang w:eastAsia="en-AU"/>
        </w:rPr>
      </w:pPr>
      <w:r w:rsidRPr="00824739">
        <w:rPr>
          <w:lang w:eastAsia="en-AU"/>
        </w:rPr>
        <w:t xml:space="preserve">prospective design (preferably in collaboration with </w:t>
      </w:r>
      <w:r>
        <w:rPr>
          <w:lang w:eastAsia="en-AU"/>
        </w:rPr>
        <w:t xml:space="preserve">an </w:t>
      </w:r>
      <w:r w:rsidRPr="00824739">
        <w:rPr>
          <w:lang w:eastAsia="en-AU"/>
        </w:rPr>
        <w:t xml:space="preserve">HTA or regulatory scientific advice) </w:t>
      </w:r>
    </w:p>
    <w:p w14:paraId="2B8E8437" w14:textId="77777777" w:rsidR="0005329F" w:rsidRPr="00824739" w:rsidRDefault="0005329F" w:rsidP="00F20014">
      <w:pPr>
        <w:pStyle w:val="ListParagraph"/>
        <w:numPr>
          <w:ilvl w:val="2"/>
          <w:numId w:val="63"/>
        </w:numPr>
        <w:rPr>
          <w:lang w:eastAsia="en-AU"/>
        </w:rPr>
      </w:pPr>
      <w:r w:rsidRPr="00824739">
        <w:rPr>
          <w:lang w:eastAsia="en-AU"/>
        </w:rPr>
        <w:t>regist</w:t>
      </w:r>
      <w:r>
        <w:rPr>
          <w:lang w:eastAsia="en-AU"/>
        </w:rPr>
        <w:t>ration and transparent reporting</w:t>
      </w:r>
      <w:r w:rsidRPr="00824739">
        <w:rPr>
          <w:lang w:eastAsia="en-AU"/>
        </w:rPr>
        <w:t xml:space="preserve"> </w:t>
      </w:r>
    </w:p>
    <w:p w14:paraId="1572EFB9" w14:textId="46C37DE5" w:rsidR="0005329F" w:rsidRPr="00824739" w:rsidRDefault="0005329F" w:rsidP="00F20014">
      <w:pPr>
        <w:pStyle w:val="ListParagraph"/>
        <w:numPr>
          <w:ilvl w:val="2"/>
          <w:numId w:val="63"/>
        </w:numPr>
        <w:rPr>
          <w:lang w:eastAsia="en-AU"/>
        </w:rPr>
      </w:pPr>
      <w:r>
        <w:rPr>
          <w:lang w:eastAsia="en-AU"/>
        </w:rPr>
        <w:t xml:space="preserve">inclusion of </w:t>
      </w:r>
      <w:r w:rsidRPr="00824739">
        <w:rPr>
          <w:lang w:eastAsia="en-AU"/>
        </w:rPr>
        <w:t>multiple sensitivity</w:t>
      </w:r>
      <w:r>
        <w:rPr>
          <w:lang w:eastAsia="en-AU"/>
        </w:rPr>
        <w:t xml:space="preserve"> analyses demonstrating consistency of effect</w:t>
      </w:r>
      <w:r w:rsidR="005A51F4">
        <w:rPr>
          <w:lang w:eastAsia="en-AU"/>
        </w:rPr>
        <w:t>.</w:t>
      </w:r>
    </w:p>
    <w:p w14:paraId="75635975" w14:textId="77777777" w:rsidR="0005329F" w:rsidRPr="00751FD5" w:rsidRDefault="0005329F" w:rsidP="00F20014">
      <w:pPr>
        <w:pStyle w:val="ListParagraph"/>
        <w:numPr>
          <w:ilvl w:val="0"/>
          <w:numId w:val="61"/>
        </w:numPr>
        <w:rPr>
          <w:lang w:eastAsia="en-AU"/>
        </w:rPr>
      </w:pPr>
      <w:r w:rsidRPr="00751FD5">
        <w:rPr>
          <w:lang w:eastAsia="en-AU"/>
        </w:rPr>
        <w:t>adjustment of the treatment effect in the presence of treatment switching to include:</w:t>
      </w:r>
    </w:p>
    <w:p w14:paraId="7F6BC1C1" w14:textId="77777777" w:rsidR="0005329F" w:rsidRPr="00824739" w:rsidRDefault="0005329F" w:rsidP="00F20014">
      <w:pPr>
        <w:pStyle w:val="ListParagraph"/>
        <w:numPr>
          <w:ilvl w:val="1"/>
          <w:numId w:val="64"/>
        </w:numPr>
        <w:rPr>
          <w:lang w:eastAsia="en-AU"/>
        </w:rPr>
      </w:pPr>
      <w:r w:rsidRPr="00824739">
        <w:rPr>
          <w:lang w:eastAsia="en-AU"/>
        </w:rPr>
        <w:lastRenderedPageBreak/>
        <w:t>multiple methods to be reported to show consisten</w:t>
      </w:r>
      <w:r>
        <w:rPr>
          <w:lang w:eastAsia="en-AU"/>
        </w:rPr>
        <w:t xml:space="preserve">t </w:t>
      </w:r>
      <w:r w:rsidRPr="00824739">
        <w:rPr>
          <w:lang w:eastAsia="en-AU"/>
        </w:rPr>
        <w:t>results. This may include alternative approaches (not only methods to adjust for treatment switching) such as translating intermediate end</w:t>
      </w:r>
      <w:r>
        <w:rPr>
          <w:lang w:eastAsia="en-AU"/>
        </w:rPr>
        <w:t xml:space="preserve"> </w:t>
      </w:r>
      <w:r w:rsidRPr="00824739">
        <w:rPr>
          <w:lang w:eastAsia="en-AU"/>
        </w:rPr>
        <w:t>points unaffected by treatment switching into final outcomes</w:t>
      </w:r>
    </w:p>
    <w:p w14:paraId="63F50AD0" w14:textId="77777777" w:rsidR="0005329F" w:rsidRPr="001C452B" w:rsidRDefault="0005329F" w:rsidP="00F20014">
      <w:pPr>
        <w:pStyle w:val="ListParagraph"/>
        <w:numPr>
          <w:ilvl w:val="1"/>
          <w:numId w:val="64"/>
        </w:numPr>
        <w:rPr>
          <w:lang w:eastAsia="en-AU"/>
        </w:rPr>
      </w:pPr>
      <w:r w:rsidRPr="00824739">
        <w:rPr>
          <w:lang w:eastAsia="en-AU"/>
        </w:rPr>
        <w:t>a justification of the use of methods that are not pre-specified in the trial protocol of the key study for the proposed technology.</w:t>
      </w:r>
    </w:p>
    <w:p w14:paraId="4AACB796" w14:textId="77777777" w:rsidR="0005329F" w:rsidRPr="00751FD5" w:rsidRDefault="0005329F" w:rsidP="00B03CC5">
      <w:pPr>
        <w:keepNext/>
        <w:spacing w:after="0"/>
        <w:rPr>
          <w:lang w:eastAsia="en-AU"/>
        </w:rPr>
      </w:pPr>
      <w:r w:rsidRPr="00751FD5">
        <w:rPr>
          <w:lang w:eastAsia="en-AU"/>
        </w:rPr>
        <w:t>Revised methods should include more guidance on using real-world data (RWD) and real-world evidence (RWE) including:</w:t>
      </w:r>
    </w:p>
    <w:p w14:paraId="5F0BD027" w14:textId="77777777" w:rsidR="0005329F" w:rsidRPr="00751FD5" w:rsidRDefault="0005329F" w:rsidP="00F20014">
      <w:pPr>
        <w:pStyle w:val="ListParagraph"/>
        <w:numPr>
          <w:ilvl w:val="0"/>
          <w:numId w:val="65"/>
        </w:numPr>
        <w:rPr>
          <w:lang w:eastAsia="en-AU"/>
        </w:rPr>
      </w:pPr>
      <w:r w:rsidRPr="00751FD5">
        <w:rPr>
          <w:lang w:eastAsia="en-AU"/>
        </w:rPr>
        <w:t>for</w:t>
      </w:r>
      <w:r w:rsidRPr="00751FD5" w:rsidDel="00F16083">
        <w:rPr>
          <w:lang w:eastAsia="en-AU"/>
        </w:rPr>
        <w:t xml:space="preserve"> </w:t>
      </w:r>
      <w:r w:rsidRPr="00751FD5">
        <w:rPr>
          <w:lang w:eastAsia="en-AU"/>
        </w:rPr>
        <w:t>the data sources that would be acceptable for particular purposes (e.g. costs, utilities and treatment effect)</w:t>
      </w:r>
    </w:p>
    <w:p w14:paraId="633D6020" w14:textId="4D038F4C" w:rsidR="0005329F" w:rsidRPr="00751FD5" w:rsidRDefault="0005329F" w:rsidP="00F20014">
      <w:pPr>
        <w:pStyle w:val="ListParagraph"/>
        <w:numPr>
          <w:ilvl w:val="0"/>
          <w:numId w:val="65"/>
        </w:numPr>
        <w:rPr>
          <w:lang w:eastAsia="en-AU"/>
        </w:rPr>
      </w:pPr>
      <w:r w:rsidRPr="00751FD5">
        <w:rPr>
          <w:lang w:eastAsia="en-AU"/>
        </w:rPr>
        <w:t>for assessment of the quality of the data source</w:t>
      </w:r>
      <w:r w:rsidR="004E6765">
        <w:rPr>
          <w:lang w:eastAsia="en-AU"/>
        </w:rPr>
        <w:t>.</w:t>
      </w:r>
    </w:p>
    <w:p w14:paraId="449DA469" w14:textId="77777777" w:rsidR="0005329F" w:rsidRPr="00751FD5" w:rsidRDefault="0005329F" w:rsidP="00B03CC5">
      <w:pPr>
        <w:keepNext/>
        <w:spacing w:after="0"/>
        <w:rPr>
          <w:lang w:eastAsia="en-AU"/>
        </w:rPr>
      </w:pPr>
      <w:r w:rsidRPr="00751FD5">
        <w:rPr>
          <w:lang w:eastAsia="en-AU"/>
        </w:rPr>
        <w:t>Revised methods should ensure RWE is used to determine treatment effectiveness only where the following conditions are met (or there is a strong justification that they cannot be met):</w:t>
      </w:r>
    </w:p>
    <w:p w14:paraId="6EB9227D" w14:textId="77777777" w:rsidR="0005329F" w:rsidRPr="00751FD5" w:rsidRDefault="0005329F" w:rsidP="00F20014">
      <w:pPr>
        <w:pStyle w:val="ListParagraph"/>
        <w:numPr>
          <w:ilvl w:val="0"/>
          <w:numId w:val="66"/>
        </w:numPr>
        <w:rPr>
          <w:lang w:eastAsia="en-AU"/>
        </w:rPr>
      </w:pPr>
      <w:r w:rsidRPr="00751FD5">
        <w:rPr>
          <w:lang w:eastAsia="en-AU"/>
        </w:rPr>
        <w:t>the technology is for use in areas of high unmet clinical need</w:t>
      </w:r>
      <w:r>
        <w:rPr>
          <w:lang w:eastAsia="en-AU"/>
        </w:rPr>
        <w:t xml:space="preserve"> (HUCN)</w:t>
      </w:r>
    </w:p>
    <w:p w14:paraId="4F6D0727" w14:textId="77777777" w:rsidR="0005329F" w:rsidRPr="00751FD5" w:rsidRDefault="0005329F" w:rsidP="00F20014">
      <w:pPr>
        <w:pStyle w:val="ListParagraph"/>
        <w:numPr>
          <w:ilvl w:val="0"/>
          <w:numId w:val="66"/>
        </w:numPr>
        <w:rPr>
          <w:lang w:eastAsia="en-AU"/>
        </w:rPr>
      </w:pPr>
      <w:r w:rsidRPr="00751FD5">
        <w:rPr>
          <w:lang w:eastAsia="en-AU"/>
        </w:rPr>
        <w:t>higher-quality evidence cannot be generated or will not be generated in a timely fashion</w:t>
      </w:r>
    </w:p>
    <w:p w14:paraId="24B832D2" w14:textId="77777777" w:rsidR="0005329F" w:rsidRPr="00751FD5" w:rsidRDefault="0005329F" w:rsidP="00F20014">
      <w:pPr>
        <w:pStyle w:val="ListParagraph"/>
        <w:numPr>
          <w:ilvl w:val="0"/>
          <w:numId w:val="66"/>
        </w:numPr>
        <w:rPr>
          <w:lang w:eastAsia="en-AU"/>
        </w:rPr>
      </w:pPr>
      <w:r w:rsidRPr="00751FD5">
        <w:rPr>
          <w:lang w:eastAsia="en-AU"/>
        </w:rPr>
        <w:t xml:space="preserve">limitations of RWE and impact on </w:t>
      </w:r>
      <w:r w:rsidRPr="00751FD5" w:rsidDel="00830AFC">
        <w:rPr>
          <w:lang w:eastAsia="en-AU"/>
        </w:rPr>
        <w:t>decision</w:t>
      </w:r>
      <w:r w:rsidRPr="00751FD5">
        <w:rPr>
          <w:lang w:eastAsia="en-AU"/>
        </w:rPr>
        <w:t xml:space="preserve">-making confidence are mitigated such as through: </w:t>
      </w:r>
    </w:p>
    <w:p w14:paraId="498258FD" w14:textId="77777777" w:rsidR="0005329F" w:rsidRPr="00824739" w:rsidRDefault="0005329F" w:rsidP="00F20014">
      <w:pPr>
        <w:pStyle w:val="ListParagraph"/>
        <w:numPr>
          <w:ilvl w:val="1"/>
          <w:numId w:val="66"/>
        </w:numPr>
        <w:rPr>
          <w:lang w:eastAsia="en-AU"/>
        </w:rPr>
      </w:pPr>
      <w:r w:rsidRPr="00824739">
        <w:rPr>
          <w:lang w:eastAsia="en-AU"/>
        </w:rPr>
        <w:t xml:space="preserve">presentation of multiple sources of RWE (including methods of generating RWE from a source, and </w:t>
      </w:r>
      <w:r>
        <w:rPr>
          <w:lang w:eastAsia="en-AU"/>
        </w:rPr>
        <w:t xml:space="preserve">from </w:t>
      </w:r>
      <w:r w:rsidRPr="00824739">
        <w:rPr>
          <w:lang w:eastAsia="en-AU"/>
        </w:rPr>
        <w:t>multiple RWD sources)</w:t>
      </w:r>
    </w:p>
    <w:p w14:paraId="289CAC51" w14:textId="77777777" w:rsidR="0005329F" w:rsidRPr="00824739" w:rsidRDefault="0005329F" w:rsidP="00F20014">
      <w:pPr>
        <w:pStyle w:val="ListParagraph"/>
        <w:numPr>
          <w:ilvl w:val="1"/>
          <w:numId w:val="66"/>
        </w:numPr>
        <w:rPr>
          <w:lang w:eastAsia="en-AU"/>
        </w:rPr>
      </w:pPr>
      <w:r w:rsidRPr="00613A4F">
        <w:rPr>
          <w:lang w:eastAsia="en-AU"/>
        </w:rPr>
        <w:t>pre</w:t>
      </w:r>
      <w:r>
        <w:rPr>
          <w:lang w:eastAsia="en-AU"/>
        </w:rPr>
        <w:t>-</w:t>
      </w:r>
      <w:r w:rsidRPr="00613A4F">
        <w:rPr>
          <w:lang w:eastAsia="en-AU"/>
        </w:rPr>
        <w:t>specification of the use of RWE is in the study protocol for the proposed technology.</w:t>
      </w:r>
    </w:p>
    <w:p w14:paraId="1D8B6111" w14:textId="77777777" w:rsidR="0005329F" w:rsidRPr="00751FD5" w:rsidRDefault="0005329F" w:rsidP="00B03CC5">
      <w:pPr>
        <w:rPr>
          <w:lang w:eastAsia="en-AU"/>
        </w:rPr>
      </w:pPr>
      <w:r w:rsidRPr="00751FD5">
        <w:rPr>
          <w:lang w:eastAsia="en-AU"/>
        </w:rPr>
        <w:t>Consideration should also be given to setting minimum standards of data quality before data is used in an HTA.</w:t>
      </w:r>
    </w:p>
    <w:p w14:paraId="07178127" w14:textId="77777777" w:rsidR="0005329F" w:rsidRPr="00824739" w:rsidRDefault="0005329F" w:rsidP="00484B58">
      <w:pPr>
        <w:pStyle w:val="Recommendation1"/>
      </w:pPr>
      <w:bookmarkStart w:id="58" w:name="_Hlk167302501"/>
      <w:r w:rsidRPr="00824739">
        <w:t>Methods for assess</w:t>
      </w:r>
      <w:r>
        <w:t>ing</w:t>
      </w:r>
      <w:r w:rsidRPr="00824739">
        <w:t xml:space="preserve"> surrogate end</w:t>
      </w:r>
      <w:r>
        <w:t xml:space="preserve"> </w:t>
      </w:r>
      <w:r w:rsidRPr="00824739">
        <w:t xml:space="preserve">points </w:t>
      </w:r>
    </w:p>
    <w:bookmarkEnd w:id="58"/>
    <w:p w14:paraId="2BC25C95" w14:textId="77777777" w:rsidR="0005329F" w:rsidRDefault="0005329F" w:rsidP="00B03CC5">
      <w:pPr>
        <w:rPr>
          <w:lang w:eastAsia="en-AU"/>
        </w:rPr>
      </w:pPr>
      <w:r w:rsidRPr="00405FD7">
        <w:t xml:space="preserve">The Review recommends </w:t>
      </w:r>
      <w:r>
        <w:t xml:space="preserve">that </w:t>
      </w:r>
      <w:r w:rsidRPr="00405FD7">
        <w:t>the Australian Government</w:t>
      </w:r>
      <w:r>
        <w:t xml:space="preserve"> </w:t>
      </w:r>
      <w:r w:rsidRPr="006F3176">
        <w:rPr>
          <w:lang w:eastAsia="en-AU"/>
        </w:rPr>
        <w:t xml:space="preserve">support </w:t>
      </w:r>
      <w:r>
        <w:rPr>
          <w:lang w:eastAsia="en-AU"/>
        </w:rPr>
        <w:t xml:space="preserve">the </w:t>
      </w:r>
      <w:r w:rsidRPr="006F3176">
        <w:rPr>
          <w:lang w:eastAsia="en-AU"/>
        </w:rPr>
        <w:t>development of additional methods</w:t>
      </w:r>
      <w:r>
        <w:rPr>
          <w:lang w:eastAsia="en-AU"/>
        </w:rPr>
        <w:t xml:space="preserve"> </w:t>
      </w:r>
      <w:r w:rsidRPr="00824739">
        <w:rPr>
          <w:lang w:eastAsia="en-AU"/>
        </w:rPr>
        <w:t xml:space="preserve">for </w:t>
      </w:r>
      <w:r>
        <w:rPr>
          <w:lang w:eastAsia="en-AU"/>
        </w:rPr>
        <w:t>using</w:t>
      </w:r>
      <w:r w:rsidRPr="00824739">
        <w:rPr>
          <w:lang w:eastAsia="en-AU"/>
        </w:rPr>
        <w:t xml:space="preserve"> surrogate end</w:t>
      </w:r>
      <w:r>
        <w:rPr>
          <w:lang w:eastAsia="en-AU"/>
        </w:rPr>
        <w:t xml:space="preserve"> </w:t>
      </w:r>
      <w:r w:rsidRPr="00824739">
        <w:rPr>
          <w:lang w:eastAsia="en-AU"/>
        </w:rPr>
        <w:t xml:space="preserve">points in </w:t>
      </w:r>
      <w:r w:rsidRPr="00144E97">
        <w:rPr>
          <w:lang w:eastAsia="en-AU"/>
        </w:rPr>
        <w:t>HTA</w:t>
      </w:r>
      <w:r>
        <w:rPr>
          <w:lang w:eastAsia="en-AU"/>
        </w:rPr>
        <w:t>s,</w:t>
      </w:r>
      <w:r w:rsidRPr="00144E97" w:rsidDel="00144E97">
        <w:rPr>
          <w:lang w:eastAsia="en-AU"/>
        </w:rPr>
        <w:t xml:space="preserve"> </w:t>
      </w:r>
      <w:r>
        <w:rPr>
          <w:lang w:eastAsia="en-AU"/>
        </w:rPr>
        <w:t>in line with the overarching principles. This guidance</w:t>
      </w:r>
      <w:r w:rsidRPr="00824739">
        <w:rPr>
          <w:lang w:eastAsia="en-AU"/>
        </w:rPr>
        <w:t xml:space="preserve"> should</w:t>
      </w:r>
      <w:r>
        <w:rPr>
          <w:lang w:eastAsia="en-AU"/>
        </w:rPr>
        <w:t>:</w:t>
      </w:r>
      <w:r w:rsidRPr="00824739">
        <w:rPr>
          <w:lang w:eastAsia="en-AU"/>
        </w:rPr>
        <w:t xml:space="preserve"> </w:t>
      </w:r>
    </w:p>
    <w:p w14:paraId="5A66886F" w14:textId="77777777" w:rsidR="0005329F" w:rsidRPr="00454B4D" w:rsidRDefault="0005329F" w:rsidP="00F20014">
      <w:pPr>
        <w:pStyle w:val="ListParagraph"/>
        <w:numPr>
          <w:ilvl w:val="0"/>
          <w:numId w:val="67"/>
        </w:numPr>
        <w:rPr>
          <w:lang w:eastAsia="en-AU"/>
        </w:rPr>
      </w:pPr>
      <w:r w:rsidRPr="00454B4D">
        <w:rPr>
          <w:lang w:eastAsia="en-AU"/>
        </w:rPr>
        <w:t>include circumstances where surrogates would be acceptable (and may include a list of previously accepted surrogate end points paired with use cases)</w:t>
      </w:r>
    </w:p>
    <w:p w14:paraId="2A8CEF08" w14:textId="77777777" w:rsidR="0005329F" w:rsidRPr="00454B4D" w:rsidRDefault="0005329F" w:rsidP="00F20014">
      <w:pPr>
        <w:pStyle w:val="ListParagraph"/>
        <w:numPr>
          <w:ilvl w:val="0"/>
          <w:numId w:val="67"/>
        </w:numPr>
        <w:rPr>
          <w:lang w:eastAsia="en-AU"/>
        </w:rPr>
      </w:pPr>
      <w:r w:rsidRPr="00454B4D">
        <w:rPr>
          <w:lang w:eastAsia="en-AU"/>
        </w:rPr>
        <w:t xml:space="preserve">provide further instruction on evaluating evidence using surrogate end points, including methods for identifying the use of surrogates in submissions (as </w:t>
      </w:r>
      <w:r w:rsidRPr="00454B4D">
        <w:rPr>
          <w:lang w:eastAsia="en-AU"/>
        </w:rPr>
        <w:lastRenderedPageBreak/>
        <w:t>surrogate relationships can be implicit in economic models but not adequately presented for clinical evaluation).</w:t>
      </w:r>
    </w:p>
    <w:p w14:paraId="7BBABE2D" w14:textId="77777777" w:rsidR="0005329F" w:rsidRPr="00824739" w:rsidRDefault="0005329F" w:rsidP="00B03CC5">
      <w:pPr>
        <w:suppressOverlap/>
      </w:pPr>
      <w:r>
        <w:t xml:space="preserve">Development of additional methods should include examination of </w:t>
      </w:r>
      <w:r w:rsidRPr="00824739">
        <w:t>methods required to validate surrogates to ensure they are</w:t>
      </w:r>
      <w:r>
        <w:t xml:space="preserve"> consistent with methods used internationally. They should also</w:t>
      </w:r>
      <w:r w:rsidDel="006F3176">
        <w:t xml:space="preserve"> </w:t>
      </w:r>
      <w:r w:rsidRPr="00824739">
        <w:t>include methods for describing</w:t>
      </w:r>
      <w:r w:rsidRPr="00824739" w:rsidDel="006F3176">
        <w:t xml:space="preserve"> </w:t>
      </w:r>
      <w:r w:rsidRPr="00824739">
        <w:t>uncertainty, particularly where surrogate relationships are used in combination with other methods (such as indirect comparisons or model extrapolation) where uncertainty may be substantially increased.</w:t>
      </w:r>
    </w:p>
    <w:p w14:paraId="461EADFF" w14:textId="77777777" w:rsidR="0005329F" w:rsidRPr="00824739" w:rsidRDefault="0005329F" w:rsidP="00484B58">
      <w:pPr>
        <w:pStyle w:val="Recommendation1"/>
      </w:pPr>
      <w:bookmarkStart w:id="59" w:name="_Ref164112353"/>
      <w:bookmarkStart w:id="60" w:name="_Hlk167302509"/>
      <w:r>
        <w:t>M</w:t>
      </w:r>
      <w:r w:rsidRPr="00824739">
        <w:t>ethod</w:t>
      </w:r>
      <w:r>
        <w:t>s</w:t>
      </w:r>
      <w:r w:rsidRPr="00824739">
        <w:t xml:space="preserve"> preferred by decision-makers</w:t>
      </w:r>
      <w:bookmarkEnd w:id="59"/>
      <w:r w:rsidRPr="00824739">
        <w:t xml:space="preserve"> </w:t>
      </w:r>
    </w:p>
    <w:bookmarkEnd w:id="60"/>
    <w:p w14:paraId="2205EDF9" w14:textId="77777777" w:rsidR="0005329F" w:rsidRPr="007910A8" w:rsidRDefault="0005329F" w:rsidP="0005329F">
      <w:pPr>
        <w:keepNext/>
        <w:rPr>
          <w:bCs/>
        </w:rPr>
      </w:pPr>
      <w:r w:rsidRPr="00405FD7">
        <w:t xml:space="preserve">The Review recommends </w:t>
      </w:r>
      <w:r>
        <w:t xml:space="preserve">that </w:t>
      </w:r>
      <w:r w:rsidRPr="00405FD7">
        <w:t>the Australian Governmen</w:t>
      </w:r>
      <w:r>
        <w:t xml:space="preserve">t: </w:t>
      </w:r>
    </w:p>
    <w:p w14:paraId="5887373B" w14:textId="2FD74ADE" w:rsidR="0005329F" w:rsidRDefault="0005329F" w:rsidP="00F20014">
      <w:pPr>
        <w:pStyle w:val="ListParagraph"/>
        <w:numPr>
          <w:ilvl w:val="0"/>
          <w:numId w:val="68"/>
        </w:numPr>
        <w:rPr>
          <w:rFonts w:cs="Segoe UI"/>
          <w:kern w:val="24"/>
          <w:lang w:eastAsia="en-AU"/>
        </w:rPr>
      </w:pPr>
      <w:r>
        <w:t>s</w:t>
      </w:r>
      <w:r w:rsidRPr="005E06FF">
        <w:t xml:space="preserve">upport </w:t>
      </w:r>
      <w:r>
        <w:t xml:space="preserve">the </w:t>
      </w:r>
      <w:r w:rsidRPr="005E06FF">
        <w:t>generation of a curated list of methodologies that are preferred by decision-makers, in collaboration with evaluation groups and sponsors.</w:t>
      </w:r>
      <w:r>
        <w:t xml:space="preserve"> </w:t>
      </w:r>
      <w:r w:rsidRPr="00D8224B">
        <w:rPr>
          <w:rFonts w:cs="Segoe UI"/>
          <w:lang w:eastAsia="en-AU"/>
        </w:rPr>
        <w:t>The list should include methodologies for the appropriate use and assessment of consumer evidence, real</w:t>
      </w:r>
      <w:r>
        <w:rPr>
          <w:rFonts w:cs="Segoe UI"/>
          <w:lang w:eastAsia="en-AU"/>
        </w:rPr>
        <w:t>-</w:t>
      </w:r>
      <w:r w:rsidRPr="00D8224B">
        <w:rPr>
          <w:rFonts w:cs="Segoe UI"/>
          <w:lang w:eastAsia="en-AU"/>
        </w:rPr>
        <w:t xml:space="preserve">world data </w:t>
      </w:r>
      <w:r w:rsidR="00977BF1">
        <w:rPr>
          <w:rFonts w:cs="Segoe UI"/>
          <w:lang w:eastAsia="en-AU"/>
        </w:rPr>
        <w:t xml:space="preserve">(RWD) </w:t>
      </w:r>
      <w:r w:rsidRPr="00D8224B">
        <w:rPr>
          <w:rFonts w:cs="Segoe UI"/>
          <w:lang w:eastAsia="en-AU"/>
        </w:rPr>
        <w:t>and real-world evidence</w:t>
      </w:r>
      <w:r w:rsidR="00977BF1">
        <w:rPr>
          <w:rFonts w:cs="Segoe UI"/>
          <w:lang w:eastAsia="en-AU"/>
        </w:rPr>
        <w:t xml:space="preserve"> (RWE)</w:t>
      </w:r>
      <w:r w:rsidRPr="00D8224B">
        <w:rPr>
          <w:rFonts w:cs="Segoe UI"/>
          <w:lang w:eastAsia="en-AU"/>
        </w:rPr>
        <w:t xml:space="preserve">. </w:t>
      </w:r>
      <w:r w:rsidRPr="005E06FF">
        <w:t>For each method in the list, brief guidance should be created that includes</w:t>
      </w:r>
      <w:r>
        <w:t>:</w:t>
      </w:r>
    </w:p>
    <w:p w14:paraId="565EC11A" w14:textId="77777777" w:rsidR="0005329F" w:rsidRPr="00BB0FD9" w:rsidRDefault="0005329F" w:rsidP="00F20014">
      <w:pPr>
        <w:pStyle w:val="ListParagraph"/>
        <w:numPr>
          <w:ilvl w:val="1"/>
          <w:numId w:val="69"/>
        </w:numPr>
        <w:rPr>
          <w:lang w:eastAsia="en-AU"/>
        </w:rPr>
      </w:pPr>
      <w:r>
        <w:rPr>
          <w:lang w:eastAsia="en-AU"/>
        </w:rPr>
        <w:t>a d</w:t>
      </w:r>
      <w:r w:rsidRPr="00BB0FD9">
        <w:rPr>
          <w:lang w:eastAsia="en-AU"/>
        </w:rPr>
        <w:t>escription of the method including links to key peer-reviewed articles</w:t>
      </w:r>
    </w:p>
    <w:p w14:paraId="0C22E727" w14:textId="77777777" w:rsidR="0005329F" w:rsidRPr="00BB0FD9" w:rsidRDefault="0005329F" w:rsidP="00F20014">
      <w:pPr>
        <w:pStyle w:val="ListParagraph"/>
        <w:numPr>
          <w:ilvl w:val="1"/>
          <w:numId w:val="69"/>
        </w:numPr>
        <w:rPr>
          <w:lang w:eastAsia="en-AU"/>
        </w:rPr>
      </w:pPr>
      <w:r>
        <w:rPr>
          <w:lang w:eastAsia="en-AU"/>
        </w:rPr>
        <w:t>g</w:t>
      </w:r>
      <w:r w:rsidRPr="00BB0FD9">
        <w:rPr>
          <w:lang w:eastAsia="en-AU"/>
        </w:rPr>
        <w:t>uidance for sponsors or evaluation groups on the presentation of the method and results in a submission or assessment report (including a checklist of what data may be required to validate the method) to ensure transparency</w:t>
      </w:r>
    </w:p>
    <w:p w14:paraId="320A7B71" w14:textId="77777777" w:rsidR="0005329F" w:rsidRPr="00BB0FD9" w:rsidRDefault="0005329F" w:rsidP="00F20014">
      <w:pPr>
        <w:pStyle w:val="ListParagraph"/>
        <w:numPr>
          <w:ilvl w:val="1"/>
          <w:numId w:val="69"/>
        </w:numPr>
        <w:rPr>
          <w:lang w:eastAsia="en-AU"/>
        </w:rPr>
      </w:pPr>
      <w:r>
        <w:rPr>
          <w:lang w:eastAsia="en-AU"/>
        </w:rPr>
        <w:t>g</w:t>
      </w:r>
      <w:r w:rsidRPr="00BB0FD9">
        <w:rPr>
          <w:lang w:eastAsia="en-AU"/>
        </w:rPr>
        <w:t>uidance for evaluation groups on how to evaluate the results generated by a method, and how to present uncertainty and the impact of the uncertainty on risk faced by decision-makers</w:t>
      </w:r>
    </w:p>
    <w:p w14:paraId="572E6156" w14:textId="77777777" w:rsidR="0005329F" w:rsidRPr="00BB0FD9" w:rsidRDefault="0005329F" w:rsidP="00F20014">
      <w:pPr>
        <w:pStyle w:val="ListParagraph"/>
        <w:numPr>
          <w:ilvl w:val="1"/>
          <w:numId w:val="69"/>
        </w:numPr>
        <w:rPr>
          <w:lang w:eastAsia="en-AU"/>
        </w:rPr>
      </w:pPr>
      <w:r>
        <w:rPr>
          <w:lang w:eastAsia="en-AU"/>
        </w:rPr>
        <w:t>a b</w:t>
      </w:r>
      <w:r w:rsidRPr="00BB0FD9">
        <w:rPr>
          <w:lang w:eastAsia="en-AU"/>
        </w:rPr>
        <w:t xml:space="preserve">rief explanation </w:t>
      </w:r>
      <w:r>
        <w:rPr>
          <w:lang w:eastAsia="en-AU"/>
        </w:rPr>
        <w:t>of</w:t>
      </w:r>
      <w:r w:rsidRPr="00BB0FD9">
        <w:rPr>
          <w:lang w:eastAsia="en-AU"/>
        </w:rPr>
        <w:t xml:space="preserve"> how to interpret the results derived by a method</w:t>
      </w:r>
    </w:p>
    <w:p w14:paraId="2958FE6E" w14:textId="77777777" w:rsidR="0005329F" w:rsidRPr="00BB0FD9" w:rsidRDefault="0005329F" w:rsidP="00F20014">
      <w:pPr>
        <w:pStyle w:val="ListParagraph"/>
        <w:numPr>
          <w:ilvl w:val="1"/>
          <w:numId w:val="69"/>
        </w:numPr>
        <w:rPr>
          <w:lang w:eastAsia="en-AU"/>
        </w:rPr>
      </w:pPr>
      <w:r>
        <w:rPr>
          <w:lang w:eastAsia="en-AU"/>
        </w:rPr>
        <w:t>a b</w:t>
      </w:r>
      <w:r w:rsidRPr="00BB0FD9">
        <w:rPr>
          <w:lang w:eastAsia="en-AU"/>
        </w:rPr>
        <w:t xml:space="preserve">rief lay explanation of the method for the benefit of patients, clinicians and the broader public to be incorporated into plain language explanation of </w:t>
      </w:r>
      <w:r w:rsidRPr="00DC4CAC">
        <w:rPr>
          <w:lang w:eastAsia="en-AU"/>
        </w:rPr>
        <w:t>Pharmaceutical Benefits Advisory Committee</w:t>
      </w:r>
      <w:r>
        <w:rPr>
          <w:lang w:eastAsia="en-AU"/>
        </w:rPr>
        <w:t xml:space="preserve"> (PBAC)</w:t>
      </w:r>
      <w:r w:rsidRPr="00DC4CAC">
        <w:rPr>
          <w:lang w:eastAsia="en-AU"/>
        </w:rPr>
        <w:t xml:space="preserve"> </w:t>
      </w:r>
      <w:r w:rsidRPr="00BB0FD9">
        <w:rPr>
          <w:lang w:eastAsia="en-AU"/>
        </w:rPr>
        <w:t xml:space="preserve">and </w:t>
      </w:r>
      <w:r w:rsidRPr="00121522">
        <w:rPr>
          <w:lang w:eastAsia="en-AU"/>
        </w:rPr>
        <w:t>Medical Services Advisory Committee</w:t>
      </w:r>
      <w:r>
        <w:rPr>
          <w:lang w:eastAsia="en-AU"/>
        </w:rPr>
        <w:t xml:space="preserve"> (MSAC)</w:t>
      </w:r>
      <w:r w:rsidRPr="00121522">
        <w:rPr>
          <w:lang w:eastAsia="en-AU"/>
        </w:rPr>
        <w:t xml:space="preserve"> </w:t>
      </w:r>
      <w:r>
        <w:rPr>
          <w:lang w:eastAsia="en-AU"/>
        </w:rPr>
        <w:t>G</w:t>
      </w:r>
      <w:r w:rsidRPr="00BB0FD9">
        <w:rPr>
          <w:lang w:eastAsia="en-AU"/>
        </w:rPr>
        <w:t>uidelines.</w:t>
      </w:r>
    </w:p>
    <w:p w14:paraId="562581CC" w14:textId="77777777" w:rsidR="0005329F" w:rsidRDefault="0005329F" w:rsidP="00F20014">
      <w:pPr>
        <w:pStyle w:val="ListParagraph"/>
        <w:numPr>
          <w:ilvl w:val="0"/>
          <w:numId w:val="68"/>
        </w:numPr>
        <w:rPr>
          <w:lang w:eastAsia="en-AU"/>
        </w:rPr>
      </w:pPr>
      <w:r>
        <w:rPr>
          <w:lang w:eastAsia="en-AU"/>
        </w:rPr>
        <w:t>support further</w:t>
      </w:r>
      <w:r w:rsidRPr="00824739">
        <w:rPr>
          <w:lang w:eastAsia="en-AU"/>
        </w:rPr>
        <w:t xml:space="preserve"> training and guidance </w:t>
      </w:r>
      <w:r>
        <w:rPr>
          <w:lang w:eastAsia="en-AU"/>
        </w:rPr>
        <w:t>for</w:t>
      </w:r>
      <w:r w:rsidRPr="00824739">
        <w:rPr>
          <w:lang w:eastAsia="en-AU"/>
        </w:rPr>
        <w:t xml:space="preserve"> evaluation groups when adopting new methods</w:t>
      </w:r>
    </w:p>
    <w:p w14:paraId="77F16604" w14:textId="77777777" w:rsidR="0005329F" w:rsidRDefault="0005329F" w:rsidP="00F20014">
      <w:pPr>
        <w:pStyle w:val="ListParagraph"/>
        <w:numPr>
          <w:ilvl w:val="0"/>
          <w:numId w:val="68"/>
        </w:numPr>
        <w:rPr>
          <w:lang w:eastAsia="en-AU"/>
        </w:rPr>
      </w:pPr>
      <w:r>
        <w:rPr>
          <w:lang w:eastAsia="en-AU"/>
        </w:rPr>
        <w:t>support the provision of f</w:t>
      </w:r>
      <w:r w:rsidRPr="00C3104D">
        <w:rPr>
          <w:lang w:eastAsia="en-AU"/>
        </w:rPr>
        <w:t>eedback to sponsors on their use and presentation of analys</w:t>
      </w:r>
      <w:r>
        <w:rPr>
          <w:lang w:eastAsia="en-AU"/>
        </w:rPr>
        <w:t>i</w:t>
      </w:r>
      <w:r w:rsidRPr="00C3104D">
        <w:rPr>
          <w:lang w:eastAsia="en-AU"/>
        </w:rPr>
        <w:t>s based on more complex methods</w:t>
      </w:r>
      <w:r>
        <w:rPr>
          <w:lang w:eastAsia="en-AU"/>
        </w:rPr>
        <w:t>, and</w:t>
      </w:r>
      <w:r w:rsidRPr="00C3104D">
        <w:rPr>
          <w:lang w:eastAsia="en-AU"/>
        </w:rPr>
        <w:t xml:space="preserve"> continue</w:t>
      </w:r>
      <w:r>
        <w:rPr>
          <w:lang w:eastAsia="en-AU"/>
        </w:rPr>
        <w:t xml:space="preserve"> this practice</w:t>
      </w:r>
      <w:r w:rsidRPr="00C3104D">
        <w:rPr>
          <w:lang w:eastAsia="en-AU"/>
        </w:rPr>
        <w:t xml:space="preserve"> </w:t>
      </w:r>
      <w:r>
        <w:rPr>
          <w:lang w:eastAsia="en-AU"/>
        </w:rPr>
        <w:t xml:space="preserve">for </w:t>
      </w:r>
      <w:r w:rsidRPr="00C3104D">
        <w:rPr>
          <w:lang w:eastAsia="en-AU"/>
        </w:rPr>
        <w:t>existing pre</w:t>
      </w:r>
      <w:r>
        <w:rPr>
          <w:lang w:eastAsia="en-AU"/>
        </w:rPr>
        <w:noBreakHyphen/>
      </w:r>
      <w:r w:rsidRPr="00C3104D">
        <w:rPr>
          <w:lang w:eastAsia="en-AU"/>
        </w:rPr>
        <w:t>submission advice, commentaries, advisory sub-committee and committee advice, or as revised as part of the Review.</w:t>
      </w:r>
    </w:p>
    <w:p w14:paraId="02E3B1C6" w14:textId="77777777" w:rsidR="0005329F" w:rsidRPr="00824739" w:rsidRDefault="0005329F" w:rsidP="00484B58">
      <w:pPr>
        <w:pStyle w:val="Recommendation1"/>
      </w:pPr>
      <w:bookmarkStart w:id="61" w:name="_Hlk167302518"/>
      <w:r w:rsidRPr="00824739">
        <w:lastRenderedPageBreak/>
        <w:t xml:space="preserve">Therapies that target biomarkers (e.g. </w:t>
      </w:r>
      <w:proofErr w:type="spellStart"/>
      <w:r w:rsidRPr="00824739">
        <w:t>tumour</w:t>
      </w:r>
      <w:proofErr w:type="spellEnd"/>
      <w:r>
        <w:t>-</w:t>
      </w:r>
      <w:r w:rsidRPr="00824739">
        <w:t>agnostic cancer therapies</w:t>
      </w:r>
      <w:r>
        <w:t xml:space="preserve"> and</w:t>
      </w:r>
      <w:r w:rsidRPr="00824739">
        <w:t xml:space="preserve"> therapies that target </w:t>
      </w:r>
      <w:r>
        <w:t>cells with</w:t>
      </w:r>
      <w:r w:rsidRPr="00824739">
        <w:t xml:space="preserve"> </w:t>
      </w:r>
      <w:proofErr w:type="gramStart"/>
      <w:r w:rsidRPr="00824739">
        <w:t>particular gene</w:t>
      </w:r>
      <w:proofErr w:type="gramEnd"/>
      <w:r w:rsidRPr="00824739">
        <w:t xml:space="preserve"> alterations) </w:t>
      </w:r>
    </w:p>
    <w:bookmarkEnd w:id="61"/>
    <w:p w14:paraId="7427B864" w14:textId="77777777" w:rsidR="0005329F" w:rsidRDefault="0005329F" w:rsidP="00A65531">
      <w:pPr>
        <w:rPr>
          <w:lang w:eastAsia="en-AU"/>
        </w:rPr>
      </w:pPr>
      <w:r w:rsidRPr="00405FD7">
        <w:t xml:space="preserve">The Review recommends </w:t>
      </w:r>
      <w:r>
        <w:t xml:space="preserve">that </w:t>
      </w:r>
      <w:r w:rsidRPr="00405FD7">
        <w:t>the Australian Government</w:t>
      </w:r>
      <w:r>
        <w:rPr>
          <w:lang w:eastAsia="en-AU"/>
        </w:rPr>
        <w:t xml:space="preserve">: </w:t>
      </w:r>
    </w:p>
    <w:p w14:paraId="32D9CEC4" w14:textId="77777777" w:rsidR="0005329F" w:rsidRPr="00824739" w:rsidRDefault="0005329F" w:rsidP="00F20014">
      <w:pPr>
        <w:pStyle w:val="ListParagraph"/>
        <w:numPr>
          <w:ilvl w:val="0"/>
          <w:numId w:val="26"/>
        </w:numPr>
        <w:spacing w:after="0"/>
        <w:rPr>
          <w:rFonts w:cs="Segoe UI"/>
          <w:lang w:eastAsia="en-AU"/>
        </w:rPr>
      </w:pPr>
      <w:r>
        <w:rPr>
          <w:rFonts w:cs="Segoe UI"/>
          <w:lang w:eastAsia="en-AU"/>
        </w:rPr>
        <w:t>support the d</w:t>
      </w:r>
      <w:r w:rsidRPr="00824739">
        <w:rPr>
          <w:rFonts w:cs="Segoe UI"/>
          <w:lang w:eastAsia="en-AU"/>
        </w:rPr>
        <w:t>evelop</w:t>
      </w:r>
      <w:r>
        <w:rPr>
          <w:rFonts w:cs="Segoe UI"/>
          <w:lang w:eastAsia="en-AU"/>
        </w:rPr>
        <w:t>ment of</w:t>
      </w:r>
      <w:r w:rsidRPr="00824739">
        <w:rPr>
          <w:rFonts w:cs="Segoe UI"/>
          <w:lang w:eastAsia="en-AU"/>
        </w:rPr>
        <w:t xml:space="preserve"> further guidance on methods for assessing tumour</w:t>
      </w:r>
      <w:r>
        <w:rPr>
          <w:rFonts w:cs="Segoe UI"/>
          <w:lang w:eastAsia="en-AU"/>
        </w:rPr>
        <w:t>-</w:t>
      </w:r>
      <w:r w:rsidRPr="00824739">
        <w:rPr>
          <w:rFonts w:cs="Segoe UI"/>
          <w:lang w:eastAsia="en-AU"/>
        </w:rPr>
        <w:t>agnostic therapies informed by:</w:t>
      </w:r>
    </w:p>
    <w:p w14:paraId="68DDF81D" w14:textId="77777777" w:rsidR="0005329F" w:rsidRPr="00E23876" w:rsidRDefault="0005329F" w:rsidP="00F20014">
      <w:pPr>
        <w:pStyle w:val="ListParagraph"/>
        <w:numPr>
          <w:ilvl w:val="1"/>
          <w:numId w:val="70"/>
        </w:numPr>
        <w:rPr>
          <w:lang w:eastAsia="en-AU"/>
        </w:rPr>
      </w:pPr>
      <w:r w:rsidRPr="00E23876">
        <w:rPr>
          <w:lang w:eastAsia="en-AU"/>
        </w:rPr>
        <w:t xml:space="preserve">approaches that have been used by the </w:t>
      </w:r>
      <w:r w:rsidRPr="00C80617">
        <w:rPr>
          <w:lang w:eastAsia="en-AU"/>
        </w:rPr>
        <w:t>Pharmaceutical Benefits Advisory Committee (PBAC)</w:t>
      </w:r>
      <w:r w:rsidRPr="00C80617" w:rsidDel="00C80617">
        <w:rPr>
          <w:lang w:eastAsia="en-AU"/>
        </w:rPr>
        <w:t xml:space="preserve"> </w:t>
      </w:r>
    </w:p>
    <w:p w14:paraId="2684523E" w14:textId="77777777" w:rsidR="0005329F" w:rsidRPr="00E23876" w:rsidRDefault="0005329F" w:rsidP="00F20014">
      <w:pPr>
        <w:pStyle w:val="ListParagraph"/>
        <w:numPr>
          <w:ilvl w:val="1"/>
          <w:numId w:val="70"/>
        </w:numPr>
        <w:rPr>
          <w:lang w:eastAsia="en-AU"/>
        </w:rPr>
      </w:pPr>
      <w:r w:rsidRPr="00E23876">
        <w:rPr>
          <w:lang w:eastAsia="en-AU"/>
        </w:rPr>
        <w:t>models proposed in academic literature</w:t>
      </w:r>
    </w:p>
    <w:p w14:paraId="3D53E8F8" w14:textId="77777777" w:rsidR="0005329F" w:rsidRPr="00E23876" w:rsidRDefault="0005329F" w:rsidP="00F20014">
      <w:pPr>
        <w:pStyle w:val="ListParagraph"/>
        <w:numPr>
          <w:ilvl w:val="1"/>
          <w:numId w:val="70"/>
        </w:numPr>
        <w:rPr>
          <w:lang w:eastAsia="en-AU"/>
        </w:rPr>
      </w:pPr>
      <w:r w:rsidRPr="00E23876">
        <w:rPr>
          <w:lang w:eastAsia="en-AU"/>
        </w:rPr>
        <w:t>models adopted in other jurisdictions</w:t>
      </w:r>
    </w:p>
    <w:p w14:paraId="571D40C4" w14:textId="1B2E4AC2" w:rsidR="0005329F" w:rsidRPr="00E23876" w:rsidRDefault="0005329F" w:rsidP="00F20014">
      <w:pPr>
        <w:pStyle w:val="ListParagraph"/>
        <w:numPr>
          <w:ilvl w:val="1"/>
          <w:numId w:val="70"/>
        </w:numPr>
        <w:rPr>
          <w:lang w:eastAsia="en-AU"/>
        </w:rPr>
      </w:pPr>
      <w:r>
        <w:rPr>
          <w:lang w:eastAsia="en-AU"/>
        </w:rPr>
        <w:t>consultation with patients, clinicians and industry</w:t>
      </w:r>
      <w:r w:rsidR="002366F9">
        <w:rPr>
          <w:lang w:eastAsia="en-AU"/>
        </w:rPr>
        <w:t>.</w:t>
      </w:r>
    </w:p>
    <w:p w14:paraId="184A94C5" w14:textId="77777777" w:rsidR="0005329F" w:rsidRPr="00C37589" w:rsidRDefault="0005329F" w:rsidP="00F20014">
      <w:pPr>
        <w:pStyle w:val="ListParagraph"/>
        <w:numPr>
          <w:ilvl w:val="0"/>
          <w:numId w:val="26"/>
        </w:numPr>
        <w:spacing w:after="0"/>
        <w:rPr>
          <w:rFonts w:cs="Segoe UI"/>
          <w:bCs/>
        </w:rPr>
      </w:pPr>
      <w:r>
        <w:rPr>
          <w:rFonts w:cs="Segoe UI"/>
          <w:lang w:eastAsia="en-AU"/>
        </w:rPr>
        <w:t>support the development of</w:t>
      </w:r>
      <w:r w:rsidRPr="0080061A">
        <w:rPr>
          <w:lang w:eastAsia="en-AU"/>
        </w:rPr>
        <w:t xml:space="preserve"> guidance on the assessment and appraisal of genomic technologies and gene therapies for </w:t>
      </w:r>
      <w:r w:rsidRPr="00D756C1">
        <w:rPr>
          <w:lang w:eastAsia="en-AU"/>
        </w:rPr>
        <w:t>HTA</w:t>
      </w:r>
      <w:r w:rsidRPr="00D756C1" w:rsidDel="00D756C1">
        <w:rPr>
          <w:lang w:eastAsia="en-AU"/>
        </w:rPr>
        <w:t xml:space="preserve"> </w:t>
      </w:r>
      <w:r w:rsidRPr="0080061A">
        <w:rPr>
          <w:lang w:eastAsia="en-AU"/>
        </w:rPr>
        <w:t>decisions in Australia</w:t>
      </w:r>
      <w:r>
        <w:rPr>
          <w:lang w:eastAsia="en-AU"/>
        </w:rPr>
        <w:t>.</w:t>
      </w:r>
    </w:p>
    <w:p w14:paraId="0039FCD2" w14:textId="77777777" w:rsidR="0005329F" w:rsidRPr="00995151" w:rsidRDefault="0005329F" w:rsidP="00A65531">
      <w:pPr>
        <w:ind w:left="357"/>
        <w:rPr>
          <w:lang w:eastAsia="en-AU"/>
        </w:rPr>
      </w:pPr>
      <w:r w:rsidRPr="00995151">
        <w:rPr>
          <w:lang w:eastAsia="en-AU"/>
        </w:rPr>
        <w:t>This could be for gene therapies only</w:t>
      </w:r>
      <w:r w:rsidRPr="00995151" w:rsidDel="00425730">
        <w:rPr>
          <w:lang w:eastAsia="en-AU"/>
        </w:rPr>
        <w:t xml:space="preserve"> </w:t>
      </w:r>
      <w:r>
        <w:rPr>
          <w:lang w:eastAsia="en-AU"/>
        </w:rPr>
        <w:t>if</w:t>
      </w:r>
      <w:r w:rsidRPr="00995151">
        <w:rPr>
          <w:lang w:eastAsia="en-AU"/>
        </w:rPr>
        <w:t xml:space="preserve"> PBAC’s remit remain</w:t>
      </w:r>
      <w:r>
        <w:rPr>
          <w:lang w:eastAsia="en-AU"/>
        </w:rPr>
        <w:t>s</w:t>
      </w:r>
      <w:r w:rsidRPr="00995151">
        <w:rPr>
          <w:lang w:eastAsia="en-AU"/>
        </w:rPr>
        <w:t xml:space="preserve"> as appraising medicines, vaccines</w:t>
      </w:r>
      <w:r>
        <w:rPr>
          <w:lang w:eastAsia="en-AU"/>
        </w:rPr>
        <w:t>,</w:t>
      </w:r>
      <w:r w:rsidRPr="00995151">
        <w:rPr>
          <w:lang w:eastAsia="en-AU"/>
        </w:rPr>
        <w:t xml:space="preserve"> advanced therapies and codependent technologies</w:t>
      </w:r>
      <w:r>
        <w:rPr>
          <w:lang w:eastAsia="en-AU"/>
        </w:rPr>
        <w:t>.</w:t>
      </w:r>
      <w:r w:rsidRPr="00995151">
        <w:rPr>
          <w:lang w:eastAsia="en-AU"/>
        </w:rPr>
        <w:t xml:space="preserve"> Alternatively, if the </w:t>
      </w:r>
      <w:r>
        <w:rPr>
          <w:lang w:eastAsia="en-AU"/>
        </w:rPr>
        <w:t>u</w:t>
      </w:r>
      <w:r w:rsidRPr="00995151">
        <w:rPr>
          <w:lang w:eastAsia="en-AU"/>
        </w:rPr>
        <w:t xml:space="preserve">nified HTA pathway </w:t>
      </w:r>
      <w:r>
        <w:rPr>
          <w:lang w:eastAsia="en-AU"/>
        </w:rPr>
        <w:t xml:space="preserve">(see </w:t>
      </w:r>
      <w:r>
        <w:t>‘</w:t>
      </w:r>
      <w:r>
        <w:fldChar w:fldCharType="begin" w:fldLock="1"/>
      </w:r>
      <w:r>
        <w:instrText xml:space="preserve"> REF _Ref166785329 \r \h </w:instrText>
      </w:r>
      <w:r>
        <w:fldChar w:fldCharType="separate"/>
      </w:r>
      <w:r>
        <w:t>Recommendation 4</w:t>
      </w:r>
      <w:r>
        <w:fldChar w:fldCharType="end"/>
      </w:r>
      <w:r>
        <w:t>.</w:t>
      </w:r>
      <w:r w:rsidRPr="00AE3CEE">
        <w:rPr>
          <w:i/>
        </w:rPr>
        <w:t xml:space="preserve"> </w:t>
      </w:r>
      <w:r w:rsidRPr="000C5623">
        <w:rPr>
          <w:iCs/>
        </w:rPr>
        <w:t xml:space="preserve">Unified HTA pathway and committee approach for all Australian </w:t>
      </w:r>
      <w:r>
        <w:rPr>
          <w:iCs/>
        </w:rPr>
        <w:t>G</w:t>
      </w:r>
      <w:r w:rsidRPr="000C5623">
        <w:rPr>
          <w:iCs/>
        </w:rPr>
        <w:t>overnment funding of health technologies’</w:t>
      </w:r>
      <w:r>
        <w:rPr>
          <w:iCs/>
        </w:rPr>
        <w:t xml:space="preserve">) </w:t>
      </w:r>
      <w:r w:rsidRPr="00995151">
        <w:rPr>
          <w:lang w:eastAsia="en-AU"/>
        </w:rPr>
        <w:t xml:space="preserve">is adopted and a single HTA </w:t>
      </w:r>
      <w:r>
        <w:rPr>
          <w:lang w:eastAsia="en-AU"/>
        </w:rPr>
        <w:t>advisory committee</w:t>
      </w:r>
      <w:r w:rsidRPr="00995151">
        <w:rPr>
          <w:lang w:eastAsia="en-AU"/>
        </w:rPr>
        <w:t xml:space="preserve"> is constituted in Australia, it would include companion genomic and pharmacogenomic tests more generally (i.e. for funding decisions for all associated technologies).</w:t>
      </w:r>
    </w:p>
    <w:p w14:paraId="4BA4C10E" w14:textId="77777777" w:rsidR="0005329F" w:rsidRPr="00995151" w:rsidRDefault="0005329F" w:rsidP="00A65531">
      <w:pPr>
        <w:ind w:left="357"/>
        <w:rPr>
          <w:lang w:eastAsia="en-AU"/>
        </w:rPr>
      </w:pPr>
      <w:r w:rsidRPr="00995151">
        <w:rPr>
          <w:lang w:eastAsia="en-AU"/>
        </w:rPr>
        <w:t>As part of the guideline development, a Statement of Principles concerning the access and use of genomic technologies and gene therapies should be co-designed with the public. This would involve stakeholder consultation with patients</w:t>
      </w:r>
      <w:r>
        <w:rPr>
          <w:lang w:eastAsia="en-AU"/>
        </w:rPr>
        <w:t>,</w:t>
      </w:r>
      <w:r w:rsidRPr="00995151">
        <w:rPr>
          <w:lang w:eastAsia="en-AU"/>
        </w:rPr>
        <w:t xml:space="preserve"> clinicians </w:t>
      </w:r>
      <w:r>
        <w:rPr>
          <w:lang w:eastAsia="en-AU"/>
        </w:rPr>
        <w:t>and industry,</w:t>
      </w:r>
      <w:r w:rsidRPr="00995151">
        <w:rPr>
          <w:lang w:eastAsia="en-AU"/>
        </w:rPr>
        <w:t xml:space="preserve"> but also people who do not have an immediate vested interest in these technologies. </w:t>
      </w:r>
    </w:p>
    <w:p w14:paraId="206BFF4E" w14:textId="77777777" w:rsidR="00EC41B5" w:rsidRPr="00797ACB" w:rsidRDefault="00EC41B5" w:rsidP="00EC41B5"/>
    <w:p w14:paraId="6C28EA49" w14:textId="77777777" w:rsidR="00BE390B" w:rsidRPr="00824739" w:rsidRDefault="00BE390B" w:rsidP="00484B58">
      <w:pPr>
        <w:pStyle w:val="Recommendation1"/>
      </w:pPr>
      <w:r>
        <w:t xml:space="preserve"> </w:t>
      </w:r>
      <w:bookmarkStart w:id="62" w:name="_Hlk167302547"/>
      <w:r w:rsidRPr="00824739">
        <w:t>Discount rate</w:t>
      </w:r>
      <w:bookmarkEnd w:id="62"/>
    </w:p>
    <w:p w14:paraId="78B0D2B9" w14:textId="77777777" w:rsidR="00BE390B" w:rsidRPr="00B96A81" w:rsidRDefault="00BE390B" w:rsidP="00A65531">
      <w:r w:rsidRPr="00405FD7">
        <w:t xml:space="preserve">The Review recommends </w:t>
      </w:r>
      <w:r>
        <w:t xml:space="preserve">that </w:t>
      </w:r>
      <w:r w:rsidRPr="00405FD7">
        <w:t>the Australian Government</w:t>
      </w:r>
      <w:r w:rsidRPr="00B96A81">
        <w:t>:</w:t>
      </w:r>
    </w:p>
    <w:p w14:paraId="32910C1A" w14:textId="77777777" w:rsidR="00BE390B" w:rsidRPr="00824739" w:rsidRDefault="00BE390B" w:rsidP="00F20014">
      <w:pPr>
        <w:pStyle w:val="ListParagraph"/>
        <w:numPr>
          <w:ilvl w:val="0"/>
          <w:numId w:val="71"/>
        </w:numPr>
        <w:spacing w:after="0"/>
      </w:pPr>
      <w:r>
        <w:t>support a reduction of the</w:t>
      </w:r>
      <w:r w:rsidRPr="00824739">
        <w:t xml:space="preserve"> base case discount rate to no lower than 3.5</w:t>
      </w:r>
      <w:r>
        <w:t>%</w:t>
      </w:r>
      <w:r w:rsidDel="0083317E">
        <w:t xml:space="preserve"> </w:t>
      </w:r>
      <w:r>
        <w:t>for</w:t>
      </w:r>
      <w:r w:rsidRPr="00824739">
        <w:t xml:space="preserve"> health technologies </w:t>
      </w:r>
      <w:r>
        <w:t>with</w:t>
      </w:r>
      <w:r w:rsidRPr="00824739">
        <w:t xml:space="preserve"> upfront costs and benefits that are claimed to accrue over a long period (such as gene therapies and some vaccines</w:t>
      </w:r>
      <w:r w:rsidRPr="005C7BB8">
        <w:t>)</w:t>
      </w:r>
      <w:r>
        <w:t xml:space="preserve"> </w:t>
      </w:r>
    </w:p>
    <w:p w14:paraId="018A15E5" w14:textId="77777777" w:rsidR="00BE390B" w:rsidRPr="00824739" w:rsidRDefault="00BE390B" w:rsidP="00F20014">
      <w:pPr>
        <w:pStyle w:val="ListParagraph"/>
        <w:numPr>
          <w:ilvl w:val="0"/>
          <w:numId w:val="71"/>
        </w:numPr>
        <w:spacing w:after="0"/>
      </w:pPr>
      <w:r>
        <w:lastRenderedPageBreak/>
        <w:t>d</w:t>
      </w:r>
      <w:r w:rsidRPr="00824739">
        <w:t>etermine</w:t>
      </w:r>
      <w:r>
        <w:t xml:space="preserve"> t</w:t>
      </w:r>
      <w:r w:rsidRPr="00824739">
        <w:t xml:space="preserve">he </w:t>
      </w:r>
      <w:r>
        <w:t>base case discount</w:t>
      </w:r>
      <w:r w:rsidRPr="00824739">
        <w:t xml:space="preserve"> </w:t>
      </w:r>
      <w:r>
        <w:t xml:space="preserve">rate for those health technologies </w:t>
      </w:r>
      <w:r w:rsidRPr="00824739">
        <w:t xml:space="preserve">as part of </w:t>
      </w:r>
      <w:r>
        <w:t>its</w:t>
      </w:r>
      <w:r w:rsidRPr="00824739">
        <w:t xml:space="preserve"> consideration of </w:t>
      </w:r>
      <w:r>
        <w:t xml:space="preserve">the </w:t>
      </w:r>
      <w:r w:rsidRPr="00824739">
        <w:t xml:space="preserve">financial </w:t>
      </w:r>
      <w:r w:rsidRPr="005C7BB8">
        <w:t>impacts</w:t>
      </w:r>
      <w:r w:rsidRPr="00824739">
        <w:t xml:space="preserve"> of implementing </w:t>
      </w:r>
      <w:r>
        <w:t>the</w:t>
      </w:r>
      <w:r w:rsidRPr="00824739">
        <w:t xml:space="preserve"> Review</w:t>
      </w:r>
      <w:r>
        <w:t>’s</w:t>
      </w:r>
      <w:r w:rsidRPr="00824739">
        <w:t xml:space="preserve"> recommendations</w:t>
      </w:r>
      <w:r w:rsidRPr="00824739" w:rsidDel="00604F29">
        <w:t>.</w:t>
      </w:r>
    </w:p>
    <w:p w14:paraId="29769A81" w14:textId="77777777" w:rsidR="00BE390B" w:rsidRDefault="00BE390B" w:rsidP="003526C8">
      <w:pPr>
        <w:pStyle w:val="ListParagraph"/>
        <w:spacing w:after="0"/>
      </w:pPr>
      <w:r>
        <w:t>Note:</w:t>
      </w:r>
      <w:r w:rsidRPr="00824739">
        <w:t xml:space="preserve"> reducing the discount rate will result in greater attribution of value to future </w:t>
      </w:r>
      <w:bookmarkStart w:id="63" w:name="_Int_rAZRk0sG"/>
      <w:r w:rsidRPr="00824739">
        <w:t xml:space="preserve">benefits, </w:t>
      </w:r>
      <w:r>
        <w:t>and</w:t>
      </w:r>
      <w:bookmarkEnd w:id="63"/>
      <w:r>
        <w:t xml:space="preserve"> may increase the need for</w:t>
      </w:r>
      <w:r w:rsidRPr="00824739">
        <w:t xml:space="preserve"> performance-based mechanisms that </w:t>
      </w:r>
      <w:r>
        <w:t>satisfy</w:t>
      </w:r>
      <w:r w:rsidRPr="00824739">
        <w:t xml:space="preserve"> the </w:t>
      </w:r>
      <w:r w:rsidRPr="00D756C1">
        <w:t>HTA</w:t>
      </w:r>
      <w:r w:rsidRPr="00D756C1" w:rsidDel="00D756C1">
        <w:t xml:space="preserve"> </w:t>
      </w:r>
      <w:r>
        <w:t xml:space="preserve">advisory </w:t>
      </w:r>
      <w:r w:rsidRPr="00824739">
        <w:t>committee that uncertainty about future benefits, long</w:t>
      </w:r>
      <w:r>
        <w:noBreakHyphen/>
      </w:r>
      <w:r w:rsidRPr="00824739">
        <w:t>term safety, estimates of cost-effectiveness</w:t>
      </w:r>
      <w:r w:rsidRPr="005C7BB8">
        <w:t>,</w:t>
      </w:r>
      <w:r w:rsidRPr="00824739">
        <w:t xml:space="preserve"> and overall cost, will be effectively managed for the period that benefits are claimed.</w:t>
      </w:r>
    </w:p>
    <w:p w14:paraId="46121610" w14:textId="77777777" w:rsidR="00BE390B" w:rsidRPr="00824739" w:rsidRDefault="00BE390B" w:rsidP="00A65531">
      <w:r w:rsidRPr="008F6D51">
        <w:t xml:space="preserve">Comment by </w:t>
      </w:r>
      <w:proofErr w:type="spellStart"/>
      <w:r w:rsidDel="008A62A3">
        <w:t>Ms</w:t>
      </w:r>
      <w:proofErr w:type="spellEnd"/>
      <w:r w:rsidDel="008A62A3">
        <w:t xml:space="preserve"> </w:t>
      </w:r>
      <w:r w:rsidRPr="008F6D51">
        <w:t xml:space="preserve">Elizabeth de </w:t>
      </w:r>
      <w:proofErr w:type="spellStart"/>
      <w:r w:rsidRPr="008F6D51">
        <w:t>Somer</w:t>
      </w:r>
      <w:proofErr w:type="spellEnd"/>
      <w:r w:rsidRPr="008F6D51">
        <w:t xml:space="preserve">, </w:t>
      </w:r>
      <w:r w:rsidRPr="008F6D51" w:rsidDel="00604F29">
        <w:t>M</w:t>
      </w:r>
      <w:r w:rsidRPr="008F6D51">
        <w:t>ember</w:t>
      </w:r>
      <w:r w:rsidRPr="008F6D51" w:rsidDel="00604F29">
        <w:t xml:space="preserve"> Nominated by Medicines Australia</w:t>
      </w:r>
      <w:r>
        <w:t>: ‘T</w:t>
      </w:r>
      <w:r w:rsidRPr="008F6D51">
        <w:t xml:space="preserve">he industry </w:t>
      </w:r>
      <w:proofErr w:type="spellStart"/>
      <w:r w:rsidRPr="008F6D51">
        <w:t>recognises</w:t>
      </w:r>
      <w:proofErr w:type="spellEnd"/>
      <w:r w:rsidRPr="008F6D51">
        <w:t xml:space="preserve"> the movement in the discount rate in the recommendation and maintains that the base case discount rate should be reduced to 3.5% for all health technologies and 1.5% for those medicines where the benefits accrue over a longer</w:t>
      </w:r>
      <w:r>
        <w:t> </w:t>
      </w:r>
      <w:r w:rsidRPr="008F6D51">
        <w:t>time.</w:t>
      </w:r>
      <w:r>
        <w:t>’</w:t>
      </w:r>
    </w:p>
    <w:p w14:paraId="3EE548EE" w14:textId="77777777" w:rsidR="00BE390B" w:rsidRPr="00824739" w:rsidRDefault="00BE390B" w:rsidP="00484B58">
      <w:pPr>
        <w:pStyle w:val="Recommendation1"/>
      </w:pPr>
      <w:bookmarkStart w:id="64" w:name="_Hlk167302561"/>
      <w:r w:rsidRPr="00824739">
        <w:t xml:space="preserve">Comparator </w:t>
      </w:r>
      <w:r>
        <w:t>s</w:t>
      </w:r>
      <w:r w:rsidRPr="00824739">
        <w:t>election</w:t>
      </w:r>
    </w:p>
    <w:bookmarkEnd w:id="64"/>
    <w:p w14:paraId="7D2B9DD6" w14:textId="77777777" w:rsidR="00BE390B" w:rsidRPr="00FE3745" w:rsidRDefault="00BE390B" w:rsidP="00CF5066">
      <w:pPr>
        <w:spacing w:line="278" w:lineRule="auto"/>
        <w:contextualSpacing w:val="0"/>
        <w:rPr>
          <w:rFonts w:eastAsia="Times New Roman"/>
        </w:rPr>
      </w:pPr>
      <w:r w:rsidRPr="00454B4D">
        <w:t>The Review recommends that the Australian Government</w:t>
      </w:r>
      <w:r w:rsidRPr="00454B4D">
        <w:rPr>
          <w:rFonts w:eastAsia="Times New Roman"/>
          <w:bCs/>
        </w:rPr>
        <w:t xml:space="preserve"> support</w:t>
      </w:r>
      <w:r w:rsidRPr="00454B4D">
        <w:rPr>
          <w:rFonts w:eastAsia="Times New Roman"/>
        </w:rPr>
        <w:t xml:space="preserve"> updates to the Pharmaceutical Benefits Advisory Committee (PBAC)</w:t>
      </w:r>
      <w:r w:rsidRPr="00454B4D" w:rsidDel="004303BE">
        <w:rPr>
          <w:rFonts w:eastAsia="Times New Roman"/>
        </w:rPr>
        <w:t xml:space="preserve"> </w:t>
      </w:r>
      <w:r w:rsidRPr="00454B4D">
        <w:rPr>
          <w:rFonts w:eastAsia="Times New Roman"/>
        </w:rPr>
        <w:t>Guidelines to clarify what alternative therapy should be selected as the main comparator in submissions for health technologies with multiple alternative therapies.</w:t>
      </w:r>
      <w:r>
        <w:rPr>
          <w:rFonts w:eastAsia="Times New Roman"/>
          <w:color w:val="000000"/>
        </w:rPr>
        <w:t xml:space="preserve"> </w:t>
      </w:r>
    </w:p>
    <w:p w14:paraId="0D53109C" w14:textId="77777777" w:rsidR="00BE390B" w:rsidRPr="00824739" w:rsidRDefault="00BE390B" w:rsidP="00A65531">
      <w:pPr>
        <w:rPr>
          <w:rFonts w:eastAsia="Times New Roman"/>
        </w:rPr>
      </w:pPr>
      <w:r w:rsidRPr="00824739">
        <w:rPr>
          <w:rFonts w:eastAsia="Times New Roman"/>
        </w:rPr>
        <w:t>For health technologies that sponsors claim are non-inferior to the selected comparator, updates should make clear that they can cost more than other lower</w:t>
      </w:r>
      <w:r>
        <w:rPr>
          <w:rFonts w:eastAsia="Times New Roman"/>
        </w:rPr>
        <w:t>-</w:t>
      </w:r>
      <w:r w:rsidRPr="00824739">
        <w:rPr>
          <w:rFonts w:eastAsia="Times New Roman"/>
        </w:rPr>
        <w:t xml:space="preserve">cost alternatives </w:t>
      </w:r>
      <w:r>
        <w:rPr>
          <w:rFonts w:eastAsia="Times New Roman"/>
        </w:rPr>
        <w:t>if</w:t>
      </w:r>
      <w:r w:rsidRPr="00824739">
        <w:rPr>
          <w:rFonts w:eastAsia="Times New Roman"/>
        </w:rPr>
        <w:t xml:space="preserve"> the PBAC is satisfied that those lower</w:t>
      </w:r>
      <w:r>
        <w:rPr>
          <w:rFonts w:eastAsia="Times New Roman"/>
        </w:rPr>
        <w:t>-</w:t>
      </w:r>
      <w:r w:rsidRPr="00824739">
        <w:rPr>
          <w:rFonts w:eastAsia="Times New Roman"/>
        </w:rPr>
        <w:t>cost alternatives:</w:t>
      </w:r>
    </w:p>
    <w:p w14:paraId="46B0D982" w14:textId="77777777" w:rsidR="00BE390B" w:rsidRPr="00824739" w:rsidRDefault="00BE390B" w:rsidP="00F20014">
      <w:pPr>
        <w:pStyle w:val="ListParagraph"/>
        <w:numPr>
          <w:ilvl w:val="0"/>
          <w:numId w:val="28"/>
        </w:numPr>
        <w:rPr>
          <w:rFonts w:eastAsia="Times New Roman" w:cs="Segoe UI"/>
          <w:color w:val="000000"/>
        </w:rPr>
      </w:pPr>
      <w:r w:rsidRPr="00824739">
        <w:rPr>
          <w:rFonts w:eastAsia="Times New Roman" w:cs="Segoe UI"/>
        </w:rPr>
        <w:t xml:space="preserve">are for compelling clinical reasons, no longer accepted in clinical practice as alternative therapies, or </w:t>
      </w:r>
    </w:p>
    <w:p w14:paraId="099529D8" w14:textId="77777777" w:rsidR="00BE390B" w:rsidRPr="009510AF" w:rsidRDefault="00BE390B" w:rsidP="00CF5066">
      <w:pPr>
        <w:pStyle w:val="ListParagraph"/>
        <w:numPr>
          <w:ilvl w:val="0"/>
          <w:numId w:val="28"/>
        </w:numPr>
        <w:contextualSpacing w:val="0"/>
        <w:rPr>
          <w:rFonts w:eastAsia="Times New Roman" w:cs="Segoe UI"/>
          <w:color w:val="000000"/>
        </w:rPr>
      </w:pPr>
      <w:r w:rsidRPr="009510AF">
        <w:rPr>
          <w:rFonts w:cs="Segoe UI"/>
        </w:rPr>
        <w:t>have, for some patients, significantly inferior safety or efficacy.</w:t>
      </w:r>
    </w:p>
    <w:p w14:paraId="3A73003C" w14:textId="77777777" w:rsidR="00BE390B" w:rsidRPr="00824739" w:rsidRDefault="00BE390B" w:rsidP="00A65531">
      <w:pPr>
        <w:rPr>
          <w:rFonts w:eastAsia="Times New Roman"/>
        </w:rPr>
      </w:pPr>
      <w:r w:rsidRPr="00824739">
        <w:rPr>
          <w:rFonts w:eastAsia="Times New Roman"/>
        </w:rPr>
        <w:t>Updates should provide guidance on the types of evidence the PBAC requires to satisfy itself of these conclusions. Th</w:t>
      </w:r>
      <w:r>
        <w:rPr>
          <w:rFonts w:eastAsia="Times New Roman"/>
        </w:rPr>
        <w:t>is</w:t>
      </w:r>
      <w:r w:rsidRPr="00824739">
        <w:rPr>
          <w:rFonts w:eastAsia="Times New Roman"/>
        </w:rPr>
        <w:t xml:space="preserve"> could include: </w:t>
      </w:r>
    </w:p>
    <w:p w14:paraId="68DCE38C" w14:textId="77777777" w:rsidR="00BE390B" w:rsidRPr="00824739" w:rsidRDefault="00BE390B" w:rsidP="00F20014">
      <w:pPr>
        <w:pStyle w:val="ListParagraph"/>
        <w:numPr>
          <w:ilvl w:val="0"/>
          <w:numId w:val="30"/>
        </w:numPr>
        <w:rPr>
          <w:rFonts w:eastAsia="Times New Roman" w:cs="Segoe UI"/>
          <w:color w:val="000000"/>
        </w:rPr>
      </w:pPr>
      <w:r w:rsidRPr="00824739">
        <w:rPr>
          <w:rFonts w:eastAsia="Times New Roman" w:cs="Segoe UI"/>
        </w:rPr>
        <w:t>evidence from studies that the health technology provides clinical or other benefits that would significantly improve health outcomes for at least some patients compared with lower</w:t>
      </w:r>
      <w:r>
        <w:rPr>
          <w:rFonts w:eastAsia="Times New Roman" w:cs="Segoe UI"/>
        </w:rPr>
        <w:t>-</w:t>
      </w:r>
      <w:r w:rsidRPr="00824739">
        <w:rPr>
          <w:rFonts w:eastAsia="Times New Roman" w:cs="Segoe UI"/>
        </w:rPr>
        <w:t xml:space="preserve">cost alternatives </w:t>
      </w:r>
    </w:p>
    <w:p w14:paraId="7D126552" w14:textId="77777777" w:rsidR="00BE390B" w:rsidRPr="00824739" w:rsidRDefault="00BE390B" w:rsidP="00F20014">
      <w:pPr>
        <w:pStyle w:val="ListParagraph"/>
        <w:numPr>
          <w:ilvl w:val="0"/>
          <w:numId w:val="30"/>
        </w:numPr>
        <w:rPr>
          <w:rFonts w:eastAsia="Times New Roman" w:cs="Segoe UI"/>
          <w:color w:val="000000"/>
        </w:rPr>
      </w:pPr>
      <w:r w:rsidRPr="00824739">
        <w:rPr>
          <w:rFonts w:eastAsia="Times New Roman" w:cs="Segoe UI"/>
        </w:rPr>
        <w:t xml:space="preserve">whether the health technology has a different mechanism of action, or other differences, </w:t>
      </w:r>
      <w:r>
        <w:rPr>
          <w:rFonts w:eastAsia="Times New Roman" w:cs="Segoe UI"/>
        </w:rPr>
        <w:t xml:space="preserve">compared </w:t>
      </w:r>
      <w:r w:rsidRPr="00824739">
        <w:rPr>
          <w:rFonts w:eastAsia="Times New Roman" w:cs="Segoe UI"/>
        </w:rPr>
        <w:t xml:space="preserve">to all existing alternatives and there is evidence that significant improvements to health outcomes would be achieved by </w:t>
      </w:r>
      <w:r>
        <w:rPr>
          <w:rFonts w:eastAsia="Times New Roman" w:cs="Segoe UI"/>
        </w:rPr>
        <w:t>giving</w:t>
      </w:r>
      <w:r w:rsidRPr="00824739">
        <w:rPr>
          <w:rFonts w:eastAsia="Times New Roman" w:cs="Segoe UI"/>
        </w:rPr>
        <w:t xml:space="preserve"> patients and clinicians the choice of multiple different alternative therapies (enabl</w:t>
      </w:r>
      <w:r>
        <w:rPr>
          <w:rFonts w:eastAsia="Times New Roman" w:cs="Segoe UI"/>
        </w:rPr>
        <w:t>ing</w:t>
      </w:r>
      <w:r w:rsidRPr="00824739">
        <w:rPr>
          <w:rFonts w:eastAsia="Times New Roman" w:cs="Segoe UI"/>
        </w:rPr>
        <w:t xml:space="preserve"> switching in the event of treatment resistance, failure or intolerance)</w:t>
      </w:r>
    </w:p>
    <w:p w14:paraId="45C5F778" w14:textId="77777777" w:rsidR="00BE390B" w:rsidRPr="009510AF" w:rsidRDefault="00BE390B" w:rsidP="00F20014">
      <w:pPr>
        <w:pStyle w:val="ListParagraph"/>
        <w:numPr>
          <w:ilvl w:val="0"/>
          <w:numId w:val="30"/>
        </w:numPr>
        <w:rPr>
          <w:rFonts w:eastAsia="Times New Roman" w:cs="Segoe UI"/>
          <w:color w:val="000000"/>
        </w:rPr>
      </w:pPr>
      <w:r>
        <w:rPr>
          <w:rFonts w:eastAsia="Times New Roman" w:cs="Segoe UI"/>
          <w:color w:val="000000"/>
        </w:rPr>
        <w:lastRenderedPageBreak/>
        <w:t xml:space="preserve">the </w:t>
      </w:r>
      <w:r w:rsidRPr="00836AEA">
        <w:rPr>
          <w:rFonts w:eastAsia="Times New Roman" w:cs="Segoe UI"/>
          <w:color w:val="000000"/>
        </w:rPr>
        <w:t>extent of use of the lower</w:t>
      </w:r>
      <w:r>
        <w:rPr>
          <w:rFonts w:eastAsia="Times New Roman" w:cs="Segoe UI"/>
          <w:color w:val="000000"/>
        </w:rPr>
        <w:t>-</w:t>
      </w:r>
      <w:r w:rsidRPr="00836AEA">
        <w:rPr>
          <w:rFonts w:eastAsia="Times New Roman" w:cs="Segoe UI"/>
          <w:color w:val="000000"/>
        </w:rPr>
        <w:t>cost alternative in contemporary clinical practice</w:t>
      </w:r>
      <w:r>
        <w:rPr>
          <w:rFonts w:eastAsia="Times New Roman" w:cs="Segoe UI"/>
          <w:color w:val="000000"/>
        </w:rPr>
        <w:t>,</w:t>
      </w:r>
      <w:r w:rsidRPr="00836AEA">
        <w:rPr>
          <w:rFonts w:eastAsia="Times New Roman" w:cs="Segoe UI"/>
          <w:color w:val="000000"/>
        </w:rPr>
        <w:t xml:space="preserve"> supported by clinical rationale for lower use.</w:t>
      </w:r>
      <w:r w:rsidRPr="00824739">
        <w:rPr>
          <w:rFonts w:eastAsia="Times New Roman" w:cs="Segoe UI"/>
        </w:rPr>
        <w:t xml:space="preserve"> </w:t>
      </w:r>
    </w:p>
    <w:p w14:paraId="56B39A06" w14:textId="77777777" w:rsidR="00BE390B" w:rsidRDefault="00BE390B" w:rsidP="00CF5066">
      <w:pPr>
        <w:spacing w:line="278" w:lineRule="auto"/>
        <w:contextualSpacing w:val="0"/>
        <w:rPr>
          <w:rFonts w:eastAsia="Times New Roman"/>
        </w:rPr>
      </w:pPr>
      <w:r>
        <w:rPr>
          <w:rFonts w:eastAsia="Times New Roman"/>
        </w:rPr>
        <w:t>Before</w:t>
      </w:r>
      <w:r w:rsidRPr="00DE5A7C">
        <w:rPr>
          <w:rFonts w:eastAsia="Times New Roman"/>
        </w:rPr>
        <w:t xml:space="preserve"> updating its </w:t>
      </w:r>
      <w:r>
        <w:rPr>
          <w:rFonts w:eastAsia="Times New Roman"/>
        </w:rPr>
        <w:t>G</w:t>
      </w:r>
      <w:r w:rsidRPr="00DE5A7C">
        <w:rPr>
          <w:rFonts w:eastAsia="Times New Roman"/>
        </w:rPr>
        <w:t xml:space="preserve">uidelines, the PBAC should seek input from patients, clinicians and industry to identify </w:t>
      </w:r>
      <w:r>
        <w:rPr>
          <w:rFonts w:eastAsia="Times New Roman"/>
        </w:rPr>
        <w:t xml:space="preserve">the </w:t>
      </w:r>
      <w:r w:rsidRPr="00DE5A7C">
        <w:rPr>
          <w:rFonts w:eastAsia="Times New Roman"/>
        </w:rPr>
        <w:t xml:space="preserve">types of evidence that sponsors should be instructed may be relevant to the PBAC’s consideration. The PBAC should consider the appropriateness of any suggestions before incorporating them into its </w:t>
      </w:r>
      <w:r>
        <w:rPr>
          <w:rFonts w:eastAsia="Times New Roman"/>
        </w:rPr>
        <w:t>G</w:t>
      </w:r>
      <w:r w:rsidRPr="00DE5A7C">
        <w:rPr>
          <w:rFonts w:eastAsia="Times New Roman"/>
        </w:rPr>
        <w:t xml:space="preserve">uidelines. </w:t>
      </w:r>
    </w:p>
    <w:p w14:paraId="4328B371" w14:textId="77777777" w:rsidR="00BE390B" w:rsidRPr="009D71CE" w:rsidRDefault="00BE390B" w:rsidP="00CF5066">
      <w:pPr>
        <w:spacing w:line="278" w:lineRule="auto"/>
        <w:contextualSpacing w:val="0"/>
      </w:pPr>
      <w:r w:rsidRPr="00775233">
        <w:rPr>
          <w:rFonts w:eastAsia="Times New Roman"/>
        </w:rPr>
        <w:t xml:space="preserve">Comment by </w:t>
      </w:r>
      <w:r w:rsidRPr="00775233">
        <w:t xml:space="preserve">Elizabeth de </w:t>
      </w:r>
      <w:proofErr w:type="spellStart"/>
      <w:r w:rsidRPr="00775233">
        <w:t>Somer</w:t>
      </w:r>
      <w:proofErr w:type="spellEnd"/>
      <w:r w:rsidRPr="00775233">
        <w:t xml:space="preserve">, Member Nominated by Medicines Australia. </w:t>
      </w:r>
      <w:r>
        <w:t>‘</w:t>
      </w:r>
      <w:r w:rsidRPr="00775233" w:rsidDel="006C070A">
        <w:t>T</w:t>
      </w:r>
      <w:r w:rsidRPr="00775233">
        <w:t xml:space="preserve">he industry </w:t>
      </w:r>
      <w:proofErr w:type="spellStart"/>
      <w:r w:rsidRPr="00775233">
        <w:t>recognises</w:t>
      </w:r>
      <w:proofErr w:type="spellEnd"/>
      <w:r w:rsidRPr="00775233">
        <w:t xml:space="preserve"> the importance of the updated PBAC </w:t>
      </w:r>
      <w:r>
        <w:t>G</w:t>
      </w:r>
      <w:r w:rsidRPr="00775233">
        <w:t>uidelines that provide clarity to the PBAC and maintains this would be strengthened with an alternative recommendation:</w:t>
      </w:r>
    </w:p>
    <w:p w14:paraId="0B78D909" w14:textId="77777777" w:rsidR="00BE390B" w:rsidRPr="00775233" w:rsidRDefault="00BE390B" w:rsidP="00A65531">
      <w:r w:rsidRPr="00775233">
        <w:t>The National Health Act includes an additional clause to clarify that, in subsections 101(3A) and (3B), in having regard to the alternative therapy or therapies for the relevant patient population and any sub-populations, the Committee must consider the therapy or therapies most likely to be replaced in clinical practice.</w:t>
      </w:r>
      <w:r>
        <w:t>’</w:t>
      </w:r>
      <w:r w:rsidRPr="00775233">
        <w:t xml:space="preserve"> </w:t>
      </w:r>
    </w:p>
    <w:p w14:paraId="362ADFB9" w14:textId="77777777" w:rsidR="00BE390B" w:rsidRPr="00824739" w:rsidRDefault="00BE390B" w:rsidP="00484B58">
      <w:pPr>
        <w:pStyle w:val="Recommendation1"/>
      </w:pPr>
      <w:bookmarkStart w:id="65" w:name="_Hlk167302571"/>
      <w:r w:rsidRPr="00824739">
        <w:t>Cost-</w:t>
      </w:r>
      <w:proofErr w:type="spellStart"/>
      <w:r w:rsidRPr="00824739">
        <w:t>minimisation</w:t>
      </w:r>
      <w:proofErr w:type="spellEnd"/>
      <w:r>
        <w:t xml:space="preserve"> submissions</w:t>
      </w:r>
    </w:p>
    <w:bookmarkEnd w:id="65"/>
    <w:p w14:paraId="25D5918D" w14:textId="77777777" w:rsidR="00BE390B" w:rsidRPr="00824739" w:rsidRDefault="00BE390B" w:rsidP="00A65531">
      <w:r w:rsidRPr="00405FD7">
        <w:t xml:space="preserve">The Review recommends </w:t>
      </w:r>
      <w:r>
        <w:t xml:space="preserve">that </w:t>
      </w:r>
      <w:r w:rsidRPr="00405FD7">
        <w:t>the Australian Government</w:t>
      </w:r>
      <w:r w:rsidRPr="00A01D65">
        <w:rPr>
          <w:bCs/>
        </w:rPr>
        <w:t xml:space="preserve"> investigate</w:t>
      </w:r>
      <w:r w:rsidRPr="00824739">
        <w:t xml:space="preserve"> mechanisms to differentiate cost-</w:t>
      </w:r>
      <w:proofErr w:type="spellStart"/>
      <w:r w:rsidRPr="00824739">
        <w:t>minimisation</w:t>
      </w:r>
      <w:proofErr w:type="spellEnd"/>
      <w:r w:rsidRPr="00824739">
        <w:t xml:space="preserve"> submissions based on their proportiona</w:t>
      </w:r>
      <w:r>
        <w:t>te</w:t>
      </w:r>
      <w:r w:rsidRPr="00824739">
        <w:t xml:space="preserve"> benefit and relative cost</w:t>
      </w:r>
      <w:r w:rsidRPr="00202230">
        <w:t xml:space="preserve"> </w:t>
      </w:r>
      <w:r>
        <w:t>i</w:t>
      </w:r>
      <w:r w:rsidRPr="00824739">
        <w:t xml:space="preserve">n line with other options in the Review to calibrate the methods and level of appraisal to the level of risk and clinical need </w:t>
      </w:r>
      <w:r>
        <w:t>and</w:t>
      </w:r>
      <w:r w:rsidRPr="00824739">
        <w:t>/</w:t>
      </w:r>
      <w:r>
        <w:t>or</w:t>
      </w:r>
      <w:r w:rsidRPr="00824739">
        <w:t xml:space="preserve"> benefit of submissions.</w:t>
      </w:r>
    </w:p>
    <w:p w14:paraId="0D3DA3CB" w14:textId="77777777" w:rsidR="00BE390B" w:rsidRPr="006A57E5" w:rsidRDefault="00BE390B" w:rsidP="00484B58">
      <w:pPr>
        <w:pStyle w:val="Recommendation1"/>
      </w:pPr>
      <w:bookmarkStart w:id="66" w:name="_Hlk167302579"/>
      <w:r w:rsidRPr="006A57E5">
        <w:t xml:space="preserve">Valuing </w:t>
      </w:r>
      <w:r>
        <w:t>and pricing</w:t>
      </w:r>
    </w:p>
    <w:bookmarkEnd w:id="66"/>
    <w:p w14:paraId="10C166DC" w14:textId="77777777" w:rsidR="00BE390B" w:rsidRPr="00FE400C" w:rsidRDefault="00BE390B" w:rsidP="00A65531">
      <w:pPr>
        <w:rPr>
          <w:rFonts w:eastAsia="Times New Roman"/>
          <w:lang w:eastAsia="en-AU"/>
        </w:rPr>
      </w:pPr>
      <w:r w:rsidRPr="00405FD7">
        <w:t xml:space="preserve">The Review recommends </w:t>
      </w:r>
      <w:r>
        <w:t xml:space="preserve">that </w:t>
      </w:r>
      <w:r w:rsidRPr="00405FD7">
        <w:t>the Australian Government</w:t>
      </w:r>
      <w:r>
        <w:rPr>
          <w:rFonts w:eastAsia="Times New Roman"/>
          <w:lang w:eastAsia="en-AU"/>
        </w:rPr>
        <w:t xml:space="preserve"> c</w:t>
      </w:r>
      <w:r w:rsidRPr="00FE400C">
        <w:rPr>
          <w:rFonts w:eastAsia="Times New Roman"/>
          <w:lang w:eastAsia="en-AU"/>
        </w:rPr>
        <w:t xml:space="preserve">onduct </w:t>
      </w:r>
      <w:r>
        <w:rPr>
          <w:rFonts w:eastAsia="Times New Roman"/>
          <w:lang w:eastAsia="en-AU"/>
        </w:rPr>
        <w:t>research</w:t>
      </w:r>
      <w:r w:rsidRPr="00FE400C">
        <w:rPr>
          <w:rFonts w:eastAsia="Times New Roman"/>
          <w:lang w:eastAsia="en-AU"/>
        </w:rPr>
        <w:t xml:space="preserve"> to understand </w:t>
      </w:r>
      <w:proofErr w:type="gramStart"/>
      <w:r w:rsidRPr="00FE400C">
        <w:rPr>
          <w:rFonts w:eastAsia="Times New Roman"/>
          <w:lang w:eastAsia="en-AU"/>
        </w:rPr>
        <w:t>if and whe</w:t>
      </w:r>
      <w:r>
        <w:rPr>
          <w:rFonts w:eastAsia="Times New Roman"/>
          <w:lang w:eastAsia="en-AU"/>
        </w:rPr>
        <w:t>n</w:t>
      </w:r>
      <w:proofErr w:type="gramEnd"/>
      <w:r w:rsidRPr="00FE400C">
        <w:rPr>
          <w:rFonts w:eastAsia="Times New Roman"/>
          <w:lang w:eastAsia="en-AU"/>
        </w:rPr>
        <w:t xml:space="preserve"> it may be reasonable for </w:t>
      </w:r>
      <w:r w:rsidRPr="002A2548">
        <w:rPr>
          <w:rFonts w:eastAsia="Times New Roman"/>
          <w:lang w:eastAsia="en-AU"/>
        </w:rPr>
        <w:t>HTA</w:t>
      </w:r>
      <w:r w:rsidRPr="002A2548" w:rsidDel="002A2548">
        <w:rPr>
          <w:rFonts w:eastAsia="Times New Roman"/>
          <w:lang w:eastAsia="en-AU"/>
        </w:rPr>
        <w:t xml:space="preserve"> </w:t>
      </w:r>
      <w:r>
        <w:rPr>
          <w:rFonts w:eastAsia="Times New Roman"/>
          <w:lang w:eastAsia="en-AU"/>
        </w:rPr>
        <w:t xml:space="preserve">advisory </w:t>
      </w:r>
      <w:r w:rsidRPr="00FE400C">
        <w:rPr>
          <w:rFonts w:eastAsia="Times New Roman"/>
          <w:lang w:eastAsia="en-AU"/>
        </w:rPr>
        <w:t xml:space="preserve">committees to accept higher prices for health technologies </w:t>
      </w:r>
      <w:r>
        <w:rPr>
          <w:rFonts w:eastAsia="Times New Roman"/>
          <w:lang w:eastAsia="en-AU"/>
        </w:rPr>
        <w:t>than are currently accepted. This</w:t>
      </w:r>
      <w:r w:rsidRPr="00FE400C">
        <w:rPr>
          <w:rFonts w:eastAsia="Times New Roman"/>
          <w:lang w:eastAsia="en-AU"/>
        </w:rPr>
        <w:t xml:space="preserve"> includ</w:t>
      </w:r>
      <w:r>
        <w:rPr>
          <w:rFonts w:eastAsia="Times New Roman"/>
          <w:lang w:eastAsia="en-AU"/>
        </w:rPr>
        <w:t>es</w:t>
      </w:r>
      <w:r w:rsidRPr="00FE400C">
        <w:rPr>
          <w:rFonts w:eastAsia="Times New Roman"/>
          <w:lang w:eastAsia="en-AU"/>
        </w:rPr>
        <w:t xml:space="preserve">: </w:t>
      </w:r>
    </w:p>
    <w:p w14:paraId="6693BDAB" w14:textId="77777777" w:rsidR="00BE390B" w:rsidRPr="00FE400C" w:rsidRDefault="00BE390B" w:rsidP="00F20014">
      <w:pPr>
        <w:pStyle w:val="ListParagraph"/>
        <w:numPr>
          <w:ilvl w:val="0"/>
          <w:numId w:val="29"/>
        </w:numPr>
        <w:rPr>
          <w:rFonts w:eastAsia="Times New Roman" w:cs="Segoe UI"/>
          <w:lang w:eastAsia="en-AU"/>
        </w:rPr>
      </w:pPr>
      <w:r w:rsidRPr="00FE400C">
        <w:rPr>
          <w:rFonts w:eastAsia="Times New Roman" w:cs="Segoe UI"/>
          <w:lang w:eastAsia="en-AU"/>
        </w:rPr>
        <w:t>in what circumstances</w:t>
      </w:r>
    </w:p>
    <w:p w14:paraId="4CE0285B" w14:textId="77777777" w:rsidR="00BE390B" w:rsidRPr="00FE400C" w:rsidRDefault="00BE390B" w:rsidP="00F20014">
      <w:pPr>
        <w:pStyle w:val="ListParagraph"/>
        <w:numPr>
          <w:ilvl w:val="0"/>
          <w:numId w:val="29"/>
        </w:numPr>
        <w:rPr>
          <w:rFonts w:eastAsia="Times New Roman" w:cs="Segoe UI"/>
          <w:lang w:eastAsia="en-AU"/>
        </w:rPr>
      </w:pPr>
      <w:r w:rsidRPr="00FE400C">
        <w:rPr>
          <w:rFonts w:eastAsia="Times New Roman" w:cs="Segoe UI"/>
          <w:lang w:eastAsia="en-AU"/>
        </w:rPr>
        <w:t>for what benefit</w:t>
      </w:r>
    </w:p>
    <w:p w14:paraId="4E78FFBA" w14:textId="77777777" w:rsidR="00BE390B" w:rsidRPr="00FE400C" w:rsidRDefault="00BE390B" w:rsidP="00F20014">
      <w:pPr>
        <w:pStyle w:val="ListParagraph"/>
        <w:numPr>
          <w:ilvl w:val="0"/>
          <w:numId w:val="29"/>
        </w:numPr>
        <w:rPr>
          <w:rFonts w:eastAsia="Times New Roman" w:cs="Segoe UI"/>
          <w:lang w:eastAsia="en-AU"/>
        </w:rPr>
      </w:pPr>
      <w:r w:rsidRPr="00FE400C">
        <w:rPr>
          <w:rFonts w:eastAsia="Times New Roman" w:cs="Segoe UI"/>
          <w:lang w:eastAsia="en-AU"/>
        </w:rPr>
        <w:t>how much greater cost would be reasonable to secure th</w:t>
      </w:r>
      <w:r>
        <w:rPr>
          <w:rFonts w:eastAsia="Times New Roman" w:cs="Segoe UI"/>
          <w:lang w:eastAsia="en-AU"/>
        </w:rPr>
        <w:t>e</w:t>
      </w:r>
      <w:r w:rsidRPr="00FE400C">
        <w:rPr>
          <w:rFonts w:eastAsia="Times New Roman" w:cs="Segoe UI"/>
          <w:lang w:eastAsia="en-AU"/>
        </w:rPr>
        <w:t xml:space="preserve"> benefit</w:t>
      </w:r>
    </w:p>
    <w:p w14:paraId="12F76627" w14:textId="77777777" w:rsidR="00BE390B" w:rsidRPr="00FE400C" w:rsidRDefault="00BE390B" w:rsidP="00F20014">
      <w:pPr>
        <w:pStyle w:val="ListParagraph"/>
        <w:numPr>
          <w:ilvl w:val="0"/>
          <w:numId w:val="29"/>
        </w:numPr>
        <w:rPr>
          <w:rFonts w:eastAsia="Times New Roman" w:cs="Segoe UI"/>
          <w:lang w:eastAsia="en-AU"/>
        </w:rPr>
      </w:pPr>
      <w:r>
        <w:rPr>
          <w:rFonts w:eastAsia="Times New Roman" w:cs="Segoe UI"/>
          <w:lang w:eastAsia="en-AU"/>
        </w:rPr>
        <w:t xml:space="preserve">the level of </w:t>
      </w:r>
      <w:r w:rsidRPr="00FE400C">
        <w:rPr>
          <w:rFonts w:eastAsia="Times New Roman" w:cs="Segoe UI"/>
          <w:lang w:eastAsia="en-AU"/>
        </w:rPr>
        <w:t>confiden</w:t>
      </w:r>
      <w:r>
        <w:rPr>
          <w:rFonts w:eastAsia="Times New Roman" w:cs="Segoe UI"/>
          <w:lang w:eastAsia="en-AU"/>
        </w:rPr>
        <w:t>ce</w:t>
      </w:r>
      <w:r w:rsidRPr="00FE400C">
        <w:rPr>
          <w:rFonts w:eastAsia="Times New Roman" w:cs="Segoe UI"/>
          <w:lang w:eastAsia="en-AU"/>
        </w:rPr>
        <w:t xml:space="preserve"> need</w:t>
      </w:r>
      <w:r>
        <w:rPr>
          <w:rFonts w:eastAsia="Times New Roman" w:cs="Segoe UI"/>
          <w:lang w:eastAsia="en-AU"/>
        </w:rPr>
        <w:t>ed</w:t>
      </w:r>
      <w:r w:rsidRPr="00FE400C">
        <w:rPr>
          <w:rFonts w:eastAsia="Times New Roman" w:cs="Segoe UI"/>
          <w:lang w:eastAsia="en-AU"/>
        </w:rPr>
        <w:t xml:space="preserve"> that </w:t>
      </w:r>
      <w:r>
        <w:rPr>
          <w:rFonts w:eastAsia="Times New Roman" w:cs="Segoe UI"/>
          <w:lang w:eastAsia="en-AU"/>
        </w:rPr>
        <w:t xml:space="preserve">the benefit would </w:t>
      </w:r>
      <w:r w:rsidRPr="00FE400C">
        <w:rPr>
          <w:rFonts w:eastAsia="Times New Roman" w:cs="Segoe UI"/>
          <w:lang w:eastAsia="en-AU"/>
        </w:rPr>
        <w:t>be secur</w:t>
      </w:r>
      <w:r>
        <w:rPr>
          <w:rFonts w:eastAsia="Times New Roman" w:cs="Segoe UI"/>
          <w:lang w:eastAsia="en-AU"/>
        </w:rPr>
        <w:t>ed</w:t>
      </w:r>
    </w:p>
    <w:p w14:paraId="3816A901" w14:textId="77777777" w:rsidR="00BE390B" w:rsidRPr="00FE400C" w:rsidRDefault="00BE390B" w:rsidP="00F20014">
      <w:pPr>
        <w:pStyle w:val="ListParagraph"/>
        <w:numPr>
          <w:ilvl w:val="0"/>
          <w:numId w:val="29"/>
        </w:numPr>
        <w:rPr>
          <w:rFonts w:eastAsia="Times New Roman" w:cs="Segoe UI"/>
          <w:lang w:eastAsia="en-AU"/>
        </w:rPr>
      </w:pPr>
      <w:r w:rsidRPr="00FE400C">
        <w:rPr>
          <w:rFonts w:eastAsia="Times New Roman" w:cs="Segoe UI"/>
          <w:lang w:eastAsia="en-AU"/>
        </w:rPr>
        <w:t xml:space="preserve">measures </w:t>
      </w:r>
      <w:r>
        <w:rPr>
          <w:rFonts w:eastAsia="Times New Roman" w:cs="Segoe UI"/>
          <w:lang w:eastAsia="en-AU"/>
        </w:rPr>
        <w:t xml:space="preserve">that </w:t>
      </w:r>
      <w:r w:rsidRPr="00FE400C">
        <w:rPr>
          <w:rFonts w:eastAsia="Times New Roman" w:cs="Segoe UI"/>
          <w:lang w:eastAsia="en-AU"/>
        </w:rPr>
        <w:t xml:space="preserve">would be appropriate to offset the higher costs over a product’s lifecycle. </w:t>
      </w:r>
    </w:p>
    <w:p w14:paraId="585E661A" w14:textId="77777777" w:rsidR="00BE390B" w:rsidRPr="00FE400C" w:rsidRDefault="00BE390B" w:rsidP="005A0943">
      <w:pPr>
        <w:spacing w:line="278" w:lineRule="auto"/>
        <w:contextualSpacing w:val="0"/>
        <w:rPr>
          <w:rFonts w:eastAsia="Times New Roman"/>
          <w:lang w:eastAsia="en-AU"/>
        </w:rPr>
      </w:pPr>
      <w:r w:rsidRPr="00FE400C">
        <w:rPr>
          <w:rFonts w:eastAsia="Times New Roman"/>
          <w:lang w:eastAsia="en-AU"/>
        </w:rPr>
        <w:t>To ensure the sentiment captured through workshops</w:t>
      </w:r>
      <w:r>
        <w:rPr>
          <w:rFonts w:eastAsia="Times New Roman"/>
          <w:lang w:eastAsia="en-AU"/>
        </w:rPr>
        <w:t xml:space="preserve"> and</w:t>
      </w:r>
      <w:r w:rsidRPr="00FE400C">
        <w:rPr>
          <w:rFonts w:eastAsia="Times New Roman"/>
          <w:lang w:eastAsia="en-AU"/>
        </w:rPr>
        <w:t xml:space="preserve"> consultation</w:t>
      </w:r>
      <w:r>
        <w:rPr>
          <w:rFonts w:eastAsia="Times New Roman"/>
          <w:lang w:eastAsia="en-AU"/>
        </w:rPr>
        <w:t>s</w:t>
      </w:r>
      <w:r w:rsidRPr="00FE400C">
        <w:rPr>
          <w:rFonts w:eastAsia="Times New Roman"/>
          <w:lang w:eastAsia="en-AU"/>
        </w:rPr>
        <w:t xml:space="preserve"> </w:t>
      </w:r>
      <w:r>
        <w:rPr>
          <w:rFonts w:eastAsia="Times New Roman"/>
          <w:lang w:eastAsia="en-AU"/>
        </w:rPr>
        <w:t>is</w:t>
      </w:r>
      <w:r w:rsidRPr="00FE400C">
        <w:rPr>
          <w:rFonts w:eastAsia="Times New Roman"/>
          <w:lang w:eastAsia="en-AU"/>
        </w:rPr>
        <w:t xml:space="preserve"> representative of the Australian population, </w:t>
      </w:r>
      <w:r>
        <w:rPr>
          <w:rFonts w:eastAsia="Times New Roman"/>
          <w:lang w:eastAsia="en-AU"/>
        </w:rPr>
        <w:t>they</w:t>
      </w:r>
      <w:r w:rsidRPr="00FE400C">
        <w:rPr>
          <w:rFonts w:eastAsia="Times New Roman"/>
          <w:lang w:eastAsia="en-AU"/>
        </w:rPr>
        <w:t xml:space="preserve"> should include a population representative sample </w:t>
      </w:r>
      <w:r w:rsidRPr="00FE400C">
        <w:rPr>
          <w:rFonts w:eastAsia="Times New Roman"/>
          <w:lang w:eastAsia="en-AU"/>
        </w:rPr>
        <w:lastRenderedPageBreak/>
        <w:t>(including representati</w:t>
      </w:r>
      <w:r>
        <w:rPr>
          <w:rFonts w:eastAsia="Times New Roman"/>
          <w:lang w:eastAsia="en-AU"/>
        </w:rPr>
        <w:t>ves</w:t>
      </w:r>
      <w:r w:rsidRPr="00FE400C">
        <w:rPr>
          <w:rFonts w:eastAsia="Times New Roman"/>
          <w:lang w:eastAsia="en-AU"/>
        </w:rPr>
        <w:t xml:space="preserve"> of key stakeholder groups) and ensure measurement is free from selection bias. </w:t>
      </w:r>
    </w:p>
    <w:p w14:paraId="6473B0E1" w14:textId="0FF36EBF" w:rsidR="00943763" w:rsidRPr="000E4596" w:rsidRDefault="00BE390B" w:rsidP="008F16BB">
      <w:r w:rsidRPr="00B61FDC">
        <w:rPr>
          <w:iCs/>
        </w:rPr>
        <w:t xml:space="preserve">Note: workshops could also be assisted </w:t>
      </w:r>
      <w:proofErr w:type="gramStart"/>
      <w:r w:rsidRPr="00B61FDC">
        <w:rPr>
          <w:iCs/>
        </w:rPr>
        <w:t xml:space="preserve">through </w:t>
      </w:r>
      <w:r>
        <w:rPr>
          <w:iCs/>
        </w:rPr>
        <w:t xml:space="preserve">the </w:t>
      </w:r>
      <w:r w:rsidRPr="00B61FDC">
        <w:rPr>
          <w:iCs/>
        </w:rPr>
        <w:t>use of</w:t>
      </w:r>
      <w:proofErr w:type="gramEnd"/>
      <w:r w:rsidRPr="00B61FDC">
        <w:rPr>
          <w:iCs/>
        </w:rPr>
        <w:t xml:space="preserve"> the explicit qualitative value framework proposed above </w:t>
      </w:r>
      <w:r w:rsidR="00FC3244" w:rsidRPr="00B61FDC">
        <w:rPr>
          <w:iCs/>
        </w:rPr>
        <w:t>(see</w:t>
      </w:r>
      <w:r w:rsidR="00FC3244">
        <w:t xml:space="preserve"> ‘Recommendation 26: Developing an e</w:t>
      </w:r>
      <w:r w:rsidR="00FC3244" w:rsidRPr="00D01298">
        <w:t xml:space="preserve">xplicit </w:t>
      </w:r>
      <w:r w:rsidR="00FC3244">
        <w:t>qualitative v</w:t>
      </w:r>
      <w:r w:rsidR="00FC3244" w:rsidRPr="00D01298">
        <w:t xml:space="preserve">alues </w:t>
      </w:r>
      <w:r w:rsidR="00FC3244">
        <w:t>f</w:t>
      </w:r>
      <w:r w:rsidR="00FC3244" w:rsidRPr="00D01298">
        <w:t>ramework</w:t>
      </w:r>
      <w:r w:rsidR="00FC3244">
        <w:t>’</w:t>
      </w:r>
      <w:r w:rsidRPr="7F7FE023">
        <w:rPr>
          <w:rFonts w:eastAsia="Times New Roman"/>
          <w:lang w:eastAsia="en-AU"/>
        </w:rPr>
        <w:t>).</w:t>
      </w:r>
    </w:p>
    <w:p w14:paraId="341F2863" w14:textId="77777777" w:rsidR="004544C2" w:rsidRPr="002E7C03" w:rsidRDefault="004544C2" w:rsidP="00484B58">
      <w:pPr>
        <w:pStyle w:val="Recommendation1"/>
      </w:pPr>
      <w:bookmarkStart w:id="67" w:name="_Hlk167302595"/>
      <w:r>
        <w:t>Environmental impact reporting</w:t>
      </w:r>
    </w:p>
    <w:bookmarkEnd w:id="67"/>
    <w:p w14:paraId="2A5D1A49" w14:textId="77777777" w:rsidR="004544C2" w:rsidRPr="002E7C03" w:rsidRDefault="004544C2" w:rsidP="004544C2">
      <w:r w:rsidRPr="00405FD7">
        <w:t xml:space="preserve">The Review recommends </w:t>
      </w:r>
      <w:r>
        <w:t xml:space="preserve">that </w:t>
      </w:r>
      <w:r w:rsidRPr="00405FD7">
        <w:t>the Australian Government</w:t>
      </w:r>
      <w:r>
        <w:t>, i</w:t>
      </w:r>
      <w:r w:rsidRPr="25A0F8CE">
        <w:t xml:space="preserve">n line with the </w:t>
      </w:r>
      <w:r w:rsidRPr="00BD34D3">
        <w:rPr>
          <w:i/>
        </w:rPr>
        <w:t>National Health and Climate Strategy</w:t>
      </w:r>
      <w:r>
        <w:rPr>
          <w:iCs/>
        </w:rPr>
        <w:t xml:space="preserve">, </w:t>
      </w:r>
      <w:r w:rsidRPr="25A0F8CE">
        <w:t>investigate the following options in consultation with industry and other stakeholders:</w:t>
      </w:r>
    </w:p>
    <w:p w14:paraId="50C61E76" w14:textId="77777777" w:rsidR="004544C2" w:rsidRPr="002E7C03" w:rsidRDefault="004544C2" w:rsidP="00F20014">
      <w:pPr>
        <w:pStyle w:val="ListParagraph"/>
        <w:numPr>
          <w:ilvl w:val="0"/>
          <w:numId w:val="32"/>
        </w:numPr>
        <w:rPr>
          <w:rFonts w:cs="Segoe UI"/>
        </w:rPr>
      </w:pPr>
      <w:bookmarkStart w:id="68" w:name="_Ref164783141"/>
      <w:r>
        <w:rPr>
          <w:rFonts w:cs="Segoe UI"/>
        </w:rPr>
        <w:t>r</w:t>
      </w:r>
      <w:r w:rsidRPr="25A0F8CE">
        <w:rPr>
          <w:rFonts w:cs="Segoe UI"/>
        </w:rPr>
        <w:t xml:space="preserve">eporting of environmental impacts, starting with embodied greenhouse gas emissions, </w:t>
      </w:r>
      <w:r>
        <w:rPr>
          <w:rFonts w:cs="Segoe UI"/>
        </w:rPr>
        <w:t>during</w:t>
      </w:r>
      <w:r w:rsidRPr="25A0F8CE">
        <w:rPr>
          <w:rFonts w:cs="Segoe UI"/>
        </w:rPr>
        <w:t xml:space="preserve"> the assessment of cost-effectiveness by Australian HTA</w:t>
      </w:r>
      <w:r w:rsidRPr="002A2548" w:rsidDel="002A2548">
        <w:rPr>
          <w:rFonts w:cs="Segoe UI"/>
        </w:rPr>
        <w:t xml:space="preserve"> </w:t>
      </w:r>
      <w:r w:rsidRPr="25A0F8CE">
        <w:rPr>
          <w:rFonts w:cs="Segoe UI"/>
        </w:rPr>
        <w:t>bodies</w:t>
      </w:r>
      <w:bookmarkEnd w:id="68"/>
    </w:p>
    <w:p w14:paraId="5B8B7AB2" w14:textId="77777777" w:rsidR="004544C2" w:rsidRPr="002E7C03" w:rsidRDefault="004544C2" w:rsidP="00F20014">
      <w:pPr>
        <w:pStyle w:val="ListParagraph"/>
        <w:numPr>
          <w:ilvl w:val="0"/>
          <w:numId w:val="32"/>
        </w:numPr>
        <w:rPr>
          <w:rFonts w:cs="Segoe UI"/>
        </w:rPr>
      </w:pPr>
      <w:r>
        <w:rPr>
          <w:rFonts w:cs="Segoe UI"/>
        </w:rPr>
        <w:t>p</w:t>
      </w:r>
      <w:r w:rsidRPr="25A0F8CE">
        <w:rPr>
          <w:rFonts w:cs="Segoe UI"/>
        </w:rPr>
        <w:t xml:space="preserve">otential </w:t>
      </w:r>
      <w:r>
        <w:rPr>
          <w:rFonts w:cs="Segoe UI"/>
        </w:rPr>
        <w:t>to</w:t>
      </w:r>
      <w:r w:rsidRPr="25A0F8CE">
        <w:rPr>
          <w:rFonts w:cs="Segoe UI"/>
        </w:rPr>
        <w:t xml:space="preserve"> use </w:t>
      </w:r>
      <w:r>
        <w:rPr>
          <w:rFonts w:cs="Segoe UI"/>
        </w:rPr>
        <w:t>this</w:t>
      </w:r>
      <w:r w:rsidRPr="25A0F8CE">
        <w:rPr>
          <w:rFonts w:cs="Segoe UI"/>
        </w:rPr>
        <w:t xml:space="preserve"> data in approval and reimbursement decisions</w:t>
      </w:r>
    </w:p>
    <w:p w14:paraId="10EED2BD" w14:textId="77777777" w:rsidR="004544C2" w:rsidRPr="002E7C03" w:rsidRDefault="004544C2" w:rsidP="00F20014">
      <w:pPr>
        <w:pStyle w:val="ListParagraph"/>
        <w:numPr>
          <w:ilvl w:val="0"/>
          <w:numId w:val="32"/>
        </w:numPr>
        <w:rPr>
          <w:rFonts w:cs="Segoe UI"/>
        </w:rPr>
      </w:pPr>
      <w:r>
        <w:rPr>
          <w:rFonts w:cs="Segoe UI"/>
        </w:rPr>
        <w:t>p</w:t>
      </w:r>
      <w:r w:rsidRPr="25A0F8CE">
        <w:rPr>
          <w:rFonts w:cs="Segoe UI"/>
        </w:rPr>
        <w:t>otential for public reporting of th</w:t>
      </w:r>
      <w:r>
        <w:rPr>
          <w:rFonts w:cs="Segoe UI"/>
        </w:rPr>
        <w:t>is</w:t>
      </w:r>
      <w:r w:rsidRPr="25A0F8CE">
        <w:rPr>
          <w:rFonts w:cs="Segoe UI"/>
        </w:rPr>
        <w:t xml:space="preserve"> data, to inform clinical decision-making</w:t>
      </w:r>
    </w:p>
    <w:p w14:paraId="3517487F" w14:textId="77777777" w:rsidR="004544C2" w:rsidRPr="002E7C03" w:rsidRDefault="004544C2" w:rsidP="00F20014">
      <w:pPr>
        <w:pStyle w:val="ListParagraph"/>
        <w:numPr>
          <w:ilvl w:val="0"/>
          <w:numId w:val="32"/>
        </w:numPr>
        <w:rPr>
          <w:rFonts w:cs="Segoe UI"/>
        </w:rPr>
      </w:pPr>
      <w:r>
        <w:rPr>
          <w:rFonts w:cs="Segoe UI"/>
        </w:rPr>
        <w:t>the d</w:t>
      </w:r>
      <w:r w:rsidRPr="25A0F8CE">
        <w:rPr>
          <w:rFonts w:cs="Segoe UI"/>
        </w:rPr>
        <w:t>evelopment of guidance documents and examples to facilitate environmental impacts reporting</w:t>
      </w:r>
    </w:p>
    <w:p w14:paraId="5944ED94" w14:textId="77777777" w:rsidR="004544C2" w:rsidRPr="002E7C03" w:rsidRDefault="004544C2" w:rsidP="00F20014">
      <w:pPr>
        <w:pStyle w:val="ListParagraph"/>
        <w:numPr>
          <w:ilvl w:val="0"/>
          <w:numId w:val="32"/>
        </w:numPr>
        <w:rPr>
          <w:rFonts w:cs="Segoe UI"/>
        </w:rPr>
      </w:pPr>
      <w:r>
        <w:rPr>
          <w:rFonts w:cs="Segoe UI"/>
        </w:rPr>
        <w:t>a</w:t>
      </w:r>
      <w:r w:rsidRPr="25A0F8CE">
        <w:rPr>
          <w:rFonts w:cs="Segoe UI"/>
        </w:rPr>
        <w:t>lignment with international best practice in comparable jurisdictions</w:t>
      </w:r>
    </w:p>
    <w:p w14:paraId="445B1E82" w14:textId="77777777" w:rsidR="004544C2" w:rsidRPr="002E7C03" w:rsidRDefault="004544C2" w:rsidP="00F20014">
      <w:pPr>
        <w:pStyle w:val="ListParagraph"/>
        <w:numPr>
          <w:ilvl w:val="0"/>
          <w:numId w:val="32"/>
        </w:numPr>
        <w:rPr>
          <w:rFonts w:cs="Segoe UI"/>
        </w:rPr>
      </w:pPr>
      <w:r>
        <w:rPr>
          <w:rFonts w:cs="Segoe UI"/>
        </w:rPr>
        <w:t>t</w:t>
      </w:r>
      <w:r w:rsidRPr="25A0F8CE">
        <w:rPr>
          <w:rFonts w:cs="Segoe UI"/>
        </w:rPr>
        <w:t xml:space="preserve">he role of international standards for </w:t>
      </w:r>
      <w:r>
        <w:rPr>
          <w:rFonts w:cs="Segoe UI"/>
        </w:rPr>
        <w:t xml:space="preserve">calculating the </w:t>
      </w:r>
      <w:r w:rsidRPr="25A0F8CE">
        <w:rPr>
          <w:rFonts w:cs="Segoe UI"/>
        </w:rPr>
        <w:t>carbon footprint of health technology products.</w:t>
      </w:r>
    </w:p>
    <w:p w14:paraId="7C85E647" w14:textId="77777777" w:rsidR="0084782E" w:rsidRPr="00D20132" w:rsidRDefault="0084782E" w:rsidP="00484B58">
      <w:pPr>
        <w:pStyle w:val="Recommendation1"/>
      </w:pPr>
      <w:bookmarkStart w:id="69" w:name="_Ref166783377"/>
      <w:bookmarkStart w:id="70" w:name="_Hlk167302615"/>
      <w:r w:rsidRPr="00D20132">
        <w:t xml:space="preserve">Identifying therapeutic areas of </w:t>
      </w:r>
      <w:r>
        <w:t>high unmet clinical need</w:t>
      </w:r>
      <w:bookmarkEnd w:id="69"/>
    </w:p>
    <w:bookmarkEnd w:id="70"/>
    <w:p w14:paraId="37E027E1" w14:textId="77777777" w:rsidR="0084782E" w:rsidRPr="00D20132" w:rsidRDefault="0084782E" w:rsidP="00011261">
      <w:r w:rsidRPr="00405FD7">
        <w:t xml:space="preserve">The Review recommends </w:t>
      </w:r>
      <w:r>
        <w:t xml:space="preserve">that </w:t>
      </w:r>
      <w:r w:rsidRPr="00405FD7">
        <w:t>the Australian Government</w:t>
      </w:r>
      <w:r w:rsidRPr="00D20132">
        <w:t>:</w:t>
      </w:r>
    </w:p>
    <w:p w14:paraId="2D66C6C5" w14:textId="77777777" w:rsidR="0084782E" w:rsidRPr="00D20132" w:rsidRDefault="0084782E" w:rsidP="00F20014">
      <w:pPr>
        <w:pStyle w:val="ListParagraph"/>
        <w:numPr>
          <w:ilvl w:val="0"/>
          <w:numId w:val="33"/>
        </w:numPr>
        <w:spacing w:before="0" w:after="160"/>
        <w:rPr>
          <w:rFonts w:cs="Segoe UI"/>
        </w:rPr>
      </w:pPr>
      <w:r>
        <w:rPr>
          <w:rFonts w:cs="Segoe UI"/>
        </w:rPr>
        <w:t>d</w:t>
      </w:r>
      <w:r w:rsidRPr="00D20132">
        <w:rPr>
          <w:rFonts w:cs="Segoe UI"/>
        </w:rPr>
        <w:t xml:space="preserve">evelop criteria for ongoing identification of therapeutic areas of </w:t>
      </w:r>
      <w:r>
        <w:rPr>
          <w:rFonts w:cs="Segoe UI"/>
        </w:rPr>
        <w:t>high unmet clinical need</w:t>
      </w:r>
      <w:r w:rsidRPr="00D20132">
        <w:rPr>
          <w:rFonts w:cs="Segoe UI"/>
        </w:rPr>
        <w:t xml:space="preserve"> </w:t>
      </w:r>
      <w:r>
        <w:rPr>
          <w:rFonts w:cs="Segoe UI"/>
        </w:rPr>
        <w:t xml:space="preserve">(HUCN) </w:t>
      </w:r>
      <w:r w:rsidRPr="00D20132">
        <w:rPr>
          <w:rFonts w:cs="Segoe UI"/>
        </w:rPr>
        <w:t xml:space="preserve">in partnership </w:t>
      </w:r>
      <w:r>
        <w:rPr>
          <w:rFonts w:cs="Segoe UI"/>
        </w:rPr>
        <w:t>with</w:t>
      </w:r>
      <w:r w:rsidRPr="00D20132">
        <w:rPr>
          <w:rFonts w:cs="Segoe UI"/>
        </w:rPr>
        <w:t xml:space="preserve"> clinicians, industry, patients and </w:t>
      </w:r>
      <w:proofErr w:type="gramStart"/>
      <w:r w:rsidRPr="00D20132">
        <w:rPr>
          <w:rFonts w:cs="Segoe UI"/>
        </w:rPr>
        <w:t>patient</w:t>
      </w:r>
      <w:proofErr w:type="gramEnd"/>
      <w:r>
        <w:rPr>
          <w:rFonts w:cs="Segoe UI"/>
        </w:rPr>
        <w:t xml:space="preserve"> and</w:t>
      </w:r>
      <w:r w:rsidRPr="00D20132">
        <w:rPr>
          <w:rFonts w:cs="Segoe UI"/>
        </w:rPr>
        <w:t>/</w:t>
      </w:r>
      <w:r>
        <w:rPr>
          <w:rFonts w:cs="Segoe UI"/>
        </w:rPr>
        <w:t xml:space="preserve">or </w:t>
      </w:r>
      <w:r w:rsidRPr="00D20132">
        <w:rPr>
          <w:rFonts w:cs="Segoe UI"/>
        </w:rPr>
        <w:t>community organisations</w:t>
      </w:r>
      <w:r>
        <w:rPr>
          <w:rFonts w:cs="Segoe UI"/>
        </w:rPr>
        <w:t xml:space="preserve"> to</w:t>
      </w:r>
      <w:r w:rsidRPr="00D20132">
        <w:rPr>
          <w:rFonts w:cs="Segoe UI"/>
        </w:rPr>
        <w:t>:</w:t>
      </w:r>
    </w:p>
    <w:p w14:paraId="5AE439D9" w14:textId="77777777" w:rsidR="0084782E" w:rsidRPr="00D20132" w:rsidRDefault="0084782E" w:rsidP="00F20014">
      <w:pPr>
        <w:pStyle w:val="ListParagraph"/>
        <w:numPr>
          <w:ilvl w:val="1"/>
          <w:numId w:val="33"/>
        </w:numPr>
        <w:spacing w:before="0" w:after="160"/>
        <w:rPr>
          <w:rFonts w:cs="Segoe UI"/>
        </w:rPr>
      </w:pPr>
      <w:r w:rsidRPr="00D20132">
        <w:rPr>
          <w:rFonts w:cs="Segoe UI"/>
        </w:rPr>
        <w:t>inform further stakeholder dialogue, horizon scanning and related proactive pre-HTA activities that improve health literacy and health equity</w:t>
      </w:r>
    </w:p>
    <w:p w14:paraId="008C2236" w14:textId="77777777" w:rsidR="0084782E" w:rsidRPr="00D20132" w:rsidRDefault="0084782E" w:rsidP="00F20014">
      <w:pPr>
        <w:pStyle w:val="ListParagraph"/>
        <w:numPr>
          <w:ilvl w:val="1"/>
          <w:numId w:val="33"/>
        </w:numPr>
        <w:spacing w:before="0" w:after="160"/>
        <w:rPr>
          <w:rFonts w:cs="Segoe UI"/>
        </w:rPr>
      </w:pPr>
      <w:r w:rsidRPr="00D20132">
        <w:rPr>
          <w:rFonts w:cs="Segoe UI"/>
        </w:rPr>
        <w:t>provid</w:t>
      </w:r>
      <w:r>
        <w:rPr>
          <w:rFonts w:cs="Segoe UI"/>
        </w:rPr>
        <w:t>e</w:t>
      </w:r>
      <w:r w:rsidRPr="00D20132">
        <w:rPr>
          <w:rFonts w:cs="Segoe UI"/>
        </w:rPr>
        <w:t xml:space="preserve"> a mechanism to publicly signal the need for, and </w:t>
      </w:r>
      <w:r>
        <w:rPr>
          <w:rFonts w:cs="Segoe UI"/>
        </w:rPr>
        <w:t xml:space="preserve">gauge </w:t>
      </w:r>
      <w:r w:rsidRPr="00D20132">
        <w:rPr>
          <w:rFonts w:cs="Segoe UI"/>
        </w:rPr>
        <w:t>interest in, making available and subsidising certain health technologies t</w:t>
      </w:r>
      <w:r>
        <w:rPr>
          <w:rFonts w:cs="Segoe UI"/>
        </w:rPr>
        <w:t>hat</w:t>
      </w:r>
      <w:r w:rsidRPr="00D20132">
        <w:rPr>
          <w:rFonts w:cs="Segoe UI"/>
        </w:rPr>
        <w:t xml:space="preserve"> address specific therapeutic needs in the Australian healthcare context (such as First Nations and paediatric health), but are not available due to limited commercial and operational interest from sponsors</w:t>
      </w:r>
    </w:p>
    <w:p w14:paraId="1B092612" w14:textId="77777777" w:rsidR="0084782E" w:rsidRPr="00D20132" w:rsidRDefault="0084782E" w:rsidP="00F20014">
      <w:pPr>
        <w:pStyle w:val="ListParagraph"/>
        <w:numPr>
          <w:ilvl w:val="0"/>
          <w:numId w:val="33"/>
        </w:numPr>
        <w:spacing w:before="0" w:after="160"/>
        <w:rPr>
          <w:rFonts w:cs="Segoe UI"/>
        </w:rPr>
      </w:pPr>
      <w:r>
        <w:rPr>
          <w:rFonts w:cs="Segoe UI"/>
        </w:rPr>
        <w:t>i</w:t>
      </w:r>
      <w:r w:rsidRPr="00D20132">
        <w:rPr>
          <w:rFonts w:cs="Segoe UI"/>
        </w:rPr>
        <w:t>n developing and consulting on the criteria, have regard to:</w:t>
      </w:r>
    </w:p>
    <w:p w14:paraId="490639B6" w14:textId="0589DDA3" w:rsidR="0084782E" w:rsidRPr="00D20132" w:rsidRDefault="0084782E" w:rsidP="00F20014">
      <w:pPr>
        <w:pStyle w:val="ListParagraph"/>
        <w:numPr>
          <w:ilvl w:val="1"/>
          <w:numId w:val="33"/>
        </w:numPr>
        <w:spacing w:before="0" w:after="160"/>
        <w:rPr>
          <w:rFonts w:cs="Segoe UI"/>
        </w:rPr>
      </w:pPr>
      <w:r w:rsidRPr="00D20132">
        <w:rPr>
          <w:rFonts w:cs="Segoe UI"/>
        </w:rPr>
        <w:lastRenderedPageBreak/>
        <w:t xml:space="preserve">priorities developed through other </w:t>
      </w:r>
      <w:r>
        <w:rPr>
          <w:rFonts w:cs="Segoe UI"/>
        </w:rPr>
        <w:t>g</w:t>
      </w:r>
      <w:r w:rsidRPr="00D20132">
        <w:rPr>
          <w:rFonts w:cs="Segoe UI"/>
        </w:rPr>
        <w:t xml:space="preserve">overnment activities (such as, but not limited to, outreach activities supporting the </w:t>
      </w:r>
      <w:r>
        <w:rPr>
          <w:rFonts w:cs="Segoe UI"/>
        </w:rPr>
        <w:t>Medical Research Future Fund</w:t>
      </w:r>
      <w:r w:rsidR="00926763">
        <w:rPr>
          <w:rFonts w:cs="Segoe UI"/>
        </w:rPr>
        <w:t xml:space="preserve"> (MRFF)</w:t>
      </w:r>
      <w:r>
        <w:rPr>
          <w:rFonts w:cs="Segoe UI"/>
        </w:rPr>
        <w:t xml:space="preserve">) </w:t>
      </w:r>
    </w:p>
    <w:p w14:paraId="0EE0D0CD" w14:textId="77777777" w:rsidR="0084782E" w:rsidRPr="00D20132" w:rsidRDefault="0084782E" w:rsidP="00F20014">
      <w:pPr>
        <w:pStyle w:val="ListParagraph"/>
        <w:numPr>
          <w:ilvl w:val="1"/>
          <w:numId w:val="33"/>
        </w:numPr>
        <w:spacing w:before="0" w:after="160"/>
        <w:rPr>
          <w:rFonts w:cs="Segoe UI"/>
        </w:rPr>
      </w:pPr>
      <w:r>
        <w:rPr>
          <w:rFonts w:cs="Segoe UI"/>
        </w:rPr>
        <w:t xml:space="preserve">antimicrobial resistance </w:t>
      </w:r>
      <w:r w:rsidRPr="00D20132">
        <w:rPr>
          <w:rFonts w:cs="Segoe UI"/>
        </w:rPr>
        <w:t xml:space="preserve">surveillance information to identify emerging resistance to available treatments, and surveillance of vaccine preventable diseases </w:t>
      </w:r>
    </w:p>
    <w:p w14:paraId="61B703D0" w14:textId="77777777" w:rsidR="0084782E" w:rsidRPr="00D20132" w:rsidRDefault="0084782E" w:rsidP="00F20014">
      <w:pPr>
        <w:pStyle w:val="ListParagraph"/>
        <w:numPr>
          <w:ilvl w:val="0"/>
          <w:numId w:val="33"/>
        </w:numPr>
        <w:spacing w:before="0" w:after="160"/>
        <w:rPr>
          <w:rFonts w:cs="Segoe UI"/>
        </w:rPr>
      </w:pPr>
      <w:r>
        <w:rPr>
          <w:rFonts w:cs="Segoe UI"/>
        </w:rPr>
        <w:t>d</w:t>
      </w:r>
      <w:r w:rsidRPr="00D20132">
        <w:rPr>
          <w:rFonts w:cs="Segoe UI"/>
        </w:rPr>
        <w:t xml:space="preserve">evelop agreed processes </w:t>
      </w:r>
      <w:r>
        <w:rPr>
          <w:rFonts w:cs="Segoe UI"/>
        </w:rPr>
        <w:t xml:space="preserve">that </w:t>
      </w:r>
      <w:r w:rsidRPr="00D20132">
        <w:rPr>
          <w:rFonts w:cs="Segoe UI"/>
        </w:rPr>
        <w:t xml:space="preserve">support regular review </w:t>
      </w:r>
      <w:r>
        <w:rPr>
          <w:rFonts w:cs="Segoe UI"/>
        </w:rPr>
        <w:t xml:space="preserve">of </w:t>
      </w:r>
      <w:r w:rsidRPr="00D20132">
        <w:rPr>
          <w:rFonts w:cs="Segoe UI"/>
        </w:rPr>
        <w:t xml:space="preserve">and updates to criteria and therapeutic areas </w:t>
      </w:r>
    </w:p>
    <w:p w14:paraId="451A3D5F" w14:textId="77777777" w:rsidR="0084782E" w:rsidRPr="00D20132" w:rsidRDefault="0084782E" w:rsidP="00F20014">
      <w:pPr>
        <w:pStyle w:val="ListParagraph"/>
        <w:numPr>
          <w:ilvl w:val="0"/>
          <w:numId w:val="33"/>
        </w:numPr>
        <w:spacing w:before="0" w:after="160"/>
        <w:rPr>
          <w:rFonts w:cs="Segoe UI"/>
        </w:rPr>
      </w:pPr>
      <w:r>
        <w:rPr>
          <w:rFonts w:cs="Segoe UI"/>
        </w:rPr>
        <w:t>s</w:t>
      </w:r>
      <w:r w:rsidRPr="00D20132">
        <w:rPr>
          <w:rFonts w:cs="Segoe UI"/>
        </w:rPr>
        <w:t xml:space="preserve">upport a subset of the criteria being developed in partnership with </w:t>
      </w:r>
      <w:r>
        <w:rPr>
          <w:rFonts w:cs="Segoe UI"/>
        </w:rPr>
        <w:t xml:space="preserve">Aboriginal </w:t>
      </w:r>
      <w:r w:rsidDel="0012058D">
        <w:rPr>
          <w:rFonts w:cs="Segoe UI"/>
        </w:rPr>
        <w:t xml:space="preserve">and Torres Strait Islander </w:t>
      </w:r>
      <w:r>
        <w:rPr>
          <w:rFonts w:cs="Segoe UI"/>
        </w:rPr>
        <w:t>Community Controlled Health Services (</w:t>
      </w:r>
      <w:r w:rsidRPr="00D20132">
        <w:rPr>
          <w:rFonts w:cs="Segoe UI"/>
        </w:rPr>
        <w:t>ACCHSs</w:t>
      </w:r>
      <w:r>
        <w:rPr>
          <w:rFonts w:cs="Segoe UI"/>
        </w:rPr>
        <w:t>)</w:t>
      </w:r>
      <w:r w:rsidRPr="00D20132">
        <w:rPr>
          <w:rFonts w:cs="Segoe UI"/>
        </w:rPr>
        <w:t xml:space="preserve"> to identify priority areas of </w:t>
      </w:r>
      <w:r>
        <w:rPr>
          <w:rFonts w:cs="Segoe UI"/>
        </w:rPr>
        <w:t>HUCN</w:t>
      </w:r>
      <w:r w:rsidRPr="00D20132">
        <w:rPr>
          <w:rFonts w:cs="Segoe UI"/>
        </w:rPr>
        <w:t xml:space="preserve"> for First Nations people, in line with the priority reforms under the </w:t>
      </w:r>
      <w:hyperlink r:id="rId14" w:history="1">
        <w:r w:rsidRPr="00D20132">
          <w:rPr>
            <w:rStyle w:val="Hyperlink"/>
            <w:rFonts w:cs="Segoe UI"/>
          </w:rPr>
          <w:t xml:space="preserve">National </w:t>
        </w:r>
        <w:r>
          <w:rPr>
            <w:rStyle w:val="Hyperlink"/>
            <w:rFonts w:cs="Segoe UI"/>
          </w:rPr>
          <w:t xml:space="preserve">Agreement on </w:t>
        </w:r>
        <w:r w:rsidRPr="00D20132">
          <w:rPr>
            <w:rStyle w:val="Hyperlink"/>
            <w:rFonts w:cs="Segoe UI"/>
          </w:rPr>
          <w:t>Closing the Gap</w:t>
        </w:r>
      </w:hyperlink>
      <w:r w:rsidRPr="00D20132">
        <w:rPr>
          <w:rFonts w:cs="Segoe UI"/>
        </w:rPr>
        <w:t xml:space="preserve"> between all governments and the Coalition of Peaks. </w:t>
      </w:r>
    </w:p>
    <w:p w14:paraId="1AB13430" w14:textId="77777777" w:rsidR="0084782E" w:rsidRPr="00D20132" w:rsidRDefault="0084782E" w:rsidP="00484B58">
      <w:pPr>
        <w:pStyle w:val="Recommendation1"/>
      </w:pPr>
      <w:bookmarkStart w:id="71" w:name="_Hlk167302625"/>
      <w:r w:rsidRPr="00D20132">
        <w:t xml:space="preserve">Identifying therapies to address </w:t>
      </w:r>
      <w:r>
        <w:t>t</w:t>
      </w:r>
      <w:r w:rsidRPr="00D20132">
        <w:t xml:space="preserve">herapeutic </w:t>
      </w:r>
      <w:r>
        <w:t>a</w:t>
      </w:r>
      <w:r w:rsidRPr="00D20132">
        <w:t>reas</w:t>
      </w:r>
      <w:r>
        <w:t xml:space="preserve"> of high unmet clinical need</w:t>
      </w:r>
      <w:r w:rsidRPr="00D20132">
        <w:t xml:space="preserve"> </w:t>
      </w:r>
      <w:bookmarkEnd w:id="71"/>
    </w:p>
    <w:p w14:paraId="1B2BE4A4" w14:textId="77777777" w:rsidR="0084782E" w:rsidRPr="00D20132" w:rsidRDefault="0084782E" w:rsidP="00011261">
      <w:r w:rsidRPr="00405FD7">
        <w:t xml:space="preserve">The Review recommends </w:t>
      </w:r>
      <w:r>
        <w:t xml:space="preserve">that </w:t>
      </w:r>
      <w:r w:rsidRPr="00405FD7">
        <w:t>the Australian Government</w:t>
      </w:r>
      <w:r w:rsidRPr="00D20132">
        <w:t>:</w:t>
      </w:r>
    </w:p>
    <w:p w14:paraId="7DEF1AD3" w14:textId="77777777" w:rsidR="0084782E" w:rsidRPr="00D20132" w:rsidRDefault="0084782E" w:rsidP="00F20014">
      <w:pPr>
        <w:pStyle w:val="ListParagraph"/>
        <w:numPr>
          <w:ilvl w:val="0"/>
          <w:numId w:val="34"/>
        </w:numPr>
        <w:spacing w:before="0" w:after="0"/>
        <w:rPr>
          <w:rFonts w:cs="Segoe UI"/>
        </w:rPr>
      </w:pPr>
      <w:r>
        <w:rPr>
          <w:rFonts w:cs="Segoe UI"/>
        </w:rPr>
        <w:t>d</w:t>
      </w:r>
      <w:r w:rsidRPr="00D20132">
        <w:rPr>
          <w:rFonts w:cs="Segoe UI"/>
        </w:rPr>
        <w:t xml:space="preserve">evelop a process consistent with the principles of horizon scanning (see </w:t>
      </w:r>
      <w:r w:rsidRPr="00F73B01">
        <w:rPr>
          <w:rFonts w:cs="Segoe UI"/>
        </w:rPr>
        <w:t>Chapter 9.2</w:t>
      </w:r>
      <w:r w:rsidRPr="00D20132">
        <w:rPr>
          <w:rFonts w:cs="Segoe UI"/>
        </w:rPr>
        <w:t>)</w:t>
      </w:r>
      <w:r w:rsidRPr="00D20132" w:rsidDel="00062AC1">
        <w:rPr>
          <w:rFonts w:cs="Segoe UI"/>
        </w:rPr>
        <w:t xml:space="preserve"> </w:t>
      </w:r>
      <w:r w:rsidRPr="00D20132">
        <w:rPr>
          <w:rFonts w:cs="Segoe UI"/>
        </w:rPr>
        <w:t xml:space="preserve">for identifying therapies with the potential to be </w:t>
      </w:r>
      <w:r>
        <w:rPr>
          <w:rFonts w:cs="Segoe UI"/>
        </w:rPr>
        <w:t>high added therapeutic value</w:t>
      </w:r>
      <w:r w:rsidRPr="00D20132">
        <w:rPr>
          <w:rFonts w:cs="Segoe UI"/>
        </w:rPr>
        <w:t xml:space="preserve"> for therapeutic areas</w:t>
      </w:r>
      <w:r>
        <w:rPr>
          <w:rFonts w:cs="Segoe UI"/>
        </w:rPr>
        <w:t xml:space="preserve"> of high unmet clinical need (HUCN)</w:t>
      </w:r>
      <w:r w:rsidRPr="00D20132">
        <w:rPr>
          <w:rFonts w:cs="Segoe UI"/>
        </w:rPr>
        <w:t>, including:</w:t>
      </w:r>
    </w:p>
    <w:p w14:paraId="58E51A25" w14:textId="77777777" w:rsidR="0084782E" w:rsidRPr="00D20132" w:rsidRDefault="0084782E" w:rsidP="00F20014">
      <w:pPr>
        <w:pStyle w:val="ListParagraph"/>
        <w:numPr>
          <w:ilvl w:val="1"/>
          <w:numId w:val="33"/>
        </w:numPr>
        <w:spacing w:before="0" w:after="160"/>
      </w:pPr>
      <w:r w:rsidRPr="00D20132">
        <w:t>new therapies that may not be available in Australia</w:t>
      </w:r>
    </w:p>
    <w:p w14:paraId="6828E344" w14:textId="77777777" w:rsidR="0084782E" w:rsidRPr="00D20132" w:rsidRDefault="0084782E" w:rsidP="00F20014">
      <w:pPr>
        <w:pStyle w:val="ListParagraph"/>
        <w:numPr>
          <w:ilvl w:val="1"/>
          <w:numId w:val="33"/>
        </w:numPr>
        <w:spacing w:before="0" w:after="160"/>
      </w:pPr>
      <w:r>
        <w:t>e</w:t>
      </w:r>
      <w:r w:rsidRPr="00D20132">
        <w:t xml:space="preserve">xisting therapies </w:t>
      </w:r>
      <w:r>
        <w:t>with</w:t>
      </w:r>
      <w:r w:rsidRPr="00D20132">
        <w:t xml:space="preserve"> initial evidence </w:t>
      </w:r>
      <w:r>
        <w:t xml:space="preserve">that </w:t>
      </w:r>
      <w:r w:rsidRPr="00D20132">
        <w:t>they could be repurposed for new indications</w:t>
      </w:r>
    </w:p>
    <w:p w14:paraId="03A3A224" w14:textId="77777777" w:rsidR="0084782E" w:rsidRPr="00D20132" w:rsidRDefault="0084782E" w:rsidP="00F20014">
      <w:pPr>
        <w:pStyle w:val="ListParagraph"/>
        <w:numPr>
          <w:ilvl w:val="1"/>
          <w:numId w:val="33"/>
        </w:numPr>
        <w:spacing w:before="0" w:after="160"/>
      </w:pPr>
      <w:r>
        <w:t>e</w:t>
      </w:r>
      <w:r w:rsidRPr="00D20132">
        <w:t xml:space="preserve">xisting therapies </w:t>
      </w:r>
      <w:r>
        <w:t>with</w:t>
      </w:r>
      <w:r w:rsidRPr="00D20132">
        <w:t xml:space="preserve"> initial evidence that changes to an existing restriction</w:t>
      </w:r>
      <w:r>
        <w:t xml:space="preserve"> and</w:t>
      </w:r>
      <w:r w:rsidRPr="00D20132">
        <w:t>/</w:t>
      </w:r>
      <w:r>
        <w:t xml:space="preserve">or </w:t>
      </w:r>
      <w:r w:rsidRPr="00D20132">
        <w:t xml:space="preserve">authority may address </w:t>
      </w:r>
      <w:r>
        <w:t>HUCN</w:t>
      </w:r>
      <w:r w:rsidRPr="00D20132">
        <w:t xml:space="preserve"> and/or significant health inequity </w:t>
      </w:r>
    </w:p>
    <w:p w14:paraId="2733D073" w14:textId="510FDEB0" w:rsidR="0084782E" w:rsidRPr="0004739F" w:rsidRDefault="0084782E" w:rsidP="0004739F">
      <w:pPr>
        <w:pStyle w:val="ListParagraph"/>
        <w:numPr>
          <w:ilvl w:val="1"/>
          <w:numId w:val="33"/>
        </w:numPr>
        <w:spacing w:before="0" w:after="160"/>
        <w:rPr>
          <w:rFonts w:cs="Segoe UI"/>
        </w:rPr>
      </w:pPr>
      <w:r>
        <w:rPr>
          <w:rFonts w:cs="Segoe UI"/>
        </w:rPr>
        <w:t>i</w:t>
      </w:r>
      <w:r w:rsidRPr="00D20132">
        <w:rPr>
          <w:rFonts w:cs="Segoe UI"/>
        </w:rPr>
        <w:t>ncludes in this process a mechanism for partner</w:t>
      </w:r>
      <w:r>
        <w:rPr>
          <w:rFonts w:cs="Segoe UI"/>
        </w:rPr>
        <w:t>ing</w:t>
      </w:r>
      <w:r w:rsidRPr="00D20132">
        <w:rPr>
          <w:rFonts w:cs="Segoe UI"/>
        </w:rPr>
        <w:t xml:space="preserve"> with </w:t>
      </w:r>
      <w:r>
        <w:rPr>
          <w:rFonts w:cs="Segoe UI"/>
        </w:rPr>
        <w:t>Aboriginal Community Controlled Health Services (</w:t>
      </w:r>
      <w:r w:rsidRPr="00D20132">
        <w:rPr>
          <w:rFonts w:cs="Segoe UI"/>
        </w:rPr>
        <w:t>ACCHSs</w:t>
      </w:r>
      <w:r>
        <w:rPr>
          <w:rFonts w:cs="Segoe UI"/>
        </w:rPr>
        <w:t>)</w:t>
      </w:r>
      <w:r w:rsidRPr="00D20132">
        <w:rPr>
          <w:rFonts w:cs="Segoe UI"/>
        </w:rPr>
        <w:t xml:space="preserve"> to ensure First Nations population health outcomes and health equity are appropriately reflected. </w:t>
      </w:r>
    </w:p>
    <w:p w14:paraId="09D0A386" w14:textId="77777777" w:rsidR="0084782E" w:rsidRPr="00D20132" w:rsidRDefault="0084782E" w:rsidP="00484B58">
      <w:pPr>
        <w:pStyle w:val="Recommendation1"/>
      </w:pPr>
      <w:bookmarkStart w:id="72" w:name="_Ref164783637"/>
      <w:bookmarkStart w:id="73" w:name="_Hlk167302634"/>
      <w:r w:rsidRPr="00D20132">
        <w:t xml:space="preserve">Proactive pre-HTA processes supporting </w:t>
      </w:r>
      <w:r>
        <w:t xml:space="preserve">the </w:t>
      </w:r>
      <w:r w:rsidRPr="00D20132">
        <w:t xml:space="preserve">introduction of identified health technologies for </w:t>
      </w:r>
      <w:r>
        <w:t>high unmet clinical need</w:t>
      </w:r>
      <w:bookmarkEnd w:id="72"/>
    </w:p>
    <w:bookmarkEnd w:id="73"/>
    <w:p w14:paraId="241DF3B2" w14:textId="77777777" w:rsidR="0084782E" w:rsidRPr="00D20132" w:rsidRDefault="0084782E" w:rsidP="00011261">
      <w:r w:rsidRPr="00D20132">
        <w:t xml:space="preserve">The </w:t>
      </w:r>
      <w:r>
        <w:t>Review</w:t>
      </w:r>
      <w:r w:rsidRPr="00D20132">
        <w:t xml:space="preserve"> recommends</w:t>
      </w:r>
      <w:r>
        <w:t xml:space="preserve"> that</w:t>
      </w:r>
      <w:r w:rsidRPr="00D20132">
        <w:t xml:space="preserve"> the Australian Government:</w:t>
      </w:r>
    </w:p>
    <w:p w14:paraId="2C1AA6FE" w14:textId="739661D4" w:rsidR="0084782E" w:rsidRPr="00D20132" w:rsidRDefault="0084782E" w:rsidP="00F20014">
      <w:pPr>
        <w:pStyle w:val="ListParagraph"/>
        <w:numPr>
          <w:ilvl w:val="0"/>
          <w:numId w:val="35"/>
        </w:numPr>
        <w:spacing w:before="0" w:after="0"/>
        <w:rPr>
          <w:rFonts w:cs="Segoe UI"/>
        </w:rPr>
      </w:pPr>
      <w:r>
        <w:rPr>
          <w:rFonts w:cs="Segoe UI"/>
        </w:rPr>
        <w:t>e</w:t>
      </w:r>
      <w:r w:rsidRPr="00D20132">
        <w:rPr>
          <w:rFonts w:cs="Segoe UI"/>
        </w:rPr>
        <w:t>stablish processes that facilitate proactive dialogue between stakeholders to support the timely development and lodgement of HTA submission</w:t>
      </w:r>
      <w:r>
        <w:rPr>
          <w:rFonts w:cs="Segoe UI"/>
        </w:rPr>
        <w:t>s</w:t>
      </w:r>
      <w:r w:rsidRPr="00D20132">
        <w:rPr>
          <w:rFonts w:cs="Segoe UI"/>
        </w:rPr>
        <w:t xml:space="preserve"> for </w:t>
      </w:r>
      <w:r>
        <w:rPr>
          <w:rFonts w:cs="Segoe UI"/>
        </w:rPr>
        <w:t xml:space="preserve">health technologies </w:t>
      </w:r>
      <w:r w:rsidRPr="00D20132">
        <w:rPr>
          <w:rFonts w:cs="Segoe UI"/>
        </w:rPr>
        <w:t xml:space="preserve">that meet the relevant eligibility criteria. </w:t>
      </w:r>
      <w:r>
        <w:rPr>
          <w:rFonts w:cs="Segoe UI"/>
        </w:rPr>
        <w:t xml:space="preserve">Health technologies discussed would be nominated in </w:t>
      </w:r>
      <w:r w:rsidRPr="00D20132">
        <w:rPr>
          <w:rFonts w:cs="Segoe UI"/>
        </w:rPr>
        <w:t>consultation with clinician</w:t>
      </w:r>
      <w:r>
        <w:rPr>
          <w:rFonts w:cs="Segoe UI"/>
        </w:rPr>
        <w:t xml:space="preserve"> and consumer </w:t>
      </w:r>
      <w:r w:rsidRPr="00D20132">
        <w:rPr>
          <w:rFonts w:cs="Segoe UI"/>
        </w:rPr>
        <w:lastRenderedPageBreak/>
        <w:t>stakeholders</w:t>
      </w:r>
      <w:r>
        <w:rPr>
          <w:rFonts w:cs="Segoe UI"/>
        </w:rPr>
        <w:t xml:space="preserve"> after being identified through </w:t>
      </w:r>
      <w:r w:rsidRPr="00D20132">
        <w:rPr>
          <w:rFonts w:cs="Segoe UI"/>
        </w:rPr>
        <w:t xml:space="preserve">the horizon scanning process and </w:t>
      </w:r>
      <w:r>
        <w:rPr>
          <w:rFonts w:cs="Segoe UI"/>
        </w:rPr>
        <w:t xml:space="preserve">the </w:t>
      </w:r>
      <w:r w:rsidRPr="00D20132">
        <w:rPr>
          <w:rFonts w:cs="Segoe UI"/>
        </w:rPr>
        <w:t>resulting outputs of the process</w:t>
      </w:r>
      <w:r>
        <w:rPr>
          <w:rFonts w:cs="Segoe UI"/>
        </w:rPr>
        <w:t xml:space="preserve"> (see</w:t>
      </w:r>
      <w:r w:rsidRPr="003336C7">
        <w:rPr>
          <w:rFonts w:cs="Segoe UI"/>
        </w:rPr>
        <w:t xml:space="preserve"> </w:t>
      </w:r>
      <w:r>
        <w:rPr>
          <w:rFonts w:cs="Segoe UI"/>
        </w:rPr>
        <w:t>‘</w:t>
      </w:r>
      <w:r w:rsidRPr="003336C7">
        <w:rPr>
          <w:rFonts w:cs="Segoe UI"/>
        </w:rPr>
        <w:fldChar w:fldCharType="begin" w:fldLock="1"/>
      </w:r>
      <w:r w:rsidRPr="003336C7">
        <w:rPr>
          <w:rFonts w:cs="Segoe UI"/>
        </w:rPr>
        <w:instrText xml:space="preserve"> REF _Ref166783377 \r \h </w:instrText>
      </w:r>
      <w:r>
        <w:rPr>
          <w:rFonts w:cs="Segoe UI"/>
        </w:rPr>
        <w:instrText xml:space="preserve"> \* MERGEFORMAT </w:instrText>
      </w:r>
      <w:r w:rsidRPr="003336C7">
        <w:rPr>
          <w:rFonts w:cs="Segoe UI"/>
        </w:rPr>
      </w:r>
      <w:r w:rsidRPr="003336C7">
        <w:rPr>
          <w:rFonts w:cs="Segoe UI"/>
        </w:rPr>
        <w:fldChar w:fldCharType="separate"/>
      </w:r>
      <w:r w:rsidRPr="003336C7">
        <w:rPr>
          <w:rFonts w:cs="Segoe UI"/>
        </w:rPr>
        <w:t>Recommendation 44</w:t>
      </w:r>
      <w:r w:rsidRPr="003336C7">
        <w:rPr>
          <w:rFonts w:cs="Segoe UI"/>
        </w:rPr>
        <w:fldChar w:fldCharType="end"/>
      </w:r>
      <w:r>
        <w:rPr>
          <w:rFonts w:cs="Segoe UI"/>
        </w:rPr>
        <w:t>.</w:t>
      </w:r>
      <w:r w:rsidRPr="00257470">
        <w:rPr>
          <w:rFonts w:cs="Segoe UI"/>
        </w:rPr>
        <w:t xml:space="preserve"> </w:t>
      </w:r>
      <w:r w:rsidRPr="00B61FDC">
        <w:rPr>
          <w:rFonts w:cs="Segoe UI"/>
          <w:iCs/>
        </w:rPr>
        <w:t>Identifying therapeutic areas of high unmet clinical need</w:t>
      </w:r>
      <w:r>
        <w:rPr>
          <w:rFonts w:cs="Segoe UI"/>
          <w:iCs/>
        </w:rPr>
        <w:t>’</w:t>
      </w:r>
      <w:r w:rsidRPr="00B61FDC">
        <w:rPr>
          <w:rFonts w:cs="Segoe UI"/>
          <w:iCs/>
        </w:rPr>
        <w:t>)</w:t>
      </w:r>
      <w:r w:rsidRPr="00D20132">
        <w:rPr>
          <w:rFonts w:cs="Segoe UI"/>
        </w:rPr>
        <w:t xml:space="preserve"> </w:t>
      </w:r>
    </w:p>
    <w:p w14:paraId="15852203" w14:textId="77777777" w:rsidR="0084782E" w:rsidRPr="00D20132" w:rsidRDefault="0084782E" w:rsidP="00F20014">
      <w:pPr>
        <w:pStyle w:val="ListParagraph"/>
        <w:numPr>
          <w:ilvl w:val="0"/>
          <w:numId w:val="35"/>
        </w:numPr>
        <w:spacing w:before="0" w:after="0"/>
        <w:rPr>
          <w:rFonts w:cs="Segoe UI"/>
        </w:rPr>
      </w:pPr>
      <w:r>
        <w:rPr>
          <w:rFonts w:cs="Segoe UI"/>
        </w:rPr>
        <w:t>c</w:t>
      </w:r>
      <w:r w:rsidRPr="00D20132">
        <w:rPr>
          <w:rFonts w:cs="Segoe UI"/>
        </w:rPr>
        <w:t>onsult on, develop and apply (as appropriate) incentives that will support the development and lodgement of HTA submission</w:t>
      </w:r>
      <w:r>
        <w:rPr>
          <w:rFonts w:cs="Segoe UI"/>
        </w:rPr>
        <w:t>s</w:t>
      </w:r>
      <w:r w:rsidRPr="00D20132">
        <w:rPr>
          <w:rFonts w:cs="Segoe UI"/>
        </w:rPr>
        <w:t xml:space="preserve"> for these therapies, including (but not limited to):</w:t>
      </w:r>
    </w:p>
    <w:p w14:paraId="2F76885C" w14:textId="0C6D8575" w:rsidR="0084782E" w:rsidRPr="00D20132" w:rsidRDefault="0084782E" w:rsidP="00F20014">
      <w:pPr>
        <w:pStyle w:val="ListParagraph"/>
        <w:numPr>
          <w:ilvl w:val="1"/>
          <w:numId w:val="72"/>
        </w:numPr>
        <w:spacing w:before="0" w:after="160"/>
      </w:pPr>
      <w:r w:rsidRPr="00D20132">
        <w:t>facilitated</w:t>
      </w:r>
      <w:r>
        <w:t xml:space="preserve"> Population, Intervention, Comparator, and Outcomes</w:t>
      </w:r>
      <w:r w:rsidRPr="00D20132" w:rsidDel="00062AC1">
        <w:t xml:space="preserve"> </w:t>
      </w:r>
      <w:r w:rsidR="00AD6F9F">
        <w:t xml:space="preserve">(PICO) </w:t>
      </w:r>
      <w:r w:rsidRPr="00D20132">
        <w:t>scoping and development</w:t>
      </w:r>
    </w:p>
    <w:p w14:paraId="7159FEE5" w14:textId="77777777" w:rsidR="0084782E" w:rsidRPr="00D20132" w:rsidRDefault="0084782E" w:rsidP="00F20014">
      <w:pPr>
        <w:pStyle w:val="ListParagraph"/>
        <w:numPr>
          <w:ilvl w:val="1"/>
          <w:numId w:val="72"/>
        </w:numPr>
        <w:spacing w:before="0" w:after="160"/>
      </w:pPr>
      <w:r w:rsidRPr="00D20132">
        <w:t xml:space="preserve">fee waivers </w:t>
      </w:r>
    </w:p>
    <w:p w14:paraId="2494905A" w14:textId="77777777" w:rsidR="0084782E" w:rsidRPr="00D20132" w:rsidRDefault="0084782E" w:rsidP="00F20014">
      <w:pPr>
        <w:pStyle w:val="ListParagraph"/>
        <w:numPr>
          <w:ilvl w:val="1"/>
          <w:numId w:val="72"/>
        </w:numPr>
        <w:spacing w:before="0" w:after="160"/>
      </w:pPr>
      <w:r w:rsidRPr="00D20132">
        <w:t>case management support</w:t>
      </w:r>
    </w:p>
    <w:p w14:paraId="72729B98" w14:textId="77777777" w:rsidR="0084782E" w:rsidRPr="00D20132" w:rsidRDefault="0084782E" w:rsidP="00F20014">
      <w:pPr>
        <w:pStyle w:val="ListParagraph"/>
        <w:numPr>
          <w:ilvl w:val="1"/>
          <w:numId w:val="72"/>
        </w:numPr>
        <w:spacing w:before="0" w:after="160"/>
      </w:pPr>
      <w:r w:rsidRPr="00D20132">
        <w:t>prioritised pathway access (through proposed new proportiona</w:t>
      </w:r>
      <w:r>
        <w:t>te</w:t>
      </w:r>
      <w:r w:rsidRPr="00D20132">
        <w:t xml:space="preserve"> HTA pathways)</w:t>
      </w:r>
    </w:p>
    <w:p w14:paraId="31C7FA53" w14:textId="77777777" w:rsidR="0084782E" w:rsidRPr="00D20132" w:rsidRDefault="0084782E" w:rsidP="00F20014">
      <w:pPr>
        <w:pStyle w:val="ListParagraph"/>
        <w:numPr>
          <w:ilvl w:val="1"/>
          <w:numId w:val="72"/>
        </w:numPr>
        <w:spacing w:before="0" w:after="160"/>
      </w:pPr>
      <w:r w:rsidRPr="00D20132">
        <w:t xml:space="preserve">potential for access to bridging funding programs (subject to HTA </w:t>
      </w:r>
      <w:r>
        <w:t xml:space="preserve">advisory </w:t>
      </w:r>
      <w:r w:rsidRPr="00D20132">
        <w:t>committee recommendation)</w:t>
      </w:r>
    </w:p>
    <w:p w14:paraId="5FDB0F67" w14:textId="60A588DB" w:rsidR="0084782E" w:rsidRPr="00D20132" w:rsidRDefault="0084782E" w:rsidP="00F20014">
      <w:pPr>
        <w:pStyle w:val="ListParagraph"/>
        <w:numPr>
          <w:ilvl w:val="1"/>
          <w:numId w:val="72"/>
        </w:numPr>
        <w:spacing w:before="0" w:after="160"/>
      </w:pPr>
      <w:r w:rsidRPr="00D20132">
        <w:t>data exclusivity arrangements (where applicable)</w:t>
      </w:r>
      <w:r w:rsidR="00AD6F9F">
        <w:t>.</w:t>
      </w:r>
    </w:p>
    <w:p w14:paraId="71EAC6AB" w14:textId="77777777" w:rsidR="0084782E" w:rsidRPr="00D20132" w:rsidRDefault="0084782E" w:rsidP="00F20014">
      <w:pPr>
        <w:pStyle w:val="ListParagraph"/>
        <w:numPr>
          <w:ilvl w:val="0"/>
          <w:numId w:val="35"/>
        </w:numPr>
        <w:spacing w:before="240" w:after="0"/>
        <w:rPr>
          <w:rFonts w:cs="Segoe UI"/>
        </w:rPr>
      </w:pPr>
      <w:r>
        <w:rPr>
          <w:rFonts w:cs="Segoe UI"/>
        </w:rPr>
        <w:t>e</w:t>
      </w:r>
      <w:r w:rsidRPr="00D20132">
        <w:rPr>
          <w:rFonts w:cs="Segoe UI"/>
        </w:rPr>
        <w:t>stablish process protocols for sponsors with identified health technologies to:</w:t>
      </w:r>
    </w:p>
    <w:p w14:paraId="56D48FAC" w14:textId="77777777" w:rsidR="0084782E" w:rsidRPr="00D20132" w:rsidRDefault="0084782E" w:rsidP="00F20014">
      <w:pPr>
        <w:pStyle w:val="ListParagraph"/>
        <w:numPr>
          <w:ilvl w:val="1"/>
          <w:numId w:val="35"/>
        </w:numPr>
        <w:spacing w:before="0" w:after="0"/>
        <w:rPr>
          <w:rFonts w:cs="Segoe UI"/>
        </w:rPr>
      </w:pPr>
      <w:r w:rsidRPr="00D20132">
        <w:rPr>
          <w:rFonts w:cs="Segoe UI"/>
        </w:rPr>
        <w:t>notify their intention to prepare submissions to the</w:t>
      </w:r>
      <w:r>
        <w:rPr>
          <w:rFonts w:cs="Segoe UI"/>
        </w:rPr>
        <w:t xml:space="preserve"> Pharmaceutical Benefits Advisory Committee (PBAC)</w:t>
      </w:r>
      <w:r w:rsidRPr="00D20132">
        <w:rPr>
          <w:rFonts w:cs="Segoe UI"/>
        </w:rPr>
        <w:t xml:space="preserve"> </w:t>
      </w:r>
      <w:r w:rsidDel="00062AC1">
        <w:rPr>
          <w:rFonts w:cs="Segoe UI"/>
        </w:rPr>
        <w:t>(</w:t>
      </w:r>
      <w:r w:rsidRPr="00D20132">
        <w:rPr>
          <w:rFonts w:cs="Segoe UI"/>
        </w:rPr>
        <w:t xml:space="preserve">and application to the </w:t>
      </w:r>
      <w:r>
        <w:rPr>
          <w:rFonts w:cs="Segoe UI"/>
        </w:rPr>
        <w:t xml:space="preserve">Therapeutic Goods Administration (TGA), </w:t>
      </w:r>
      <w:r w:rsidRPr="00D20132">
        <w:rPr>
          <w:rFonts w:cs="Segoe UI"/>
        </w:rPr>
        <w:t>if applicable) within a predefined</w:t>
      </w:r>
      <w:r w:rsidRPr="00D20132" w:rsidDel="00062AC1">
        <w:rPr>
          <w:rFonts w:cs="Segoe UI"/>
        </w:rPr>
        <w:t xml:space="preserve"> </w:t>
      </w:r>
      <w:r w:rsidRPr="00D20132">
        <w:rPr>
          <w:rFonts w:cs="Segoe UI"/>
        </w:rPr>
        <w:t>period after official invitation by the Australian Government (to be determined in consultation with stakeholders)</w:t>
      </w:r>
    </w:p>
    <w:p w14:paraId="33989593" w14:textId="77777777" w:rsidR="0084782E" w:rsidRDefault="0084782E" w:rsidP="00F20014">
      <w:pPr>
        <w:pStyle w:val="ListParagraph"/>
        <w:numPr>
          <w:ilvl w:val="1"/>
          <w:numId w:val="35"/>
        </w:numPr>
        <w:spacing w:before="0" w:after="0"/>
        <w:rPr>
          <w:rFonts w:cs="Segoe UI"/>
        </w:rPr>
      </w:pPr>
      <w:r w:rsidRPr="00D20132">
        <w:rPr>
          <w:rFonts w:cs="Segoe UI"/>
        </w:rPr>
        <w:t xml:space="preserve">submit and publish project plans detailing the timing of key milestones supporting the preparation and lodgement of HTA submissions for the health </w:t>
      </w:r>
      <w:r w:rsidRPr="6CC68A72">
        <w:rPr>
          <w:rFonts w:cs="Segoe UI"/>
        </w:rPr>
        <w:t>technology</w:t>
      </w:r>
      <w:r w:rsidRPr="00D20132">
        <w:rPr>
          <w:rFonts w:cs="Segoe UI"/>
        </w:rPr>
        <w:t>(</w:t>
      </w:r>
      <w:bookmarkStart w:id="74" w:name="_Int_BlOzfHcq"/>
      <w:proofErr w:type="spellStart"/>
      <w:r w:rsidRPr="00D20132">
        <w:rPr>
          <w:rFonts w:cs="Segoe UI"/>
        </w:rPr>
        <w:t>ies</w:t>
      </w:r>
      <w:bookmarkEnd w:id="74"/>
      <w:proofErr w:type="spellEnd"/>
      <w:r w:rsidRPr="00D20132">
        <w:rPr>
          <w:rFonts w:cs="Segoe UI"/>
        </w:rPr>
        <w:t>)</w:t>
      </w:r>
    </w:p>
    <w:p w14:paraId="796C7D07" w14:textId="77777777" w:rsidR="0084782E" w:rsidRPr="0084782E" w:rsidRDefault="0084782E" w:rsidP="00F20014">
      <w:pPr>
        <w:pStyle w:val="ListParagraph"/>
        <w:numPr>
          <w:ilvl w:val="0"/>
          <w:numId w:val="35"/>
        </w:numPr>
        <w:spacing w:before="240" w:after="0" w:line="276" w:lineRule="auto"/>
        <w:rPr>
          <w:rFonts w:cs="Segoe UI"/>
          <w:i/>
          <w:iCs/>
        </w:rPr>
      </w:pPr>
      <w:r>
        <w:rPr>
          <w:rFonts w:cs="Segoe UI"/>
        </w:rPr>
        <w:t>i</w:t>
      </w:r>
      <w:r w:rsidRPr="00332B7E">
        <w:rPr>
          <w:rFonts w:cs="Segoe UI"/>
        </w:rPr>
        <w:t xml:space="preserve">n cases </w:t>
      </w:r>
      <w:r w:rsidRPr="0048026D">
        <w:rPr>
          <w:rFonts w:cs="Segoe UI"/>
        </w:rPr>
        <w:t>where market incentives do not attract submissions for therapies for high unmet clinical need</w:t>
      </w:r>
      <w:r>
        <w:rPr>
          <w:rFonts w:cs="Segoe UI"/>
        </w:rPr>
        <w:t xml:space="preserve"> (HUCN)</w:t>
      </w:r>
      <w:r w:rsidRPr="0048026D">
        <w:rPr>
          <w:rFonts w:cs="Segoe UI"/>
        </w:rPr>
        <w:t xml:space="preserve">, consult with </w:t>
      </w:r>
      <w:r>
        <w:rPr>
          <w:rFonts w:cs="Segoe UI"/>
        </w:rPr>
        <w:t>stakeholders</w:t>
      </w:r>
      <w:r w:rsidRPr="0048026D">
        <w:rPr>
          <w:rFonts w:cs="Segoe UI"/>
        </w:rPr>
        <w:t xml:space="preserve"> on potential mechanisms to support registration and access.</w:t>
      </w:r>
    </w:p>
    <w:p w14:paraId="63C56DCE" w14:textId="77777777" w:rsidR="00011261" w:rsidRPr="00072EC2" w:rsidRDefault="00011261" w:rsidP="00484B58">
      <w:pPr>
        <w:pStyle w:val="Recommendation1"/>
      </w:pPr>
      <w:bookmarkStart w:id="75" w:name="_Hlk167302655"/>
      <w:r w:rsidRPr="00072EC2">
        <w:t xml:space="preserve">Horizon </w:t>
      </w:r>
      <w:r>
        <w:t>s</w:t>
      </w:r>
      <w:r w:rsidRPr="00072EC2">
        <w:t>canning</w:t>
      </w:r>
    </w:p>
    <w:bookmarkEnd w:id="75"/>
    <w:p w14:paraId="28125C9E" w14:textId="77777777" w:rsidR="00011261" w:rsidRPr="00405FD7" w:rsidRDefault="00011261" w:rsidP="00011261">
      <w:r w:rsidRPr="00405FD7">
        <w:t xml:space="preserve">The Review recommends </w:t>
      </w:r>
      <w:r>
        <w:t xml:space="preserve">that </w:t>
      </w:r>
      <w:r w:rsidRPr="00405FD7">
        <w:t>the Australian Government:</w:t>
      </w:r>
    </w:p>
    <w:p w14:paraId="6377D8A3" w14:textId="77777777" w:rsidR="00011261" w:rsidRPr="00D20132" w:rsidRDefault="00011261" w:rsidP="00F20014">
      <w:pPr>
        <w:pStyle w:val="ListParagraph"/>
        <w:numPr>
          <w:ilvl w:val="0"/>
          <w:numId w:val="36"/>
        </w:numPr>
        <w:spacing w:before="0" w:after="160"/>
        <w:rPr>
          <w:rFonts w:cs="Segoe UI"/>
        </w:rPr>
      </w:pPr>
      <w:r w:rsidRPr="00D20132">
        <w:rPr>
          <w:rFonts w:cs="Segoe UI"/>
        </w:rPr>
        <w:t>establish an Australian horizon scanning function that supports the broad principles of:</w:t>
      </w:r>
    </w:p>
    <w:p w14:paraId="07BECABF" w14:textId="77777777" w:rsidR="00011261" w:rsidRPr="00D20132" w:rsidRDefault="00011261" w:rsidP="00F20014">
      <w:pPr>
        <w:pStyle w:val="ListParagraph"/>
        <w:numPr>
          <w:ilvl w:val="1"/>
          <w:numId w:val="36"/>
        </w:numPr>
        <w:spacing w:before="0" w:after="160"/>
        <w:rPr>
          <w:rFonts w:cs="Segoe UI"/>
        </w:rPr>
      </w:pPr>
      <w:r>
        <w:rPr>
          <w:rFonts w:cs="Segoe UI"/>
        </w:rPr>
        <w:t>i</w:t>
      </w:r>
      <w:r w:rsidRPr="00D20132">
        <w:rPr>
          <w:rFonts w:cs="Segoe UI"/>
        </w:rPr>
        <w:t xml:space="preserve">mproving the quality of </w:t>
      </w:r>
      <w:r w:rsidRPr="002A2548">
        <w:rPr>
          <w:rFonts w:cs="Segoe UI"/>
        </w:rPr>
        <w:t>HTA</w:t>
      </w:r>
      <w:r>
        <w:rPr>
          <w:rFonts w:cs="Segoe UI"/>
        </w:rPr>
        <w:t>s</w:t>
      </w:r>
      <w:r w:rsidRPr="00D20132">
        <w:rPr>
          <w:rFonts w:cs="Segoe UI"/>
        </w:rPr>
        <w:t>, health policy and stakeholder engagement arrangements when considering the implications of new and emerging health technologies</w:t>
      </w:r>
    </w:p>
    <w:p w14:paraId="3D74B995" w14:textId="77777777" w:rsidR="00011261" w:rsidRPr="00D20132" w:rsidRDefault="00011261" w:rsidP="00F20014">
      <w:pPr>
        <w:pStyle w:val="ListParagraph"/>
        <w:numPr>
          <w:ilvl w:val="1"/>
          <w:numId w:val="36"/>
        </w:numPr>
        <w:spacing w:before="0" w:after="160"/>
        <w:rPr>
          <w:rFonts w:cs="Segoe UI"/>
        </w:rPr>
      </w:pPr>
      <w:r>
        <w:rPr>
          <w:rFonts w:cs="Segoe UI"/>
        </w:rPr>
        <w:lastRenderedPageBreak/>
        <w:t>i</w:t>
      </w:r>
      <w:r w:rsidRPr="00D20132">
        <w:rPr>
          <w:rFonts w:cs="Segoe UI"/>
        </w:rPr>
        <w:t xml:space="preserve">mproving stakeholder awareness and engagement </w:t>
      </w:r>
      <w:r>
        <w:rPr>
          <w:rFonts w:cs="Segoe UI"/>
        </w:rPr>
        <w:t>about</w:t>
      </w:r>
      <w:r w:rsidRPr="00D20132">
        <w:rPr>
          <w:rFonts w:cs="Segoe UI"/>
        </w:rPr>
        <w:t xml:space="preserve"> technologies that may address important healthcare areas (e.g. </w:t>
      </w:r>
      <w:r>
        <w:rPr>
          <w:rFonts w:cs="Segoe UI"/>
        </w:rPr>
        <w:t>high unmet clinical need (HUCN)</w:t>
      </w:r>
      <w:r w:rsidRPr="00D20132">
        <w:rPr>
          <w:rFonts w:cs="Segoe UI"/>
        </w:rPr>
        <w:t>, national healthcare priorities</w:t>
      </w:r>
      <w:r>
        <w:rPr>
          <w:rFonts w:cs="Segoe UI"/>
        </w:rPr>
        <w:t xml:space="preserve"> and</w:t>
      </w:r>
      <w:r w:rsidRPr="00D20132">
        <w:rPr>
          <w:rFonts w:cs="Segoe UI"/>
        </w:rPr>
        <w:t xml:space="preserve"> health equity considerations)</w:t>
      </w:r>
    </w:p>
    <w:p w14:paraId="42006BCF" w14:textId="3F0487F2" w:rsidR="00011261" w:rsidRPr="00D20132" w:rsidRDefault="00011261" w:rsidP="00F20014">
      <w:pPr>
        <w:pStyle w:val="ListParagraph"/>
        <w:numPr>
          <w:ilvl w:val="1"/>
          <w:numId w:val="36"/>
        </w:numPr>
        <w:spacing w:before="0" w:after="160"/>
        <w:rPr>
          <w:rFonts w:cs="Segoe UI"/>
        </w:rPr>
      </w:pPr>
      <w:r>
        <w:rPr>
          <w:rFonts w:cs="Segoe UI"/>
        </w:rPr>
        <w:t>s</w:t>
      </w:r>
      <w:r w:rsidRPr="00D20132">
        <w:rPr>
          <w:rFonts w:cs="Segoe UI"/>
        </w:rPr>
        <w:t>upporting advice that helps</w:t>
      </w:r>
      <w:r>
        <w:rPr>
          <w:rFonts w:cs="Segoe UI"/>
        </w:rPr>
        <w:t xml:space="preserve"> </w:t>
      </w:r>
      <w:r w:rsidRPr="00D20132">
        <w:rPr>
          <w:rFonts w:cs="Segoe UI"/>
        </w:rPr>
        <w:t xml:space="preserve">healthcare payers </w:t>
      </w:r>
      <w:r>
        <w:rPr>
          <w:rFonts w:cs="Segoe UI"/>
        </w:rPr>
        <w:t xml:space="preserve">with </w:t>
      </w:r>
      <w:r w:rsidRPr="00D20132">
        <w:rPr>
          <w:rFonts w:cs="Segoe UI"/>
        </w:rPr>
        <w:t xml:space="preserve">forward planning and </w:t>
      </w:r>
      <w:r>
        <w:rPr>
          <w:rFonts w:cs="Segoe UI"/>
        </w:rPr>
        <w:t xml:space="preserve">setting </w:t>
      </w:r>
      <w:r w:rsidRPr="00D20132">
        <w:rPr>
          <w:rFonts w:cs="Segoe UI"/>
        </w:rPr>
        <w:t>priorit</w:t>
      </w:r>
      <w:r>
        <w:rPr>
          <w:rFonts w:cs="Segoe UI"/>
        </w:rPr>
        <w:t>ies</w:t>
      </w:r>
      <w:r w:rsidR="0091080B">
        <w:rPr>
          <w:rFonts w:cs="Segoe UI"/>
        </w:rPr>
        <w:t>.</w:t>
      </w:r>
      <w:r w:rsidRPr="00D20132">
        <w:rPr>
          <w:rFonts w:cs="Segoe UI"/>
        </w:rPr>
        <w:t xml:space="preserve"> </w:t>
      </w:r>
    </w:p>
    <w:p w14:paraId="2534C682" w14:textId="77777777" w:rsidR="00011261" w:rsidRPr="00D20132" w:rsidRDefault="00011261" w:rsidP="00F20014">
      <w:pPr>
        <w:pStyle w:val="ListParagraph"/>
        <w:numPr>
          <w:ilvl w:val="0"/>
          <w:numId w:val="36"/>
        </w:numPr>
        <w:spacing w:before="0" w:after="160"/>
        <w:rPr>
          <w:rFonts w:cs="Segoe UI"/>
        </w:rPr>
      </w:pPr>
      <w:r>
        <w:rPr>
          <w:rFonts w:cs="Segoe UI"/>
        </w:rPr>
        <w:t>w</w:t>
      </w:r>
      <w:r w:rsidRPr="00D20132">
        <w:rPr>
          <w:rFonts w:cs="Segoe UI"/>
        </w:rPr>
        <w:t xml:space="preserve">ork with key stakeholders to ensure that the scope, audience, purpose, governance and outcomes of horizon scanning are appropriately designed so that information can be used to support evidence-based recommendations and advice that support improvements to health technology access and availability for Australian </w:t>
      </w:r>
      <w:r>
        <w:rPr>
          <w:rFonts w:cs="Segoe UI"/>
        </w:rPr>
        <w:t>citizens</w:t>
      </w:r>
    </w:p>
    <w:p w14:paraId="74B028B0" w14:textId="77777777" w:rsidR="00011261" w:rsidRPr="00D20132" w:rsidRDefault="00011261" w:rsidP="00F20014">
      <w:pPr>
        <w:pStyle w:val="ListParagraph"/>
        <w:numPr>
          <w:ilvl w:val="0"/>
          <w:numId w:val="36"/>
        </w:numPr>
        <w:spacing w:before="0" w:after="160"/>
        <w:rPr>
          <w:rFonts w:cs="Segoe UI"/>
        </w:rPr>
      </w:pPr>
      <w:r>
        <w:rPr>
          <w:rFonts w:cs="Segoe UI"/>
        </w:rPr>
        <w:t>prioritise</w:t>
      </w:r>
      <w:r w:rsidRPr="00D20132" w:rsidDel="007B5BE3">
        <w:rPr>
          <w:rFonts w:cs="Segoe UI"/>
        </w:rPr>
        <w:t xml:space="preserve"> </w:t>
      </w:r>
      <w:r w:rsidRPr="00D20132">
        <w:rPr>
          <w:rFonts w:cs="Segoe UI"/>
        </w:rPr>
        <w:t xml:space="preserve">horizon scanning activities in areas where </w:t>
      </w:r>
      <w:r>
        <w:rPr>
          <w:rFonts w:cs="Segoe UI"/>
        </w:rPr>
        <w:t>early attention is most likely to identify major health advances that address health inequities and HUCN and/or have significant health system implications</w:t>
      </w:r>
      <w:r w:rsidRPr="00D20132">
        <w:rPr>
          <w:rFonts w:cs="Segoe UI"/>
        </w:rPr>
        <w:t>, including (but not limited</w:t>
      </w:r>
      <w:r>
        <w:rPr>
          <w:rFonts w:cs="Segoe UI"/>
        </w:rPr>
        <w:t> </w:t>
      </w:r>
      <w:r w:rsidRPr="00D20132">
        <w:rPr>
          <w:rFonts w:cs="Segoe UI"/>
        </w:rPr>
        <w:t>to):</w:t>
      </w:r>
    </w:p>
    <w:p w14:paraId="2515E25F" w14:textId="77777777" w:rsidR="00011261" w:rsidRPr="00D20132" w:rsidRDefault="00011261" w:rsidP="00F20014">
      <w:pPr>
        <w:pStyle w:val="ListParagraph"/>
        <w:numPr>
          <w:ilvl w:val="1"/>
          <w:numId w:val="36"/>
        </w:numPr>
        <w:spacing w:before="0" w:after="160"/>
        <w:rPr>
          <w:rFonts w:cs="Segoe UI"/>
        </w:rPr>
      </w:pPr>
      <w:r>
        <w:rPr>
          <w:rFonts w:cs="Segoe UI"/>
        </w:rPr>
        <w:t>a</w:t>
      </w:r>
      <w:r w:rsidRPr="00CC2C89">
        <w:rPr>
          <w:rFonts w:cs="Segoe UI"/>
        </w:rPr>
        <w:t xml:space="preserve">dvanced </w:t>
      </w:r>
      <w:r>
        <w:rPr>
          <w:rFonts w:cs="Segoe UI"/>
        </w:rPr>
        <w:t>t</w:t>
      </w:r>
      <w:r w:rsidRPr="00CC2C89">
        <w:rPr>
          <w:rFonts w:cs="Segoe UI"/>
        </w:rPr>
        <w:t>herapies</w:t>
      </w:r>
      <w:r w:rsidRPr="00CC2C89" w:rsidDel="007B5BE3">
        <w:rPr>
          <w:rFonts w:cs="Segoe UI"/>
        </w:rPr>
        <w:t xml:space="preserve"> </w:t>
      </w:r>
      <w:r w:rsidRPr="00CC2C89">
        <w:rPr>
          <w:rFonts w:cs="Segoe UI"/>
        </w:rPr>
        <w:t>and</w:t>
      </w:r>
      <w:r w:rsidRPr="00D20132">
        <w:rPr>
          <w:rFonts w:cs="Segoe UI"/>
        </w:rPr>
        <w:t xml:space="preserve"> health technologies that require collaboration between multiple health</w:t>
      </w:r>
      <w:r>
        <w:rPr>
          <w:rFonts w:cs="Segoe UI"/>
        </w:rPr>
        <w:t>care</w:t>
      </w:r>
      <w:r w:rsidRPr="00D20132">
        <w:rPr>
          <w:rFonts w:cs="Segoe UI"/>
        </w:rPr>
        <w:t xml:space="preserve"> payers</w:t>
      </w:r>
      <w:r>
        <w:rPr>
          <w:rFonts w:cs="Segoe UI"/>
        </w:rPr>
        <w:t xml:space="preserve"> and </w:t>
      </w:r>
      <w:r w:rsidRPr="00D20132">
        <w:rPr>
          <w:rFonts w:cs="Segoe UI"/>
        </w:rPr>
        <w:t xml:space="preserve">providers (including, but not limited to, </w:t>
      </w:r>
      <w:r>
        <w:rPr>
          <w:rFonts w:cs="Segoe UI"/>
        </w:rPr>
        <w:t>states and territories</w:t>
      </w:r>
      <w:r w:rsidRPr="00D20132">
        <w:rPr>
          <w:rFonts w:cs="Segoe UI"/>
        </w:rPr>
        <w:t>)</w:t>
      </w:r>
    </w:p>
    <w:p w14:paraId="539A28DB" w14:textId="2BE032DF" w:rsidR="00011261" w:rsidRPr="00D20132" w:rsidRDefault="00011261" w:rsidP="00F20014">
      <w:pPr>
        <w:pStyle w:val="ListParagraph"/>
        <w:numPr>
          <w:ilvl w:val="1"/>
          <w:numId w:val="36"/>
        </w:numPr>
        <w:spacing w:before="0" w:after="160"/>
        <w:rPr>
          <w:rFonts w:cs="Segoe UI"/>
        </w:rPr>
      </w:pPr>
      <w:r>
        <w:rPr>
          <w:rFonts w:cs="Segoe UI"/>
        </w:rPr>
        <w:t>h</w:t>
      </w:r>
      <w:r w:rsidRPr="00D20132">
        <w:rPr>
          <w:rFonts w:cs="Segoe UI"/>
        </w:rPr>
        <w:t>ealth technologies that may support improvements in health equity (including, but not limited to, F</w:t>
      </w:r>
      <w:r>
        <w:rPr>
          <w:rFonts w:cs="Segoe UI"/>
        </w:rPr>
        <w:t xml:space="preserve">irst </w:t>
      </w:r>
      <w:r w:rsidRPr="00D20132">
        <w:rPr>
          <w:rFonts w:cs="Segoe UI"/>
        </w:rPr>
        <w:t>N</w:t>
      </w:r>
      <w:r>
        <w:rPr>
          <w:rFonts w:cs="Segoe UI"/>
        </w:rPr>
        <w:t>ations</w:t>
      </w:r>
      <w:r w:rsidRPr="00D20132">
        <w:rPr>
          <w:rFonts w:cs="Segoe UI"/>
        </w:rPr>
        <w:t xml:space="preserve"> health</w:t>
      </w:r>
      <w:r>
        <w:rPr>
          <w:rFonts w:cs="Segoe UI"/>
        </w:rPr>
        <w:t xml:space="preserve"> and</w:t>
      </w:r>
      <w:r w:rsidRPr="00D20132">
        <w:rPr>
          <w:rFonts w:cs="Segoe UI"/>
        </w:rPr>
        <w:t xml:space="preserve"> areas of </w:t>
      </w:r>
      <w:r>
        <w:rPr>
          <w:rFonts w:cs="Segoe UI"/>
        </w:rPr>
        <w:t>HUCN</w:t>
      </w:r>
      <w:r w:rsidRPr="00D20132">
        <w:rPr>
          <w:rFonts w:cs="Segoe UI"/>
        </w:rPr>
        <w:t>) and national health priority areas</w:t>
      </w:r>
      <w:r w:rsidR="0091080B">
        <w:rPr>
          <w:rFonts w:cs="Segoe UI"/>
        </w:rPr>
        <w:t>.</w:t>
      </w:r>
    </w:p>
    <w:p w14:paraId="5C1E4B4C" w14:textId="77777777" w:rsidR="00011261" w:rsidRPr="00D20132" w:rsidRDefault="00011261" w:rsidP="00F20014">
      <w:pPr>
        <w:pStyle w:val="ListParagraph"/>
        <w:numPr>
          <w:ilvl w:val="0"/>
          <w:numId w:val="36"/>
        </w:numPr>
        <w:spacing w:before="0" w:after="160"/>
        <w:rPr>
          <w:rFonts w:cs="Segoe UI"/>
        </w:rPr>
      </w:pPr>
      <w:r>
        <w:rPr>
          <w:rFonts w:cs="Segoe UI"/>
        </w:rPr>
        <w:t>p</w:t>
      </w:r>
      <w:r w:rsidRPr="00D20132">
        <w:rPr>
          <w:rFonts w:cs="Segoe UI"/>
        </w:rPr>
        <w:t>rovi</w:t>
      </w:r>
      <w:r>
        <w:rPr>
          <w:rFonts w:cs="Segoe UI"/>
        </w:rPr>
        <w:t>de</w:t>
      </w:r>
      <w:r w:rsidRPr="00D20132">
        <w:rPr>
          <w:rFonts w:cs="Segoe UI"/>
        </w:rPr>
        <w:t xml:space="preserve"> adequate resourcing to support effective and efficient ongoing operation of the program after </w:t>
      </w:r>
      <w:r>
        <w:rPr>
          <w:rFonts w:cs="Segoe UI"/>
        </w:rPr>
        <w:t xml:space="preserve">open </w:t>
      </w:r>
      <w:r w:rsidRPr="00D20132">
        <w:rPr>
          <w:rFonts w:cs="Segoe UI"/>
        </w:rPr>
        <w:t xml:space="preserve">engagement with stakeholders </w:t>
      </w:r>
      <w:r>
        <w:rPr>
          <w:rFonts w:cs="Segoe UI"/>
        </w:rPr>
        <w:t>about</w:t>
      </w:r>
      <w:r w:rsidRPr="00D20132">
        <w:rPr>
          <w:rFonts w:cs="Segoe UI"/>
        </w:rPr>
        <w:t xml:space="preserve"> cost</w:t>
      </w:r>
      <w:r>
        <w:rPr>
          <w:rFonts w:cs="Segoe UI"/>
        </w:rPr>
        <w:t>s</w:t>
      </w:r>
      <w:r w:rsidRPr="00D20132">
        <w:rPr>
          <w:rFonts w:cs="Segoe UI"/>
        </w:rPr>
        <w:t xml:space="preserve"> and related contributory implications</w:t>
      </w:r>
    </w:p>
    <w:p w14:paraId="113B987A" w14:textId="77777777" w:rsidR="00011261" w:rsidRPr="00D20132" w:rsidRDefault="00011261" w:rsidP="00F20014">
      <w:pPr>
        <w:pStyle w:val="ListParagraph"/>
        <w:keepNext/>
        <w:numPr>
          <w:ilvl w:val="0"/>
          <w:numId w:val="36"/>
        </w:numPr>
        <w:spacing w:before="0" w:after="160"/>
        <w:rPr>
          <w:rFonts w:cs="Segoe UI"/>
        </w:rPr>
      </w:pPr>
      <w:r>
        <w:rPr>
          <w:rFonts w:cs="Segoe UI"/>
        </w:rPr>
        <w:t>e</w:t>
      </w:r>
      <w:r w:rsidRPr="00D20132">
        <w:rPr>
          <w:rFonts w:cs="Segoe UI"/>
        </w:rPr>
        <w:t>stablish appropriate governance arrangements after consult</w:t>
      </w:r>
      <w:r>
        <w:rPr>
          <w:rFonts w:cs="Segoe UI"/>
        </w:rPr>
        <w:t>ing</w:t>
      </w:r>
      <w:r w:rsidRPr="00D20132" w:rsidDel="00BC463A">
        <w:rPr>
          <w:rFonts w:cs="Segoe UI"/>
        </w:rPr>
        <w:t xml:space="preserve"> </w:t>
      </w:r>
      <w:r w:rsidRPr="00D20132">
        <w:rPr>
          <w:rFonts w:cs="Segoe UI"/>
        </w:rPr>
        <w:t>stakeholders, and put in place arrangements to:</w:t>
      </w:r>
    </w:p>
    <w:p w14:paraId="36552915" w14:textId="77777777" w:rsidR="00011261" w:rsidRPr="00D20132" w:rsidRDefault="00011261" w:rsidP="00F20014">
      <w:pPr>
        <w:pStyle w:val="ListParagraph"/>
        <w:numPr>
          <w:ilvl w:val="1"/>
          <w:numId w:val="36"/>
        </w:numPr>
        <w:spacing w:before="0" w:after="160"/>
        <w:rPr>
          <w:rFonts w:cs="Segoe UI"/>
        </w:rPr>
      </w:pPr>
      <w:r w:rsidRPr="00D20132">
        <w:rPr>
          <w:rFonts w:cs="Segoe UI"/>
        </w:rPr>
        <w:t xml:space="preserve">review the horizon scanning function periodically </w:t>
      </w:r>
    </w:p>
    <w:p w14:paraId="7C15DD45" w14:textId="77777777" w:rsidR="00011261" w:rsidRPr="002015E7" w:rsidRDefault="00011261" w:rsidP="00F20014">
      <w:pPr>
        <w:pStyle w:val="ListParagraph"/>
        <w:numPr>
          <w:ilvl w:val="1"/>
          <w:numId w:val="36"/>
        </w:numPr>
        <w:spacing w:before="0" w:after="240"/>
        <w:rPr>
          <w:rFonts w:cs="Segoe UI"/>
        </w:rPr>
      </w:pPr>
      <w:r w:rsidRPr="00D20132">
        <w:rPr>
          <w:rFonts w:cs="Segoe UI"/>
        </w:rPr>
        <w:t xml:space="preserve">support necessary dialogue with stakeholders to adjust the function’s operation over time to ensure </w:t>
      </w:r>
      <w:r>
        <w:rPr>
          <w:rFonts w:cs="Segoe UI"/>
        </w:rPr>
        <w:t xml:space="preserve">it continues to provide </w:t>
      </w:r>
      <w:r w:rsidRPr="00D20132">
        <w:rPr>
          <w:rFonts w:cs="Segoe UI"/>
        </w:rPr>
        <w:t>efficien</w:t>
      </w:r>
      <w:r>
        <w:rPr>
          <w:rFonts w:cs="Segoe UI"/>
        </w:rPr>
        <w:t xml:space="preserve">t </w:t>
      </w:r>
      <w:r w:rsidRPr="00D20132">
        <w:rPr>
          <w:rFonts w:cs="Segoe UI"/>
        </w:rPr>
        <w:t xml:space="preserve">and effective outcomes </w:t>
      </w:r>
      <w:r>
        <w:rPr>
          <w:rFonts w:cs="Segoe UI"/>
        </w:rPr>
        <w:t>that meet</w:t>
      </w:r>
      <w:r w:rsidRPr="00D20132">
        <w:rPr>
          <w:rFonts w:cs="Segoe UI"/>
        </w:rPr>
        <w:t xml:space="preserve"> the agreed purpose(s) and scope(s). </w:t>
      </w:r>
    </w:p>
    <w:p w14:paraId="6B46AE78" w14:textId="77777777" w:rsidR="00F900A8" w:rsidRPr="006C370B" w:rsidRDefault="00F900A8" w:rsidP="00484B58">
      <w:pPr>
        <w:pStyle w:val="Recommendation1"/>
      </w:pPr>
      <w:bookmarkStart w:id="76" w:name="_Hlk167302673"/>
      <w:r w:rsidRPr="00824739">
        <w:t>Mechanisms for continuous review and improvement</w:t>
      </w:r>
    </w:p>
    <w:bookmarkEnd w:id="76"/>
    <w:p w14:paraId="11A032B3" w14:textId="77777777" w:rsidR="00F900A8" w:rsidRDefault="00F900A8" w:rsidP="00F900A8">
      <w:r w:rsidRPr="00405FD7">
        <w:t xml:space="preserve">The Review recommends </w:t>
      </w:r>
      <w:r>
        <w:t xml:space="preserve">that </w:t>
      </w:r>
      <w:r w:rsidRPr="00405FD7">
        <w:t>the Australian Government</w:t>
      </w:r>
      <w:r>
        <w:t xml:space="preserve"> design and establish (in consultation with stakeholders) a program that supports the continuous review and updating of HTA policy and methods in support of the core pillars of the NMP. This program would include:</w:t>
      </w:r>
    </w:p>
    <w:p w14:paraId="49C5AF4E" w14:textId="77777777" w:rsidR="00F900A8" w:rsidRPr="006C5856" w:rsidRDefault="00F900A8" w:rsidP="00F20014">
      <w:pPr>
        <w:pStyle w:val="ListParagraph"/>
        <w:numPr>
          <w:ilvl w:val="0"/>
          <w:numId w:val="37"/>
        </w:numPr>
        <w:spacing w:before="0" w:after="160"/>
        <w:rPr>
          <w:rFonts w:cs="Segoe UI"/>
        </w:rPr>
      </w:pPr>
      <w:r>
        <w:rPr>
          <w:lang w:eastAsia="en-AU"/>
        </w:rPr>
        <w:t>a selection of review topics i</w:t>
      </w:r>
      <w:r w:rsidRPr="00F876B2">
        <w:rPr>
          <w:lang w:eastAsia="en-AU"/>
        </w:rPr>
        <w:t>nformed by</w:t>
      </w:r>
      <w:r>
        <w:rPr>
          <w:lang w:eastAsia="en-AU"/>
        </w:rPr>
        <w:t>:</w:t>
      </w:r>
    </w:p>
    <w:p w14:paraId="3FE3189B" w14:textId="77777777" w:rsidR="00F900A8" w:rsidRPr="006C5856" w:rsidRDefault="00F900A8" w:rsidP="00F20014">
      <w:pPr>
        <w:pStyle w:val="ListParagraph"/>
        <w:numPr>
          <w:ilvl w:val="1"/>
          <w:numId w:val="37"/>
        </w:numPr>
        <w:spacing w:before="0" w:after="160"/>
        <w:rPr>
          <w:rFonts w:cs="Segoe UI"/>
        </w:rPr>
      </w:pPr>
      <w:r w:rsidRPr="00F876B2">
        <w:rPr>
          <w:lang w:eastAsia="en-AU"/>
        </w:rPr>
        <w:lastRenderedPageBreak/>
        <w:t xml:space="preserve">consultation </w:t>
      </w:r>
      <w:r>
        <w:rPr>
          <w:lang w:eastAsia="en-AU"/>
        </w:rPr>
        <w:t>with</w:t>
      </w:r>
      <w:r w:rsidRPr="00F876B2">
        <w:rPr>
          <w:lang w:eastAsia="en-AU"/>
        </w:rPr>
        <w:t xml:space="preserve"> internal and external stakeholders</w:t>
      </w:r>
      <w:r>
        <w:rPr>
          <w:lang w:eastAsia="en-AU"/>
        </w:rPr>
        <w:t xml:space="preserve"> on areas where systematic concerns have been identified</w:t>
      </w:r>
    </w:p>
    <w:p w14:paraId="0633C0EA" w14:textId="77777777" w:rsidR="00F900A8" w:rsidRPr="006C5856" w:rsidRDefault="00F900A8" w:rsidP="00F20014">
      <w:pPr>
        <w:pStyle w:val="ListParagraph"/>
        <w:numPr>
          <w:ilvl w:val="1"/>
          <w:numId w:val="37"/>
        </w:numPr>
        <w:spacing w:before="0" w:after="160"/>
        <w:rPr>
          <w:rFonts w:cs="Segoe UI"/>
        </w:rPr>
      </w:pPr>
      <w:r>
        <w:rPr>
          <w:lang w:eastAsia="en-AU"/>
        </w:rPr>
        <w:t xml:space="preserve">contemporary </w:t>
      </w:r>
      <w:r w:rsidRPr="00F876B2">
        <w:rPr>
          <w:lang w:eastAsia="en-AU"/>
        </w:rPr>
        <w:t xml:space="preserve">research </w:t>
      </w:r>
      <w:r>
        <w:rPr>
          <w:lang w:eastAsia="en-AU"/>
        </w:rPr>
        <w:t>into</w:t>
      </w:r>
      <w:r w:rsidRPr="00F876B2">
        <w:rPr>
          <w:lang w:eastAsia="en-AU"/>
        </w:rPr>
        <w:t xml:space="preserve"> international and interjurisdictional best practi</w:t>
      </w:r>
      <w:r>
        <w:rPr>
          <w:lang w:eastAsia="en-AU"/>
        </w:rPr>
        <w:t>c</w:t>
      </w:r>
      <w:r w:rsidRPr="00F876B2">
        <w:rPr>
          <w:lang w:eastAsia="en-AU"/>
        </w:rPr>
        <w:t>e</w:t>
      </w:r>
    </w:p>
    <w:p w14:paraId="0A7C72E1" w14:textId="7E331188" w:rsidR="00F900A8" w:rsidRPr="009270E9" w:rsidRDefault="00F900A8" w:rsidP="00F20014">
      <w:pPr>
        <w:pStyle w:val="ListParagraph"/>
        <w:numPr>
          <w:ilvl w:val="1"/>
          <w:numId w:val="37"/>
        </w:numPr>
        <w:spacing w:before="0" w:after="160"/>
        <w:rPr>
          <w:rFonts w:cs="Segoe UI"/>
        </w:rPr>
      </w:pPr>
      <w:r>
        <w:rPr>
          <w:lang w:eastAsia="en-AU"/>
        </w:rPr>
        <w:t>findings from key performance indicators measurement and reporting arrangements</w:t>
      </w:r>
      <w:r w:rsidR="00691ECE">
        <w:rPr>
          <w:lang w:eastAsia="en-AU"/>
        </w:rPr>
        <w:t>.</w:t>
      </w:r>
    </w:p>
    <w:p w14:paraId="634FD91C" w14:textId="77777777" w:rsidR="00F900A8" w:rsidRPr="007A3656" w:rsidRDefault="00F900A8" w:rsidP="00F20014">
      <w:pPr>
        <w:pStyle w:val="ListParagraph"/>
        <w:numPr>
          <w:ilvl w:val="0"/>
          <w:numId w:val="37"/>
        </w:numPr>
        <w:spacing w:before="0" w:after="160"/>
        <w:rPr>
          <w:rFonts w:cs="Segoe UI"/>
        </w:rPr>
      </w:pPr>
      <w:r>
        <w:rPr>
          <w:lang w:eastAsia="en-AU"/>
        </w:rPr>
        <w:t xml:space="preserve">a </w:t>
      </w:r>
      <w:r w:rsidRPr="00F876B2">
        <w:rPr>
          <w:lang w:eastAsia="en-AU"/>
        </w:rPr>
        <w:t>transparent schedule</w:t>
      </w:r>
      <w:r>
        <w:rPr>
          <w:lang w:eastAsia="en-AU"/>
        </w:rPr>
        <w:t xml:space="preserve"> of topics for review and review consultation </w:t>
      </w:r>
      <w:r w:rsidRPr="007A3656">
        <w:rPr>
          <w:lang w:eastAsia="en-AU"/>
        </w:rPr>
        <w:t>activities, and designated time</w:t>
      </w:r>
      <w:r>
        <w:rPr>
          <w:lang w:eastAsia="en-AU"/>
        </w:rPr>
        <w:t xml:space="preserve"> </w:t>
      </w:r>
      <w:r w:rsidRPr="007A3656">
        <w:rPr>
          <w:lang w:eastAsia="en-AU"/>
        </w:rPr>
        <w:t>frames</w:t>
      </w:r>
      <w:r>
        <w:rPr>
          <w:lang w:eastAsia="en-AU"/>
        </w:rPr>
        <w:t xml:space="preserve"> to complete</w:t>
      </w:r>
      <w:r w:rsidRPr="007A3656" w:rsidDel="009E3310">
        <w:rPr>
          <w:lang w:eastAsia="en-AU"/>
        </w:rPr>
        <w:t xml:space="preserve"> </w:t>
      </w:r>
      <w:r w:rsidRPr="007A3656">
        <w:rPr>
          <w:lang w:eastAsia="en-AU"/>
        </w:rPr>
        <w:t xml:space="preserve">reviews </w:t>
      </w:r>
    </w:p>
    <w:p w14:paraId="0948E9EE" w14:textId="77777777" w:rsidR="00F900A8" w:rsidRPr="007A3656" w:rsidRDefault="00F900A8" w:rsidP="00F20014">
      <w:pPr>
        <w:pStyle w:val="ListParagraph"/>
        <w:numPr>
          <w:ilvl w:val="0"/>
          <w:numId w:val="37"/>
        </w:numPr>
        <w:spacing w:before="0" w:after="160"/>
        <w:rPr>
          <w:rFonts w:cs="Segoe UI"/>
        </w:rPr>
      </w:pPr>
      <w:r w:rsidRPr="007A3656">
        <w:rPr>
          <w:lang w:eastAsia="en-AU"/>
        </w:rPr>
        <w:t>opportunities for all stakeholders to provide input to reviews</w:t>
      </w:r>
    </w:p>
    <w:p w14:paraId="4D43125F" w14:textId="77777777" w:rsidR="00F900A8" w:rsidRPr="002D4AEF" w:rsidRDefault="00F900A8" w:rsidP="00F20014">
      <w:pPr>
        <w:pStyle w:val="ListParagraph"/>
        <w:numPr>
          <w:ilvl w:val="0"/>
          <w:numId w:val="37"/>
        </w:numPr>
        <w:spacing w:before="0" w:after="240"/>
        <w:rPr>
          <w:rFonts w:cs="Segoe UI"/>
        </w:rPr>
      </w:pPr>
      <w:r>
        <w:rPr>
          <w:rFonts w:cs="Segoe UI"/>
        </w:rPr>
        <w:t xml:space="preserve">reporting of review outcomes and (where necessary) recommendations that (if implemented) would improve the operation of the HTA program. </w:t>
      </w:r>
    </w:p>
    <w:p w14:paraId="06FA7B54" w14:textId="77777777" w:rsidR="008D39A2" w:rsidRPr="00921396" w:rsidRDefault="008D39A2" w:rsidP="00484B58">
      <w:pPr>
        <w:pStyle w:val="Recommendation1"/>
      </w:pPr>
      <w:bookmarkStart w:id="77" w:name="_Hlk167302690"/>
      <w:r w:rsidRPr="00921396">
        <w:t>HTA evaluation workforce</w:t>
      </w:r>
    </w:p>
    <w:bookmarkEnd w:id="77"/>
    <w:p w14:paraId="5259FE76" w14:textId="77777777" w:rsidR="008D39A2" w:rsidRPr="00405FD7" w:rsidRDefault="008D39A2" w:rsidP="008D39A2">
      <w:r w:rsidRPr="00405FD7">
        <w:t xml:space="preserve">The Review recommends </w:t>
      </w:r>
      <w:r>
        <w:t xml:space="preserve">that </w:t>
      </w:r>
      <w:r w:rsidRPr="00405FD7">
        <w:t>the Australian Government:</w:t>
      </w:r>
    </w:p>
    <w:p w14:paraId="6183D081" w14:textId="77777777" w:rsidR="008D39A2" w:rsidRPr="008E1E78" w:rsidRDefault="008D39A2" w:rsidP="00F20014">
      <w:pPr>
        <w:pStyle w:val="ListParagraph"/>
        <w:numPr>
          <w:ilvl w:val="0"/>
          <w:numId w:val="38"/>
        </w:numPr>
        <w:spacing w:before="0" w:after="160"/>
        <w:rPr>
          <w:rFonts w:cs="Segoe UI"/>
        </w:rPr>
      </w:pPr>
      <w:r>
        <w:rPr>
          <w:rFonts w:cs="Segoe UI"/>
        </w:rPr>
        <w:t>c</w:t>
      </w:r>
      <w:r w:rsidRPr="008E1E78">
        <w:rPr>
          <w:rFonts w:cs="Segoe UI"/>
        </w:rPr>
        <w:t xml:space="preserve">onsult broadly to develop programs </w:t>
      </w:r>
      <w:r>
        <w:rPr>
          <w:rFonts w:cs="Segoe UI"/>
        </w:rPr>
        <w:t>that</w:t>
      </w:r>
      <w:r w:rsidRPr="008E1E78">
        <w:rPr>
          <w:rFonts w:cs="Segoe UI"/>
        </w:rPr>
        <w:t xml:space="preserve"> enhance the competen</w:t>
      </w:r>
      <w:r>
        <w:rPr>
          <w:rFonts w:cs="Segoe UI"/>
        </w:rPr>
        <w:t>cy</w:t>
      </w:r>
      <w:r w:rsidRPr="008E1E78">
        <w:rPr>
          <w:rFonts w:cs="Segoe UI"/>
        </w:rPr>
        <w:t xml:space="preserve"> and </w:t>
      </w:r>
      <w:r>
        <w:rPr>
          <w:rFonts w:cs="Segoe UI"/>
        </w:rPr>
        <w:t>capability of the</w:t>
      </w:r>
      <w:r w:rsidRPr="008E1E78">
        <w:rPr>
          <w:rFonts w:cs="Segoe UI"/>
        </w:rPr>
        <w:t xml:space="preserve"> HTA workforce</w:t>
      </w:r>
      <w:r>
        <w:rPr>
          <w:rFonts w:cs="Segoe UI"/>
        </w:rPr>
        <w:t xml:space="preserve">, </w:t>
      </w:r>
      <w:r w:rsidRPr="008E1E78">
        <w:rPr>
          <w:rFonts w:cs="Segoe UI"/>
        </w:rPr>
        <w:t>including</w:t>
      </w:r>
      <w:r>
        <w:rPr>
          <w:rFonts w:cs="Segoe UI"/>
        </w:rPr>
        <w:t xml:space="preserve"> (but not limited to):</w:t>
      </w:r>
    </w:p>
    <w:p w14:paraId="18E2C453" w14:textId="77777777" w:rsidR="008D39A2" w:rsidRPr="008E1E78" w:rsidRDefault="008D39A2" w:rsidP="00F20014">
      <w:pPr>
        <w:pStyle w:val="ListParagraph"/>
        <w:numPr>
          <w:ilvl w:val="1"/>
          <w:numId w:val="38"/>
        </w:numPr>
        <w:spacing w:before="0" w:after="160"/>
        <w:rPr>
          <w:rFonts w:cs="Segoe UI"/>
        </w:rPr>
      </w:pPr>
      <w:r>
        <w:rPr>
          <w:rFonts w:cs="Segoe UI"/>
        </w:rPr>
        <w:t>s</w:t>
      </w:r>
      <w:r w:rsidRPr="008E1E78">
        <w:rPr>
          <w:rFonts w:cs="Segoe UI"/>
        </w:rPr>
        <w:t xml:space="preserve">ponsored internships between HTA evaluation groups, </w:t>
      </w:r>
      <w:r>
        <w:rPr>
          <w:rFonts w:cs="Segoe UI"/>
        </w:rPr>
        <w:t xml:space="preserve">health departments </w:t>
      </w:r>
      <w:r w:rsidRPr="008E1E78">
        <w:rPr>
          <w:rFonts w:cs="Segoe UI"/>
        </w:rPr>
        <w:t>and industry</w:t>
      </w:r>
    </w:p>
    <w:p w14:paraId="4E92675D" w14:textId="77777777" w:rsidR="008D39A2" w:rsidRPr="008E1E78" w:rsidRDefault="008D39A2" w:rsidP="00F20014">
      <w:pPr>
        <w:pStyle w:val="ListParagraph"/>
        <w:numPr>
          <w:ilvl w:val="1"/>
          <w:numId w:val="38"/>
        </w:numPr>
        <w:spacing w:before="0" w:after="160"/>
        <w:rPr>
          <w:rFonts w:cs="Segoe UI"/>
        </w:rPr>
      </w:pPr>
      <w:r>
        <w:rPr>
          <w:rFonts w:cs="Segoe UI"/>
        </w:rPr>
        <w:t>f</w:t>
      </w:r>
      <w:r w:rsidRPr="008E1E78">
        <w:rPr>
          <w:rFonts w:cs="Segoe UI"/>
        </w:rPr>
        <w:t xml:space="preserve">acilitated secondments between HTA evaluation groups, </w:t>
      </w:r>
      <w:r>
        <w:rPr>
          <w:rFonts w:cs="Segoe UI"/>
        </w:rPr>
        <w:t xml:space="preserve">health departments </w:t>
      </w:r>
      <w:r w:rsidRPr="008E1E78">
        <w:rPr>
          <w:rFonts w:cs="Segoe UI"/>
        </w:rPr>
        <w:t>and industry</w:t>
      </w:r>
    </w:p>
    <w:p w14:paraId="61943200" w14:textId="77777777" w:rsidR="008D39A2" w:rsidRDefault="008D39A2" w:rsidP="00F20014">
      <w:pPr>
        <w:pStyle w:val="ListParagraph"/>
        <w:numPr>
          <w:ilvl w:val="1"/>
          <w:numId w:val="38"/>
        </w:numPr>
        <w:spacing w:before="0" w:after="160"/>
        <w:rPr>
          <w:rFonts w:cs="Segoe UI"/>
        </w:rPr>
      </w:pPr>
      <w:r>
        <w:rPr>
          <w:rFonts w:cs="Segoe UI"/>
        </w:rPr>
        <w:t>i</w:t>
      </w:r>
      <w:r w:rsidRPr="008E1E78">
        <w:rPr>
          <w:rFonts w:cs="Segoe UI"/>
        </w:rPr>
        <w:t xml:space="preserve">nternational secondments between HTA </w:t>
      </w:r>
      <w:r>
        <w:rPr>
          <w:rFonts w:cs="Segoe UI"/>
        </w:rPr>
        <w:t>collaboration countries.</w:t>
      </w:r>
    </w:p>
    <w:p w14:paraId="0D4F1454" w14:textId="77777777" w:rsidR="008D39A2" w:rsidRPr="008E1E78" w:rsidRDefault="008D39A2" w:rsidP="00F20014">
      <w:pPr>
        <w:pStyle w:val="ListParagraph"/>
        <w:numPr>
          <w:ilvl w:val="0"/>
          <w:numId w:val="38"/>
        </w:numPr>
        <w:spacing w:before="0" w:after="160"/>
        <w:rPr>
          <w:rFonts w:cs="Segoe UI"/>
        </w:rPr>
      </w:pPr>
      <w:r>
        <w:rPr>
          <w:rFonts w:cs="Segoe UI"/>
        </w:rPr>
        <w:t>discuss with state and territory health departments,</w:t>
      </w:r>
      <w:r w:rsidDel="000B7B40">
        <w:rPr>
          <w:rFonts w:cs="Segoe UI"/>
        </w:rPr>
        <w:t xml:space="preserve"> </w:t>
      </w:r>
      <w:r>
        <w:rPr>
          <w:rFonts w:cs="Segoe UI"/>
        </w:rPr>
        <w:t xml:space="preserve">opportunities for developing an inter-government evaluation work group to improve capability development and use of HTA capacity as part of achieving nationally consistent HTAs </w:t>
      </w:r>
    </w:p>
    <w:p w14:paraId="2DCB8454" w14:textId="77777777" w:rsidR="008D39A2" w:rsidRPr="00D20132" w:rsidRDefault="008D39A2" w:rsidP="00F20014">
      <w:pPr>
        <w:pStyle w:val="ListParagraph"/>
        <w:numPr>
          <w:ilvl w:val="0"/>
          <w:numId w:val="38"/>
        </w:numPr>
        <w:spacing w:before="0" w:after="160"/>
        <w:rPr>
          <w:rFonts w:cs="Segoe UI"/>
          <w:lang w:eastAsia="en-AU"/>
        </w:rPr>
      </w:pPr>
      <w:r>
        <w:rPr>
          <w:rFonts w:cs="Segoe UI"/>
          <w:lang w:eastAsia="en-AU"/>
        </w:rPr>
        <w:t>continue p</w:t>
      </w:r>
      <w:r w:rsidRPr="00D20132">
        <w:rPr>
          <w:rFonts w:cs="Segoe UI"/>
          <w:lang w:eastAsia="en-AU"/>
        </w:rPr>
        <w:t>rogress</w:t>
      </w:r>
      <w:r>
        <w:rPr>
          <w:rFonts w:cs="Segoe UI"/>
          <w:lang w:eastAsia="en-AU"/>
        </w:rPr>
        <w:t xml:space="preserve"> on</w:t>
      </w:r>
      <w:r w:rsidRPr="00D20132">
        <w:rPr>
          <w:rFonts w:cs="Segoe UI"/>
          <w:lang w:eastAsia="en-AU"/>
        </w:rPr>
        <w:t xml:space="preserve"> inter-agency collaboration and design relating to common HTA evaluation methodology, as part of supporting testing and (prospective) formal introduction of HTA evaluation work</w:t>
      </w:r>
      <w:r>
        <w:rPr>
          <w:rFonts w:cs="Segoe UI"/>
          <w:lang w:eastAsia="en-AU"/>
        </w:rPr>
        <w:t>-</w:t>
      </w:r>
      <w:r w:rsidRPr="00D20132">
        <w:rPr>
          <w:rFonts w:cs="Segoe UI"/>
          <w:lang w:eastAsia="en-AU"/>
        </w:rPr>
        <w:t>sharing pathways across participating jurisdictions</w:t>
      </w:r>
    </w:p>
    <w:p w14:paraId="73A04BA0" w14:textId="77777777" w:rsidR="008D39A2" w:rsidRPr="00D20132" w:rsidRDefault="008D39A2" w:rsidP="00F20014">
      <w:pPr>
        <w:pStyle w:val="ListParagraph"/>
        <w:numPr>
          <w:ilvl w:val="0"/>
          <w:numId w:val="38"/>
        </w:numPr>
        <w:spacing w:before="0" w:after="0"/>
        <w:suppressOverlap/>
        <w:rPr>
          <w:rFonts w:eastAsia="Times New Roman" w:cs="Segoe UI"/>
          <w:color w:val="222A35"/>
          <w:kern w:val="24"/>
          <w:lang w:eastAsia="en-AU"/>
        </w:rPr>
      </w:pPr>
      <w:r>
        <w:rPr>
          <w:rFonts w:eastAsia="Times New Roman" w:cs="Segoe UI"/>
          <w:color w:val="222A35"/>
          <w:kern w:val="24"/>
          <w:lang w:eastAsia="en-AU"/>
        </w:rPr>
        <w:t>approve</w:t>
      </w:r>
      <w:r w:rsidRPr="00D20132">
        <w:rPr>
          <w:rFonts w:eastAsia="Times New Roman" w:cs="Segoe UI"/>
          <w:color w:val="222A35"/>
          <w:kern w:val="24"/>
          <w:lang w:eastAsia="en-AU"/>
        </w:rPr>
        <w:t xml:space="preserve"> reforms to pilot work</w:t>
      </w:r>
      <w:r>
        <w:rPr>
          <w:rFonts w:eastAsia="Times New Roman" w:cs="Segoe UI"/>
          <w:color w:val="222A35"/>
          <w:kern w:val="24"/>
          <w:lang w:eastAsia="en-AU"/>
        </w:rPr>
        <w:t>-</w:t>
      </w:r>
      <w:r w:rsidRPr="00D20132">
        <w:rPr>
          <w:rFonts w:eastAsia="Times New Roman" w:cs="Segoe UI"/>
          <w:color w:val="222A35"/>
          <w:kern w:val="24"/>
          <w:lang w:eastAsia="en-AU"/>
        </w:rPr>
        <w:t xml:space="preserve">sharing pathways for individual health technology submissions </w:t>
      </w:r>
      <w:r>
        <w:rPr>
          <w:rFonts w:eastAsia="Times New Roman" w:cs="Segoe UI"/>
          <w:color w:val="222A35"/>
          <w:kern w:val="24"/>
          <w:lang w:eastAsia="en-AU"/>
        </w:rPr>
        <w:t xml:space="preserve">that are </w:t>
      </w:r>
      <w:r w:rsidRPr="00D20132">
        <w:rPr>
          <w:rFonts w:eastAsia="Times New Roman" w:cs="Segoe UI"/>
          <w:color w:val="222A35"/>
          <w:kern w:val="24"/>
          <w:lang w:eastAsia="en-AU"/>
        </w:rPr>
        <w:t>submitted across jurisdictions with comparable approaches to HTA evaluation</w:t>
      </w:r>
      <w:r>
        <w:rPr>
          <w:rFonts w:eastAsia="Times New Roman" w:cs="Segoe UI"/>
          <w:color w:val="222A35"/>
          <w:kern w:val="24"/>
          <w:lang w:eastAsia="en-AU"/>
        </w:rPr>
        <w:t>. This would</w:t>
      </w:r>
      <w:r w:rsidRPr="00D20132">
        <w:rPr>
          <w:rFonts w:eastAsia="Times New Roman" w:cs="Segoe UI"/>
          <w:color w:val="222A35"/>
          <w:kern w:val="24"/>
          <w:lang w:eastAsia="en-AU"/>
        </w:rPr>
        <w:t xml:space="preserve"> </w:t>
      </w:r>
      <w:r>
        <w:rPr>
          <w:rFonts w:eastAsia="Times New Roman" w:cs="Segoe UI"/>
          <w:color w:val="222A35"/>
          <w:kern w:val="24"/>
          <w:lang w:eastAsia="en-AU"/>
        </w:rPr>
        <w:t xml:space="preserve">reveal </w:t>
      </w:r>
      <w:r w:rsidRPr="00D20132">
        <w:rPr>
          <w:rFonts w:eastAsia="Times New Roman" w:cs="Segoe UI"/>
          <w:color w:val="222A35"/>
          <w:kern w:val="24"/>
          <w:lang w:eastAsia="en-AU"/>
        </w:rPr>
        <w:t xml:space="preserve">the merits of collaborative evaluation for reimbursement-related </w:t>
      </w:r>
      <w:r>
        <w:rPr>
          <w:rFonts w:eastAsia="Times New Roman" w:cs="Segoe UI"/>
          <w:color w:val="222A35"/>
          <w:kern w:val="24"/>
          <w:lang w:eastAsia="en-AU"/>
        </w:rPr>
        <w:t>activities</w:t>
      </w:r>
      <w:r w:rsidRPr="00D20132">
        <w:rPr>
          <w:rFonts w:eastAsia="Times New Roman" w:cs="Segoe UI"/>
          <w:color w:val="222A35"/>
          <w:kern w:val="24"/>
          <w:lang w:eastAsia="en-AU"/>
        </w:rPr>
        <w:t xml:space="preserve"> </w:t>
      </w:r>
      <w:r>
        <w:rPr>
          <w:rFonts w:eastAsia="Times New Roman" w:cs="Segoe UI"/>
          <w:color w:val="222A35"/>
          <w:kern w:val="24"/>
          <w:lang w:eastAsia="en-AU"/>
        </w:rPr>
        <w:t>that –</w:t>
      </w:r>
      <w:r w:rsidRPr="00D20132">
        <w:rPr>
          <w:rFonts w:eastAsia="Times New Roman" w:cs="Segoe UI"/>
          <w:color w:val="222A35"/>
          <w:kern w:val="24"/>
          <w:lang w:eastAsia="en-AU"/>
        </w:rPr>
        <w:t xml:space="preserve"> if</w:t>
      </w:r>
      <w:r>
        <w:rPr>
          <w:rFonts w:eastAsia="Times New Roman" w:cs="Segoe UI"/>
          <w:color w:val="222A35"/>
          <w:kern w:val="24"/>
          <w:lang w:eastAsia="en-AU"/>
        </w:rPr>
        <w:t xml:space="preserve"> the experience is</w:t>
      </w:r>
      <w:r w:rsidRPr="00D20132">
        <w:rPr>
          <w:rFonts w:eastAsia="Times New Roman" w:cs="Segoe UI"/>
          <w:color w:val="222A35"/>
          <w:kern w:val="24"/>
          <w:lang w:eastAsia="en-AU"/>
        </w:rPr>
        <w:t xml:space="preserve"> positive</w:t>
      </w:r>
      <w:r>
        <w:rPr>
          <w:rFonts w:eastAsia="Times New Roman" w:cs="Segoe UI"/>
          <w:color w:val="222A35"/>
          <w:kern w:val="24"/>
          <w:lang w:eastAsia="en-AU"/>
        </w:rPr>
        <w:t xml:space="preserve"> – could be</w:t>
      </w:r>
      <w:r w:rsidRPr="00D20132">
        <w:rPr>
          <w:rFonts w:eastAsia="Times New Roman" w:cs="Segoe UI"/>
          <w:color w:val="222A35"/>
          <w:kern w:val="24"/>
          <w:lang w:eastAsia="en-AU"/>
        </w:rPr>
        <w:t xml:space="preserve"> embedd</w:t>
      </w:r>
      <w:r>
        <w:rPr>
          <w:rFonts w:eastAsia="Times New Roman" w:cs="Segoe UI"/>
          <w:color w:val="222A35"/>
          <w:kern w:val="24"/>
          <w:lang w:eastAsia="en-AU"/>
        </w:rPr>
        <w:t>ed</w:t>
      </w:r>
      <w:r w:rsidRPr="00D20132">
        <w:rPr>
          <w:rFonts w:eastAsia="Times New Roman" w:cs="Segoe UI"/>
          <w:color w:val="222A35"/>
          <w:kern w:val="24"/>
          <w:lang w:eastAsia="en-AU"/>
        </w:rPr>
        <w:t xml:space="preserve"> into the HTA framework. Available pathways should include at least one of the following options:</w:t>
      </w:r>
    </w:p>
    <w:p w14:paraId="67823368" w14:textId="77777777" w:rsidR="008D39A2" w:rsidRPr="00D43298" w:rsidRDefault="008D39A2" w:rsidP="00F20014">
      <w:pPr>
        <w:pStyle w:val="ListParagraph"/>
        <w:numPr>
          <w:ilvl w:val="1"/>
          <w:numId w:val="38"/>
        </w:numPr>
        <w:spacing w:before="0" w:after="0"/>
        <w:rPr>
          <w:rFonts w:cs="Segoe UI"/>
          <w:lang w:eastAsia="en-AU"/>
        </w:rPr>
      </w:pPr>
      <w:r w:rsidRPr="00D43298">
        <w:rPr>
          <w:rFonts w:cs="Segoe UI"/>
          <w:b/>
          <w:bCs/>
          <w:lang w:eastAsia="en-AU"/>
        </w:rPr>
        <w:t>Work-sharing initiative pathway</w:t>
      </w:r>
      <w:r w:rsidRPr="00D43298">
        <w:rPr>
          <w:rFonts w:cs="Segoe UI"/>
          <w:lang w:eastAsia="en-AU"/>
        </w:rPr>
        <w:t xml:space="preserve"> –</w:t>
      </w:r>
      <w:r w:rsidRPr="00D43298" w:rsidDel="00932D23">
        <w:rPr>
          <w:rFonts w:cs="Segoe UI"/>
          <w:lang w:eastAsia="en-AU"/>
        </w:rPr>
        <w:t xml:space="preserve"> </w:t>
      </w:r>
      <w:r w:rsidRPr="00D43298">
        <w:rPr>
          <w:rFonts w:cs="Segoe UI"/>
          <w:lang w:eastAsia="en-AU"/>
        </w:rPr>
        <w:t>concurrent reimbursement submissions are lodged in multiple jurisdictions and work on dossier modules is split among participating agencies.</w:t>
      </w:r>
    </w:p>
    <w:p w14:paraId="08FB0768" w14:textId="77777777" w:rsidR="008D39A2" w:rsidRPr="00D43298" w:rsidRDefault="008D39A2" w:rsidP="00F20014">
      <w:pPr>
        <w:pStyle w:val="ListParagraph"/>
        <w:numPr>
          <w:ilvl w:val="1"/>
          <w:numId w:val="38"/>
        </w:numPr>
        <w:spacing w:before="0" w:after="0"/>
        <w:rPr>
          <w:rFonts w:cs="Segoe UI"/>
          <w:lang w:eastAsia="en-AU"/>
        </w:rPr>
      </w:pPr>
      <w:r w:rsidRPr="00D43298">
        <w:rPr>
          <w:rFonts w:cs="Segoe UI"/>
          <w:b/>
          <w:bCs/>
          <w:lang w:eastAsia="en-AU"/>
        </w:rPr>
        <w:lastRenderedPageBreak/>
        <w:t>Comparable overseas agency</w:t>
      </w:r>
      <w:r w:rsidRPr="00D43298" w:rsidDel="00932D23">
        <w:rPr>
          <w:rFonts w:cs="Segoe UI"/>
          <w:b/>
          <w:bCs/>
          <w:lang w:eastAsia="en-AU"/>
        </w:rPr>
        <w:t xml:space="preserve"> </w:t>
      </w:r>
      <w:r w:rsidRPr="00D43298">
        <w:rPr>
          <w:rFonts w:cs="Segoe UI"/>
          <w:b/>
          <w:bCs/>
          <w:lang w:eastAsia="en-AU"/>
        </w:rPr>
        <w:t>pathway</w:t>
      </w:r>
      <w:r w:rsidRPr="00D43298">
        <w:rPr>
          <w:rFonts w:cs="Segoe UI"/>
          <w:lang w:eastAsia="en-AU"/>
        </w:rPr>
        <w:t xml:space="preserve"> – finalised HTA evaluations from comparable agencies are provided for review (with redactions for localised pricing information, as strictly necessary).</w:t>
      </w:r>
    </w:p>
    <w:p w14:paraId="2157E677" w14:textId="77777777" w:rsidR="008D39A2" w:rsidRPr="00D43298" w:rsidRDefault="008D39A2" w:rsidP="00F20014">
      <w:pPr>
        <w:pStyle w:val="ListParagraph"/>
        <w:numPr>
          <w:ilvl w:val="1"/>
          <w:numId w:val="38"/>
        </w:numPr>
        <w:spacing w:before="0" w:after="0"/>
        <w:rPr>
          <w:rFonts w:cs="Segoe UI"/>
          <w:lang w:eastAsia="en-AU"/>
        </w:rPr>
      </w:pPr>
      <w:r w:rsidRPr="00D43298">
        <w:rPr>
          <w:rFonts w:cs="Segoe UI"/>
          <w:b/>
          <w:bCs/>
          <w:lang w:eastAsia="en-AU"/>
        </w:rPr>
        <w:t>Joint expression of interest HTA pathway</w:t>
      </w:r>
      <w:r w:rsidRPr="00D43298">
        <w:rPr>
          <w:rFonts w:cs="Segoe UI"/>
          <w:lang w:eastAsia="en-AU"/>
        </w:rPr>
        <w:t xml:space="preserve"> –</w:t>
      </w:r>
      <w:r w:rsidRPr="00D43298" w:rsidDel="00932D23">
        <w:rPr>
          <w:rFonts w:cs="Segoe UI"/>
          <w:lang w:eastAsia="en-AU"/>
        </w:rPr>
        <w:t xml:space="preserve"> </w:t>
      </w:r>
      <w:r w:rsidRPr="00D43298">
        <w:rPr>
          <w:rFonts w:cs="Segoe UI"/>
          <w:lang w:eastAsia="en-AU"/>
        </w:rPr>
        <w:t>sponsors are invited by HTA agencies to bring forward priority submissions for joint reimbursement evaluation (e.g. specific rare disease treatments or treatments for narrow indications of relevance).</w:t>
      </w:r>
    </w:p>
    <w:p w14:paraId="44313A39" w14:textId="77777777" w:rsidR="008D39A2" w:rsidRPr="00D43298" w:rsidRDefault="008D39A2" w:rsidP="00F20014">
      <w:pPr>
        <w:pStyle w:val="ListParagraph"/>
        <w:numPr>
          <w:ilvl w:val="1"/>
          <w:numId w:val="38"/>
        </w:numPr>
        <w:spacing w:before="0" w:after="0"/>
        <w:rPr>
          <w:rFonts w:cs="Segoe UI"/>
          <w:lang w:eastAsia="en-AU"/>
        </w:rPr>
      </w:pPr>
      <w:r w:rsidRPr="00D43298">
        <w:rPr>
          <w:rFonts w:cs="Segoe UI"/>
          <w:b/>
          <w:bCs/>
          <w:lang w:eastAsia="en-AU"/>
        </w:rPr>
        <w:t>Hybrid sequential lodgement pathway</w:t>
      </w:r>
      <w:r w:rsidRPr="00D43298">
        <w:rPr>
          <w:rFonts w:cs="Segoe UI"/>
          <w:lang w:eastAsia="en-AU"/>
        </w:rPr>
        <w:t xml:space="preserve"> –</w:t>
      </w:r>
      <w:r w:rsidRPr="00D43298" w:rsidDel="00932D23">
        <w:rPr>
          <w:rFonts w:cs="Segoe UI"/>
          <w:lang w:eastAsia="en-AU"/>
        </w:rPr>
        <w:t xml:space="preserve"> </w:t>
      </w:r>
      <w:r w:rsidRPr="00D43298">
        <w:rPr>
          <w:rFonts w:cs="Segoe UI"/>
          <w:lang w:eastAsia="en-AU"/>
        </w:rPr>
        <w:t>dossiers may not be lodged concurrently, but access to interim evaluations from HTA agencies that are further along in HTA considerations are shared with the agreement of the sponsor, to facilitate expedited local evaluation.</w:t>
      </w:r>
    </w:p>
    <w:p w14:paraId="2F937220" w14:textId="77777777" w:rsidR="008D39A2" w:rsidRPr="004B2BAF" w:rsidRDefault="008D39A2" w:rsidP="00F20014">
      <w:pPr>
        <w:pStyle w:val="ListParagraph"/>
        <w:numPr>
          <w:ilvl w:val="0"/>
          <w:numId w:val="38"/>
        </w:numPr>
        <w:spacing w:before="0" w:after="0"/>
        <w:rPr>
          <w:rFonts w:cs="Segoe UI"/>
        </w:rPr>
      </w:pPr>
      <w:r>
        <w:rPr>
          <w:rFonts w:cs="Segoe UI"/>
          <w:lang w:eastAsia="en-AU"/>
        </w:rPr>
        <w:t>u</w:t>
      </w:r>
      <w:r w:rsidRPr="00D20132">
        <w:rPr>
          <w:rFonts w:cs="Segoe UI"/>
          <w:lang w:eastAsia="en-AU"/>
        </w:rPr>
        <w:t>pdate its parallel scientific advice</w:t>
      </w:r>
      <w:r>
        <w:rPr>
          <w:rFonts w:cs="Segoe UI"/>
          <w:lang w:eastAsia="en-AU"/>
        </w:rPr>
        <w:t xml:space="preserve"> and </w:t>
      </w:r>
      <w:r w:rsidRPr="00D20132">
        <w:rPr>
          <w:rFonts w:cs="Segoe UI"/>
          <w:lang w:eastAsia="en-AU"/>
        </w:rPr>
        <w:t xml:space="preserve">early dialogue policies to facilitate discussions with industry sponsors, health technology users (principally clinicians and patients) and HTA and regulatory entities earlier than current arrangements (locally </w:t>
      </w:r>
      <w:bookmarkStart w:id="78" w:name="_Int_92pw7iuw"/>
      <w:r w:rsidRPr="00D20132">
        <w:rPr>
          <w:rFonts w:cs="Segoe UI"/>
          <w:lang w:eastAsia="en-AU"/>
        </w:rPr>
        <w:t>or</w:t>
      </w:r>
      <w:bookmarkEnd w:id="78"/>
      <w:r w:rsidRPr="00D20132">
        <w:rPr>
          <w:rFonts w:cs="Segoe UI"/>
          <w:lang w:eastAsia="en-AU"/>
        </w:rPr>
        <w:t xml:space="preserve"> regionally)</w:t>
      </w:r>
      <w:r>
        <w:rPr>
          <w:rFonts w:cs="Segoe UI"/>
          <w:lang w:eastAsia="en-AU"/>
        </w:rPr>
        <w:t>,</w:t>
      </w:r>
      <w:r w:rsidRPr="00D20132">
        <w:rPr>
          <w:rFonts w:cs="Segoe UI"/>
          <w:lang w:eastAsia="en-AU"/>
        </w:rPr>
        <w:t xml:space="preserve"> where a joint HTA evaluation is under consideration.</w:t>
      </w:r>
    </w:p>
    <w:p w14:paraId="468E1229" w14:textId="77777777" w:rsidR="008D39A2" w:rsidRPr="00921396" w:rsidRDefault="008D39A2" w:rsidP="00484B58">
      <w:pPr>
        <w:pStyle w:val="Recommendation1"/>
      </w:pPr>
      <w:bookmarkStart w:id="79" w:name="_Hlk167302704"/>
      <w:r>
        <w:t>Supporting architecture resourcing</w:t>
      </w:r>
    </w:p>
    <w:bookmarkEnd w:id="79"/>
    <w:p w14:paraId="535B953F" w14:textId="77777777" w:rsidR="008D39A2" w:rsidRPr="008E1E78" w:rsidRDefault="008D39A2" w:rsidP="008D39A2">
      <w:pPr>
        <w:rPr>
          <w:b/>
          <w:bCs/>
        </w:rPr>
      </w:pPr>
      <w:r w:rsidRPr="00405FD7">
        <w:t xml:space="preserve">The Review recommends </w:t>
      </w:r>
      <w:r>
        <w:t xml:space="preserve">that </w:t>
      </w:r>
      <w:r w:rsidRPr="00405FD7">
        <w:t>the Australian Government</w:t>
      </w:r>
      <w:r w:rsidRPr="00770603">
        <w:rPr>
          <w:b/>
          <w:bCs/>
        </w:rPr>
        <w:t xml:space="preserve"> </w:t>
      </w:r>
      <w:proofErr w:type="gramStart"/>
      <w:r w:rsidRPr="00770603">
        <w:rPr>
          <w:lang w:eastAsia="en-AU"/>
        </w:rPr>
        <w:t>give careful consideration to</w:t>
      </w:r>
      <w:proofErr w:type="gramEnd"/>
      <w:r w:rsidRPr="00770603">
        <w:rPr>
          <w:lang w:eastAsia="en-AU"/>
        </w:rPr>
        <w:t xml:space="preserve"> the quantity and alignment of resources (financial and personnel) required to effectively implement any agreed recommendations arising from this Review. This includes: </w:t>
      </w:r>
    </w:p>
    <w:p w14:paraId="7B79705E" w14:textId="77777777" w:rsidR="008D39A2" w:rsidRDefault="008D39A2" w:rsidP="00F20014">
      <w:pPr>
        <w:pStyle w:val="ListParagraph"/>
        <w:numPr>
          <w:ilvl w:val="0"/>
          <w:numId w:val="39"/>
        </w:numPr>
        <w:spacing w:before="0" w:after="160"/>
        <w:rPr>
          <w:rFonts w:cs="Segoe UI"/>
          <w:lang w:eastAsia="en-AU"/>
        </w:rPr>
      </w:pPr>
      <w:r w:rsidRPr="002B3687">
        <w:rPr>
          <w:rFonts w:cs="Segoe UI"/>
          <w:lang w:eastAsia="en-AU"/>
        </w:rPr>
        <w:t>appropriations for new activities</w:t>
      </w:r>
    </w:p>
    <w:p w14:paraId="7CD8C838" w14:textId="77777777" w:rsidR="008D39A2" w:rsidRPr="002B3687" w:rsidRDefault="008D39A2" w:rsidP="00F20014">
      <w:pPr>
        <w:pStyle w:val="ListParagraph"/>
        <w:numPr>
          <w:ilvl w:val="0"/>
          <w:numId w:val="39"/>
        </w:numPr>
        <w:spacing w:before="0" w:after="0"/>
        <w:rPr>
          <w:rFonts w:cs="Segoe UI"/>
          <w:lang w:eastAsia="en-AU"/>
        </w:rPr>
      </w:pPr>
      <w:r>
        <w:rPr>
          <w:rFonts w:cs="Segoe UI"/>
          <w:lang w:eastAsia="en-AU"/>
        </w:rPr>
        <w:t xml:space="preserve">additional </w:t>
      </w:r>
      <w:r w:rsidRPr="002B3687">
        <w:rPr>
          <w:rFonts w:cs="Segoe UI"/>
          <w:lang w:eastAsia="en-AU"/>
        </w:rPr>
        <w:t xml:space="preserve">resourcing necessary to reform and/or strengthen existing functions that are essential to support the </w:t>
      </w:r>
      <w:r w:rsidRPr="002A2548">
        <w:rPr>
          <w:rFonts w:cs="Segoe UI"/>
          <w:lang w:eastAsia="en-AU"/>
        </w:rPr>
        <w:t>HTA</w:t>
      </w:r>
      <w:r w:rsidRPr="002A2548" w:rsidDel="002A2548">
        <w:rPr>
          <w:rFonts w:cs="Segoe UI"/>
          <w:lang w:eastAsia="en-AU"/>
        </w:rPr>
        <w:t xml:space="preserve"> </w:t>
      </w:r>
      <w:r w:rsidRPr="002B3687">
        <w:rPr>
          <w:rFonts w:cs="Segoe UI"/>
          <w:lang w:eastAsia="en-AU"/>
        </w:rPr>
        <w:t xml:space="preserve">process and translate HTA recommendations into health technology access for patients. These </w:t>
      </w:r>
      <w:r>
        <w:rPr>
          <w:rFonts w:cs="Segoe UI"/>
          <w:lang w:eastAsia="en-AU"/>
        </w:rPr>
        <w:t xml:space="preserve">functions </w:t>
      </w:r>
      <w:r w:rsidRPr="002B3687">
        <w:rPr>
          <w:rFonts w:cs="Segoe UI"/>
          <w:lang w:eastAsia="en-AU"/>
        </w:rPr>
        <w:t>include, but are not limited to</w:t>
      </w:r>
      <w:r w:rsidRPr="6CC68A72">
        <w:rPr>
          <w:rFonts w:cs="Segoe UI"/>
          <w:lang w:eastAsia="en-AU"/>
        </w:rPr>
        <w:t>:</w:t>
      </w:r>
    </w:p>
    <w:p w14:paraId="23861923" w14:textId="77777777" w:rsidR="008D39A2" w:rsidRPr="00D43298" w:rsidRDefault="008D39A2" w:rsidP="00F20014">
      <w:pPr>
        <w:pStyle w:val="ListParagraph"/>
        <w:numPr>
          <w:ilvl w:val="1"/>
          <w:numId w:val="39"/>
        </w:numPr>
        <w:spacing w:before="0" w:after="0"/>
        <w:rPr>
          <w:rFonts w:cs="Segoe UI"/>
          <w:lang w:eastAsia="en-AU"/>
        </w:rPr>
      </w:pPr>
      <w:r w:rsidRPr="00D43298">
        <w:rPr>
          <w:rFonts w:cs="Segoe UI"/>
          <w:lang w:eastAsia="en-AU"/>
        </w:rPr>
        <w:t>health communications expertise</w:t>
      </w:r>
    </w:p>
    <w:p w14:paraId="6A7F12E1" w14:textId="77777777" w:rsidR="008D39A2" w:rsidRPr="00D43298" w:rsidRDefault="008D39A2" w:rsidP="00F20014">
      <w:pPr>
        <w:pStyle w:val="ListParagraph"/>
        <w:numPr>
          <w:ilvl w:val="1"/>
          <w:numId w:val="39"/>
        </w:numPr>
        <w:spacing w:before="0" w:after="0"/>
        <w:rPr>
          <w:rFonts w:cs="Segoe UI"/>
          <w:lang w:eastAsia="en-AU"/>
        </w:rPr>
      </w:pPr>
      <w:r w:rsidRPr="00D43298">
        <w:rPr>
          <w:rFonts w:cs="Segoe UI"/>
          <w:lang w:eastAsia="en-AU"/>
        </w:rPr>
        <w:t>enhanced stakeholder engagement</w:t>
      </w:r>
    </w:p>
    <w:p w14:paraId="2804204D" w14:textId="77777777" w:rsidR="008D39A2" w:rsidRPr="00D43298" w:rsidRDefault="008D39A2" w:rsidP="00F20014">
      <w:pPr>
        <w:pStyle w:val="ListParagraph"/>
        <w:numPr>
          <w:ilvl w:val="1"/>
          <w:numId w:val="39"/>
        </w:numPr>
        <w:spacing w:before="0" w:after="0"/>
        <w:rPr>
          <w:rFonts w:cs="Segoe UI"/>
          <w:lang w:eastAsia="en-AU"/>
        </w:rPr>
      </w:pPr>
      <w:r w:rsidRPr="00D43298">
        <w:rPr>
          <w:rFonts w:cs="Segoe UI"/>
          <w:lang w:eastAsia="en-AU"/>
        </w:rPr>
        <w:t>commercial negotiation</w:t>
      </w:r>
    </w:p>
    <w:p w14:paraId="4157E64A" w14:textId="77777777" w:rsidR="008D39A2" w:rsidRPr="00D43298" w:rsidRDefault="008D39A2" w:rsidP="00F20014">
      <w:pPr>
        <w:pStyle w:val="ListParagraph"/>
        <w:numPr>
          <w:ilvl w:val="1"/>
          <w:numId w:val="39"/>
        </w:numPr>
        <w:spacing w:before="0" w:after="0"/>
        <w:rPr>
          <w:rFonts w:cs="Segoe UI"/>
          <w:lang w:eastAsia="en-AU"/>
        </w:rPr>
      </w:pPr>
      <w:r w:rsidRPr="00D43298">
        <w:rPr>
          <w:rFonts w:cs="Segoe UI"/>
          <w:lang w:eastAsia="en-AU"/>
        </w:rPr>
        <w:t>HTA evaluation</w:t>
      </w:r>
    </w:p>
    <w:p w14:paraId="2C078E63" w14:textId="3CE0F9AA" w:rsidR="00DA255D" w:rsidRPr="00F307F7" w:rsidRDefault="008D39A2" w:rsidP="008F16BB">
      <w:pPr>
        <w:pStyle w:val="ListParagraph"/>
        <w:numPr>
          <w:ilvl w:val="1"/>
          <w:numId w:val="39"/>
        </w:numPr>
        <w:spacing w:before="0" w:after="0"/>
        <w:rPr>
          <w:rFonts w:cs="Segoe UI"/>
          <w:lang w:eastAsia="en-AU"/>
        </w:rPr>
      </w:pPr>
      <w:r w:rsidRPr="00D43298">
        <w:rPr>
          <w:rFonts w:cs="Segoe UI"/>
          <w:lang w:eastAsia="en-AU"/>
        </w:rPr>
        <w:t>triaging and case management support.</w:t>
      </w:r>
    </w:p>
    <w:sectPr w:rsidR="00DA255D" w:rsidRPr="00F307F7">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38463" w14:textId="77777777" w:rsidR="00AF3EB8" w:rsidRDefault="00AF3EB8" w:rsidP="00A7241E">
      <w:pPr>
        <w:spacing w:before="0" w:after="0" w:line="240" w:lineRule="auto"/>
      </w:pPr>
      <w:r>
        <w:separator/>
      </w:r>
    </w:p>
  </w:endnote>
  <w:endnote w:type="continuationSeparator" w:id="0">
    <w:p w14:paraId="34FB0277" w14:textId="77777777" w:rsidR="00AF3EB8" w:rsidRDefault="00AF3EB8" w:rsidP="00A7241E">
      <w:pPr>
        <w:spacing w:before="0" w:after="0" w:line="240" w:lineRule="auto"/>
      </w:pPr>
      <w:r>
        <w:continuationSeparator/>
      </w:r>
    </w:p>
  </w:endnote>
  <w:endnote w:type="continuationNotice" w:id="1">
    <w:p w14:paraId="69959687" w14:textId="77777777" w:rsidR="00AF3EB8" w:rsidRDefault="00AF3E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574675"/>
      <w:docPartObj>
        <w:docPartGallery w:val="Page Numbers (Bottom of Page)"/>
        <w:docPartUnique/>
      </w:docPartObj>
    </w:sdtPr>
    <w:sdtEndPr>
      <w:rPr>
        <w:noProof/>
      </w:rPr>
    </w:sdtEndPr>
    <w:sdtContent>
      <w:p w14:paraId="3C4E4A65" w14:textId="7A2DDF2E" w:rsidR="00A7241E" w:rsidRDefault="00A724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7A00BA" w14:textId="77777777" w:rsidR="00A7241E" w:rsidRDefault="00A72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80AFE" w14:textId="77777777" w:rsidR="00AF3EB8" w:rsidRDefault="00AF3EB8" w:rsidP="00A7241E">
      <w:pPr>
        <w:spacing w:before="0" w:after="0" w:line="240" w:lineRule="auto"/>
      </w:pPr>
      <w:r>
        <w:separator/>
      </w:r>
    </w:p>
  </w:footnote>
  <w:footnote w:type="continuationSeparator" w:id="0">
    <w:p w14:paraId="78FD7945" w14:textId="77777777" w:rsidR="00AF3EB8" w:rsidRDefault="00AF3EB8" w:rsidP="00A7241E">
      <w:pPr>
        <w:spacing w:before="0" w:after="0" w:line="240" w:lineRule="auto"/>
      </w:pPr>
      <w:r>
        <w:continuationSeparator/>
      </w:r>
    </w:p>
  </w:footnote>
  <w:footnote w:type="continuationNotice" w:id="1">
    <w:p w14:paraId="533EF484" w14:textId="77777777" w:rsidR="00AF3EB8" w:rsidRDefault="00AF3EB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87B" w14:textId="759F4765" w:rsidR="00644D64" w:rsidRPr="00D30452" w:rsidRDefault="00484B58" w:rsidP="00484B58">
    <w:pPr>
      <w:pStyle w:val="Header"/>
      <w:jc w:val="right"/>
      <w:rPr>
        <w:rStyle w:val="Emphasis"/>
        <w:i w:val="0"/>
        <w:iCs w:val="0"/>
        <w:color w:val="00717A"/>
        <w:sz w:val="20"/>
        <w:szCs w:val="20"/>
      </w:rPr>
    </w:pPr>
    <w:r>
      <w:rPr>
        <w:i/>
        <w:iCs/>
        <w:color w:val="00717A"/>
        <w:sz w:val="20"/>
        <w:szCs w:val="20"/>
      </w:rPr>
      <w:t>Full r</w:t>
    </w:r>
    <w:r w:rsidR="00644D64" w:rsidRPr="00D30452">
      <w:rPr>
        <w:i/>
        <w:iCs/>
        <w:color w:val="00717A"/>
        <w:sz w:val="20"/>
        <w:szCs w:val="20"/>
      </w:rPr>
      <w:t>ec</w:t>
    </w:r>
    <w:r w:rsidR="00344FE7" w:rsidRPr="00D30452">
      <w:rPr>
        <w:i/>
        <w:iCs/>
        <w:color w:val="00717A"/>
        <w:sz w:val="20"/>
        <w:szCs w:val="20"/>
      </w:rPr>
      <w:t>ommendations of the H</w:t>
    </w:r>
    <w:r>
      <w:rPr>
        <w:i/>
        <w:iCs/>
        <w:color w:val="00717A"/>
        <w:sz w:val="20"/>
        <w:szCs w:val="20"/>
      </w:rPr>
      <w:t>ealth Technology Assessment Policy and Methods</w:t>
    </w:r>
    <w:r w:rsidR="00344FE7" w:rsidRPr="00D30452">
      <w:rPr>
        <w:i/>
        <w:iCs/>
        <w:color w:val="00717A"/>
        <w:sz w:val="20"/>
        <w:szCs w:val="20"/>
      </w:rPr>
      <w:t xml:space="preserv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059"/>
    <w:multiLevelType w:val="multilevel"/>
    <w:tmpl w:val="F8C0684A"/>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1" w15:restartNumberingAfterBreak="0">
    <w:nsid w:val="036B6018"/>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2" w15:restartNumberingAfterBreak="0">
    <w:nsid w:val="071B4D78"/>
    <w:multiLevelType w:val="multilevel"/>
    <w:tmpl w:val="F8C0684A"/>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3" w15:restartNumberingAfterBreak="0">
    <w:nsid w:val="088517EA"/>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4" w15:restartNumberingAfterBreak="0">
    <w:nsid w:val="096047A8"/>
    <w:multiLevelType w:val="multilevel"/>
    <w:tmpl w:val="73BA357C"/>
    <w:lvl w:ilvl="0">
      <w:start w:val="1"/>
      <w:numFmt w:val="lowerLetter"/>
      <w:lvlText w:val="%1."/>
      <w:lvlJc w:val="left"/>
      <w:pPr>
        <w:tabs>
          <w:tab w:val="num" w:pos="720"/>
        </w:tabs>
        <w:ind w:left="720" w:hanging="363"/>
      </w:pPr>
      <w:rPr>
        <w:rFonts w:hint="default"/>
        <w:sz w:val="24"/>
        <w:szCs w:val="24"/>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5" w15:restartNumberingAfterBreak="0">
    <w:nsid w:val="09F65E7A"/>
    <w:multiLevelType w:val="hybridMultilevel"/>
    <w:tmpl w:val="862A78D8"/>
    <w:lvl w:ilvl="0" w:tplc="92D4465E">
      <w:start w:val="1"/>
      <w:numFmt w:val="decimal"/>
      <w:pStyle w:val="ListNumber"/>
      <w:lvlText w:val="%1."/>
      <w:lvlJc w:val="left"/>
      <w:pPr>
        <w:ind w:left="723" w:hanging="360"/>
      </w:p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6" w15:restartNumberingAfterBreak="0">
    <w:nsid w:val="0B5329FB"/>
    <w:multiLevelType w:val="multilevel"/>
    <w:tmpl w:val="CF3A8320"/>
    <w:lvl w:ilvl="0">
      <w:start w:val="1"/>
      <w:numFmt w:val="lowerLetter"/>
      <w:lvlText w:val="%1."/>
      <w:lvlJc w:val="left"/>
      <w:pPr>
        <w:tabs>
          <w:tab w:val="num" w:pos="720"/>
        </w:tabs>
        <w:ind w:left="720" w:hanging="363"/>
      </w:pPr>
      <w:rPr>
        <w:rFonts w:hint="default"/>
        <w:sz w:val="24"/>
        <w:szCs w:val="24"/>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7" w15:restartNumberingAfterBreak="0">
    <w:nsid w:val="0BFE4D00"/>
    <w:multiLevelType w:val="multilevel"/>
    <w:tmpl w:val="F8C0684A"/>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8" w15:restartNumberingAfterBreak="0">
    <w:nsid w:val="0D5E052B"/>
    <w:multiLevelType w:val="multilevel"/>
    <w:tmpl w:val="F8C0684A"/>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9" w15:restartNumberingAfterBreak="0">
    <w:nsid w:val="0F41555D"/>
    <w:multiLevelType w:val="multilevel"/>
    <w:tmpl w:val="F8C0684A"/>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10" w15:restartNumberingAfterBreak="0">
    <w:nsid w:val="0FA728F3"/>
    <w:multiLevelType w:val="multilevel"/>
    <w:tmpl w:val="F8C0684A"/>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11" w15:restartNumberingAfterBreak="0">
    <w:nsid w:val="107753F9"/>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12" w15:restartNumberingAfterBreak="0">
    <w:nsid w:val="12073839"/>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13" w15:restartNumberingAfterBreak="0">
    <w:nsid w:val="124A4547"/>
    <w:multiLevelType w:val="multilevel"/>
    <w:tmpl w:val="F8C0684A"/>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14" w15:restartNumberingAfterBreak="0">
    <w:nsid w:val="12CF525C"/>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15" w15:restartNumberingAfterBreak="0">
    <w:nsid w:val="134E5B79"/>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16" w15:restartNumberingAfterBreak="0">
    <w:nsid w:val="13DC2142"/>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17" w15:restartNumberingAfterBreak="0">
    <w:nsid w:val="1A2656DD"/>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18" w15:restartNumberingAfterBreak="0">
    <w:nsid w:val="1AE46436"/>
    <w:multiLevelType w:val="multilevel"/>
    <w:tmpl w:val="F8C0684A"/>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19" w15:restartNumberingAfterBreak="0">
    <w:nsid w:val="1CAF0EC6"/>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20" w15:restartNumberingAfterBreak="0">
    <w:nsid w:val="1DA16177"/>
    <w:multiLevelType w:val="multilevel"/>
    <w:tmpl w:val="CF3A8320"/>
    <w:lvl w:ilvl="0">
      <w:start w:val="1"/>
      <w:numFmt w:val="lowerLetter"/>
      <w:lvlText w:val="%1."/>
      <w:lvlJc w:val="left"/>
      <w:pPr>
        <w:tabs>
          <w:tab w:val="num" w:pos="720"/>
        </w:tabs>
        <w:ind w:left="720" w:hanging="363"/>
      </w:pPr>
      <w:rPr>
        <w:rFonts w:hint="default"/>
        <w:sz w:val="24"/>
        <w:szCs w:val="24"/>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21" w15:restartNumberingAfterBreak="0">
    <w:nsid w:val="21BE35AD"/>
    <w:multiLevelType w:val="multilevel"/>
    <w:tmpl w:val="861A3CD4"/>
    <w:lvl w:ilvl="0">
      <w:start w:val="1"/>
      <w:numFmt w:val="lowerLetter"/>
      <w:lvlText w:val="%1."/>
      <w:lvlJc w:val="left"/>
      <w:pPr>
        <w:tabs>
          <w:tab w:val="num" w:pos="567"/>
        </w:tabs>
        <w:ind w:left="924" w:hanging="357"/>
      </w:pPr>
      <w:rPr>
        <w:rFonts w:ascii="Segoe UI" w:hAnsi="Segoe UI" w:hint="default"/>
        <w:sz w:val="24"/>
      </w:rPr>
    </w:lvl>
    <w:lvl w:ilvl="1">
      <w:start w:val="1"/>
      <w:numFmt w:val="lowerRoman"/>
      <w:lvlText w:val="%2."/>
      <w:lvlJc w:val="left"/>
      <w:pPr>
        <w:tabs>
          <w:tab w:val="num" w:pos="992"/>
        </w:tabs>
        <w:ind w:left="1355" w:hanging="363"/>
      </w:pPr>
      <w:rPr>
        <w:rFonts w:ascii="Segoe UI" w:hAnsi="Segoe UI" w:hint="default"/>
        <w:sz w:val="24"/>
      </w:rPr>
    </w:lvl>
    <w:lvl w:ilvl="2">
      <w:start w:val="1"/>
      <w:numFmt w:val="decimal"/>
      <w:lvlRestart w:val="1"/>
      <w:lvlText w:val="%3."/>
      <w:lvlJc w:val="left"/>
      <w:pPr>
        <w:ind w:left="1644" w:hanging="357"/>
      </w:pPr>
      <w:rPr>
        <w:rFonts w:ascii="Segoe UI" w:hAnsi="Segoe UI" w:hint="default"/>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ascii="Segoe UI" w:eastAsia="Calibri" w:hAnsi="Segoe UI" w:cs="Segoe UI" w:hint="default"/>
      </w:rPr>
    </w:lvl>
    <w:lvl w:ilvl="7">
      <w:start w:val="1"/>
      <w:numFmt w:val="lowerLetter"/>
      <w:lvlText w:val="%8."/>
      <w:lvlJc w:val="left"/>
      <w:pPr>
        <w:ind w:left="3960" w:hanging="360"/>
      </w:pPr>
      <w:rPr>
        <w:rFonts w:hint="default"/>
      </w:rPr>
    </w:lvl>
    <w:lvl w:ilvl="8">
      <w:start w:val="1"/>
      <w:numFmt w:val="lowerLetter"/>
      <w:lvlText w:val="%9."/>
      <w:lvlJc w:val="left"/>
      <w:pPr>
        <w:ind w:left="4320" w:hanging="362"/>
      </w:pPr>
      <w:rPr>
        <w:rFonts w:ascii="Segoe UI" w:eastAsiaTheme="minorHAnsi" w:hAnsi="Segoe UI" w:cs="Segoe UI" w:hint="default"/>
      </w:rPr>
    </w:lvl>
  </w:abstractNum>
  <w:abstractNum w:abstractNumId="22" w15:restartNumberingAfterBreak="0">
    <w:nsid w:val="24FB69FB"/>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23" w15:restartNumberingAfterBreak="0">
    <w:nsid w:val="2AD621BA"/>
    <w:multiLevelType w:val="multilevel"/>
    <w:tmpl w:val="CF3A8320"/>
    <w:lvl w:ilvl="0">
      <w:start w:val="1"/>
      <w:numFmt w:val="lowerLetter"/>
      <w:lvlText w:val="%1."/>
      <w:lvlJc w:val="left"/>
      <w:pPr>
        <w:tabs>
          <w:tab w:val="num" w:pos="720"/>
        </w:tabs>
        <w:ind w:left="720" w:hanging="363"/>
      </w:pPr>
      <w:rPr>
        <w:rFonts w:hint="default"/>
        <w:sz w:val="24"/>
        <w:szCs w:val="24"/>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24" w15:restartNumberingAfterBreak="0">
    <w:nsid w:val="2AE726A1"/>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25" w15:restartNumberingAfterBreak="0">
    <w:nsid w:val="2CAE438F"/>
    <w:multiLevelType w:val="multilevel"/>
    <w:tmpl w:val="F8C0684A"/>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26" w15:restartNumberingAfterBreak="0">
    <w:nsid w:val="2F9053D7"/>
    <w:multiLevelType w:val="multilevel"/>
    <w:tmpl w:val="CF3A8320"/>
    <w:lvl w:ilvl="0">
      <w:start w:val="1"/>
      <w:numFmt w:val="lowerLetter"/>
      <w:lvlText w:val="%1."/>
      <w:lvlJc w:val="left"/>
      <w:pPr>
        <w:tabs>
          <w:tab w:val="num" w:pos="720"/>
        </w:tabs>
        <w:ind w:left="720" w:hanging="363"/>
      </w:pPr>
      <w:rPr>
        <w:rFonts w:hint="default"/>
        <w:sz w:val="24"/>
        <w:szCs w:val="24"/>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27" w15:restartNumberingAfterBreak="0">
    <w:nsid w:val="31AA77A0"/>
    <w:multiLevelType w:val="multilevel"/>
    <w:tmpl w:val="CF3A8320"/>
    <w:lvl w:ilvl="0">
      <w:start w:val="1"/>
      <w:numFmt w:val="lowerLetter"/>
      <w:lvlText w:val="%1."/>
      <w:lvlJc w:val="left"/>
      <w:pPr>
        <w:tabs>
          <w:tab w:val="num" w:pos="720"/>
        </w:tabs>
        <w:ind w:left="720" w:hanging="363"/>
      </w:pPr>
      <w:rPr>
        <w:rFonts w:hint="default"/>
        <w:sz w:val="24"/>
        <w:szCs w:val="24"/>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28" w15:restartNumberingAfterBreak="0">
    <w:nsid w:val="340D05CE"/>
    <w:multiLevelType w:val="multilevel"/>
    <w:tmpl w:val="DB3286B0"/>
    <w:lvl w:ilvl="0">
      <w:start w:val="1"/>
      <w:numFmt w:val="lowerLetter"/>
      <w:lvlText w:val="%1."/>
      <w:lvlJc w:val="left"/>
      <w:pPr>
        <w:tabs>
          <w:tab w:val="num" w:pos="720"/>
        </w:tabs>
        <w:ind w:left="720" w:hanging="363"/>
      </w:pPr>
      <w:rPr>
        <w:rFonts w:hint="default"/>
        <w:color w:val="auto"/>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29" w15:restartNumberingAfterBreak="0">
    <w:nsid w:val="35194B47"/>
    <w:multiLevelType w:val="multilevel"/>
    <w:tmpl w:val="861A3CD4"/>
    <w:lvl w:ilvl="0">
      <w:start w:val="1"/>
      <w:numFmt w:val="lowerLetter"/>
      <w:lvlText w:val="%1."/>
      <w:lvlJc w:val="left"/>
      <w:pPr>
        <w:tabs>
          <w:tab w:val="num" w:pos="567"/>
        </w:tabs>
        <w:ind w:left="924" w:hanging="357"/>
      </w:pPr>
      <w:rPr>
        <w:rFonts w:ascii="Segoe UI" w:hAnsi="Segoe UI" w:hint="default"/>
        <w:sz w:val="24"/>
      </w:rPr>
    </w:lvl>
    <w:lvl w:ilvl="1">
      <w:start w:val="1"/>
      <w:numFmt w:val="lowerRoman"/>
      <w:lvlText w:val="%2."/>
      <w:lvlJc w:val="left"/>
      <w:pPr>
        <w:tabs>
          <w:tab w:val="num" w:pos="992"/>
        </w:tabs>
        <w:ind w:left="1355" w:hanging="363"/>
      </w:pPr>
      <w:rPr>
        <w:rFonts w:ascii="Segoe UI" w:hAnsi="Segoe UI" w:hint="default"/>
        <w:sz w:val="24"/>
      </w:rPr>
    </w:lvl>
    <w:lvl w:ilvl="2">
      <w:start w:val="1"/>
      <w:numFmt w:val="decimal"/>
      <w:lvlRestart w:val="1"/>
      <w:lvlText w:val="%3."/>
      <w:lvlJc w:val="left"/>
      <w:pPr>
        <w:ind w:left="1644" w:hanging="357"/>
      </w:pPr>
      <w:rPr>
        <w:rFonts w:ascii="Segoe UI" w:hAnsi="Segoe UI" w:hint="default"/>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ascii="Segoe UI" w:eastAsia="Calibri" w:hAnsi="Segoe UI" w:cs="Segoe UI" w:hint="default"/>
      </w:rPr>
    </w:lvl>
    <w:lvl w:ilvl="7">
      <w:start w:val="1"/>
      <w:numFmt w:val="lowerLetter"/>
      <w:lvlText w:val="%8."/>
      <w:lvlJc w:val="left"/>
      <w:pPr>
        <w:ind w:left="3960" w:hanging="360"/>
      </w:pPr>
      <w:rPr>
        <w:rFonts w:hint="default"/>
      </w:rPr>
    </w:lvl>
    <w:lvl w:ilvl="8">
      <w:start w:val="1"/>
      <w:numFmt w:val="lowerLetter"/>
      <w:lvlText w:val="%9."/>
      <w:lvlJc w:val="left"/>
      <w:pPr>
        <w:ind w:left="4320" w:hanging="362"/>
      </w:pPr>
      <w:rPr>
        <w:rFonts w:ascii="Segoe UI" w:eastAsiaTheme="minorHAnsi" w:hAnsi="Segoe UI" w:cs="Segoe UI" w:hint="default"/>
      </w:rPr>
    </w:lvl>
  </w:abstractNum>
  <w:abstractNum w:abstractNumId="30" w15:restartNumberingAfterBreak="0">
    <w:nsid w:val="36761311"/>
    <w:multiLevelType w:val="multilevel"/>
    <w:tmpl w:val="73BA357C"/>
    <w:lvl w:ilvl="0">
      <w:start w:val="1"/>
      <w:numFmt w:val="lowerLetter"/>
      <w:lvlText w:val="%1."/>
      <w:lvlJc w:val="left"/>
      <w:pPr>
        <w:tabs>
          <w:tab w:val="num" w:pos="720"/>
        </w:tabs>
        <w:ind w:left="720" w:hanging="363"/>
      </w:pPr>
      <w:rPr>
        <w:rFonts w:hint="default"/>
        <w:sz w:val="24"/>
        <w:szCs w:val="24"/>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31" w15:restartNumberingAfterBreak="0">
    <w:nsid w:val="37846F58"/>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32" w15:restartNumberingAfterBreak="0">
    <w:nsid w:val="39C57D5A"/>
    <w:multiLevelType w:val="multilevel"/>
    <w:tmpl w:val="EDF43DC2"/>
    <w:lvl w:ilvl="0">
      <w:start w:val="4"/>
      <w:numFmt w:val="lowerLetter"/>
      <w:lvlText w:val="%1."/>
      <w:lvlJc w:val="left"/>
      <w:pPr>
        <w:tabs>
          <w:tab w:val="num" w:pos="567"/>
        </w:tabs>
        <w:ind w:left="924" w:hanging="357"/>
      </w:pPr>
      <w:rPr>
        <w:rFonts w:ascii="Segoe UI" w:hAnsi="Segoe UI" w:hint="default"/>
        <w:sz w:val="24"/>
      </w:rPr>
    </w:lvl>
    <w:lvl w:ilvl="1">
      <w:start w:val="1"/>
      <w:numFmt w:val="lowerRoman"/>
      <w:lvlText w:val="%2."/>
      <w:lvlJc w:val="left"/>
      <w:pPr>
        <w:tabs>
          <w:tab w:val="num" w:pos="992"/>
        </w:tabs>
        <w:ind w:left="1355" w:hanging="363"/>
      </w:pPr>
      <w:rPr>
        <w:rFonts w:ascii="Segoe UI" w:hAnsi="Segoe UI" w:hint="default"/>
        <w:sz w:val="24"/>
      </w:rPr>
    </w:lvl>
    <w:lvl w:ilvl="2">
      <w:start w:val="1"/>
      <w:numFmt w:val="decimal"/>
      <w:lvlRestart w:val="1"/>
      <w:lvlText w:val="%3."/>
      <w:lvlJc w:val="left"/>
      <w:pPr>
        <w:ind w:left="1644" w:hanging="357"/>
      </w:pPr>
      <w:rPr>
        <w:rFonts w:ascii="Segoe UI" w:hAnsi="Segoe UI" w:hint="default"/>
        <w:sz w:val="24"/>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ascii="Segoe UI" w:eastAsia="Calibri" w:hAnsi="Segoe UI" w:cs="Segoe UI" w:hint="default"/>
      </w:rPr>
    </w:lvl>
    <w:lvl w:ilvl="7">
      <w:start w:val="1"/>
      <w:numFmt w:val="lowerLetter"/>
      <w:lvlText w:val="%8."/>
      <w:lvlJc w:val="left"/>
      <w:pPr>
        <w:ind w:left="3960" w:hanging="360"/>
      </w:pPr>
      <w:rPr>
        <w:rFonts w:hint="default"/>
      </w:rPr>
    </w:lvl>
    <w:lvl w:ilvl="8">
      <w:start w:val="1"/>
      <w:numFmt w:val="lowerLetter"/>
      <w:lvlText w:val="%9."/>
      <w:lvlJc w:val="left"/>
      <w:pPr>
        <w:ind w:left="4320" w:hanging="362"/>
      </w:pPr>
      <w:rPr>
        <w:rFonts w:ascii="Segoe UI" w:eastAsiaTheme="minorHAnsi" w:hAnsi="Segoe UI" w:cs="Segoe UI" w:hint="default"/>
      </w:rPr>
    </w:lvl>
  </w:abstractNum>
  <w:abstractNum w:abstractNumId="33" w15:restartNumberingAfterBreak="0">
    <w:nsid w:val="3C1F2B1E"/>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34" w15:restartNumberingAfterBreak="0">
    <w:nsid w:val="3E6A24F4"/>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35" w15:restartNumberingAfterBreak="0">
    <w:nsid w:val="3ECB3DC3"/>
    <w:multiLevelType w:val="multilevel"/>
    <w:tmpl w:val="A55C3462"/>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i w:val="0"/>
        <w:iCs/>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36" w15:restartNumberingAfterBreak="0">
    <w:nsid w:val="3ED70CAF"/>
    <w:multiLevelType w:val="multilevel"/>
    <w:tmpl w:val="5A6091F4"/>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i w:val="0"/>
        <w:iCs/>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37" w15:restartNumberingAfterBreak="0">
    <w:nsid w:val="3F613A3F"/>
    <w:multiLevelType w:val="multilevel"/>
    <w:tmpl w:val="CF3A8320"/>
    <w:lvl w:ilvl="0">
      <w:start w:val="1"/>
      <w:numFmt w:val="lowerLetter"/>
      <w:lvlText w:val="%1."/>
      <w:lvlJc w:val="left"/>
      <w:pPr>
        <w:tabs>
          <w:tab w:val="num" w:pos="720"/>
        </w:tabs>
        <w:ind w:left="720" w:hanging="363"/>
      </w:pPr>
      <w:rPr>
        <w:rFonts w:hint="default"/>
        <w:sz w:val="24"/>
        <w:szCs w:val="24"/>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38" w15:restartNumberingAfterBreak="0">
    <w:nsid w:val="400A7F98"/>
    <w:multiLevelType w:val="multilevel"/>
    <w:tmpl w:val="CF3A8320"/>
    <w:lvl w:ilvl="0">
      <w:start w:val="1"/>
      <w:numFmt w:val="lowerLetter"/>
      <w:lvlText w:val="%1."/>
      <w:lvlJc w:val="left"/>
      <w:pPr>
        <w:tabs>
          <w:tab w:val="num" w:pos="720"/>
        </w:tabs>
        <w:ind w:left="720" w:hanging="363"/>
      </w:pPr>
      <w:rPr>
        <w:rFonts w:hint="default"/>
        <w:sz w:val="24"/>
        <w:szCs w:val="24"/>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39" w15:restartNumberingAfterBreak="0">
    <w:nsid w:val="40943FFC"/>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40" w15:restartNumberingAfterBreak="0">
    <w:nsid w:val="40F716AC"/>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41" w15:restartNumberingAfterBreak="0">
    <w:nsid w:val="46590AF0"/>
    <w:multiLevelType w:val="multilevel"/>
    <w:tmpl w:val="A6E07712"/>
    <w:lvl w:ilvl="0">
      <w:start w:val="1"/>
      <w:numFmt w:val="decimal"/>
      <w:pStyle w:val="Recommendation1"/>
      <w:lvlText w:val="Recommendation %1."/>
      <w:lvlJc w:val="left"/>
      <w:pPr>
        <w:ind w:left="1919" w:hanging="360"/>
      </w:pPr>
    </w:lvl>
    <w:lvl w:ilvl="1">
      <w:start w:val="1"/>
      <w:numFmt w:val="decimal"/>
      <w:isLgl/>
      <w:lvlText w:val="%1.%2."/>
      <w:lvlJc w:val="left"/>
      <w:pPr>
        <w:ind w:left="1080" w:hanging="720"/>
      </w:pPr>
      <w:rPr>
        <w:rFonts w:cstheme="majorBidi" w:hint="default"/>
        <w:color w:val="00717A"/>
      </w:rPr>
    </w:lvl>
    <w:lvl w:ilvl="2">
      <w:start w:val="1"/>
      <w:numFmt w:val="decimal"/>
      <w:isLgl/>
      <w:lvlText w:val="%1.%2.%3."/>
      <w:lvlJc w:val="left"/>
      <w:pPr>
        <w:ind w:left="1080" w:hanging="720"/>
      </w:pPr>
      <w:rPr>
        <w:rFonts w:cstheme="majorBidi" w:hint="default"/>
        <w:color w:val="00717A"/>
      </w:rPr>
    </w:lvl>
    <w:lvl w:ilvl="3">
      <w:start w:val="1"/>
      <w:numFmt w:val="decimal"/>
      <w:isLgl/>
      <w:lvlText w:val="%1.%2.%3.%4."/>
      <w:lvlJc w:val="left"/>
      <w:pPr>
        <w:ind w:left="1440" w:hanging="1080"/>
      </w:pPr>
      <w:rPr>
        <w:rFonts w:cstheme="majorBidi" w:hint="default"/>
        <w:color w:val="00717A"/>
      </w:rPr>
    </w:lvl>
    <w:lvl w:ilvl="4">
      <w:start w:val="1"/>
      <w:numFmt w:val="decimal"/>
      <w:isLgl/>
      <w:lvlText w:val="%1.%2.%3.%4.%5."/>
      <w:lvlJc w:val="left"/>
      <w:pPr>
        <w:ind w:left="1800" w:hanging="1440"/>
      </w:pPr>
      <w:rPr>
        <w:rFonts w:cstheme="majorBidi" w:hint="default"/>
        <w:color w:val="00717A"/>
      </w:rPr>
    </w:lvl>
    <w:lvl w:ilvl="5">
      <w:start w:val="1"/>
      <w:numFmt w:val="decimal"/>
      <w:isLgl/>
      <w:lvlText w:val="%1.%2.%3.%4.%5.%6."/>
      <w:lvlJc w:val="left"/>
      <w:pPr>
        <w:ind w:left="1800" w:hanging="1440"/>
      </w:pPr>
      <w:rPr>
        <w:rFonts w:cstheme="majorBidi" w:hint="default"/>
        <w:color w:val="00717A"/>
      </w:rPr>
    </w:lvl>
    <w:lvl w:ilvl="6">
      <w:start w:val="1"/>
      <w:numFmt w:val="decimal"/>
      <w:isLgl/>
      <w:lvlText w:val="%1.%2.%3.%4.%5.%6.%7."/>
      <w:lvlJc w:val="left"/>
      <w:pPr>
        <w:ind w:left="2160" w:hanging="1800"/>
      </w:pPr>
      <w:rPr>
        <w:rFonts w:cstheme="majorBidi" w:hint="default"/>
        <w:color w:val="00717A"/>
      </w:rPr>
    </w:lvl>
    <w:lvl w:ilvl="7">
      <w:start w:val="1"/>
      <w:numFmt w:val="decimal"/>
      <w:isLgl/>
      <w:lvlText w:val="%1.%2.%3.%4.%5.%6.%7.%8."/>
      <w:lvlJc w:val="left"/>
      <w:pPr>
        <w:ind w:left="2520" w:hanging="2160"/>
      </w:pPr>
      <w:rPr>
        <w:rFonts w:cstheme="majorBidi" w:hint="default"/>
        <w:color w:val="00717A"/>
      </w:rPr>
    </w:lvl>
    <w:lvl w:ilvl="8">
      <w:start w:val="1"/>
      <w:numFmt w:val="decimal"/>
      <w:isLgl/>
      <w:lvlText w:val="%1.%2.%3.%4.%5.%6.%7.%8.%9."/>
      <w:lvlJc w:val="left"/>
      <w:pPr>
        <w:ind w:left="2520" w:hanging="2160"/>
      </w:pPr>
      <w:rPr>
        <w:rFonts w:cstheme="majorBidi" w:hint="default"/>
        <w:color w:val="00717A"/>
      </w:rPr>
    </w:lvl>
  </w:abstractNum>
  <w:abstractNum w:abstractNumId="42" w15:restartNumberingAfterBreak="0">
    <w:nsid w:val="46A151ED"/>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43" w15:restartNumberingAfterBreak="0">
    <w:nsid w:val="47B0646D"/>
    <w:multiLevelType w:val="multilevel"/>
    <w:tmpl w:val="F8C0684A"/>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44" w15:restartNumberingAfterBreak="0">
    <w:nsid w:val="48523905"/>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45" w15:restartNumberingAfterBreak="0">
    <w:nsid w:val="48E714E1"/>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46" w15:restartNumberingAfterBreak="0">
    <w:nsid w:val="49DF31C6"/>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47" w15:restartNumberingAfterBreak="0">
    <w:nsid w:val="49FE4E9F"/>
    <w:multiLevelType w:val="multilevel"/>
    <w:tmpl w:val="CF3A8320"/>
    <w:lvl w:ilvl="0">
      <w:start w:val="1"/>
      <w:numFmt w:val="lowerLetter"/>
      <w:lvlText w:val="%1."/>
      <w:lvlJc w:val="left"/>
      <w:pPr>
        <w:tabs>
          <w:tab w:val="num" w:pos="720"/>
        </w:tabs>
        <w:ind w:left="720" w:hanging="363"/>
      </w:pPr>
      <w:rPr>
        <w:rFonts w:hint="default"/>
        <w:sz w:val="24"/>
        <w:szCs w:val="24"/>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48" w15:restartNumberingAfterBreak="0">
    <w:nsid w:val="4CE07302"/>
    <w:multiLevelType w:val="multilevel"/>
    <w:tmpl w:val="F8C0684A"/>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49" w15:restartNumberingAfterBreak="0">
    <w:nsid w:val="4EA27324"/>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50" w15:restartNumberingAfterBreak="0">
    <w:nsid w:val="4F9C60C4"/>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51" w15:restartNumberingAfterBreak="0">
    <w:nsid w:val="4FE264CD"/>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52" w15:restartNumberingAfterBreak="0">
    <w:nsid w:val="554C0CEC"/>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53" w15:restartNumberingAfterBreak="0">
    <w:nsid w:val="5C4A49DE"/>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54" w15:restartNumberingAfterBreak="0">
    <w:nsid w:val="5FD65C7E"/>
    <w:multiLevelType w:val="multilevel"/>
    <w:tmpl w:val="9B3A6BB8"/>
    <w:lvl w:ilvl="0">
      <w:start w:val="1"/>
      <w:numFmt w:val="lowerLetter"/>
      <w:lvlText w:val="%1."/>
      <w:lvlJc w:val="left"/>
      <w:pPr>
        <w:tabs>
          <w:tab w:val="num" w:pos="720"/>
        </w:tabs>
        <w:ind w:left="720" w:hanging="363"/>
      </w:pPr>
      <w:rPr>
        <w:rFonts w:hint="default"/>
        <w:sz w:val="24"/>
        <w:szCs w:val="24"/>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55" w15:restartNumberingAfterBreak="0">
    <w:nsid w:val="69982F0F"/>
    <w:multiLevelType w:val="multilevel"/>
    <w:tmpl w:val="CF3A8320"/>
    <w:lvl w:ilvl="0">
      <w:start w:val="1"/>
      <w:numFmt w:val="lowerLetter"/>
      <w:lvlText w:val="%1."/>
      <w:lvlJc w:val="left"/>
      <w:pPr>
        <w:tabs>
          <w:tab w:val="num" w:pos="720"/>
        </w:tabs>
        <w:ind w:left="720" w:hanging="363"/>
      </w:pPr>
      <w:rPr>
        <w:rFonts w:hint="default"/>
        <w:sz w:val="24"/>
        <w:szCs w:val="24"/>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56" w15:restartNumberingAfterBreak="0">
    <w:nsid w:val="6A5B6530"/>
    <w:multiLevelType w:val="multilevel"/>
    <w:tmpl w:val="F8C0684A"/>
    <w:lvl w:ilvl="0">
      <w:start w:val="1"/>
      <w:numFmt w:val="lowerLetter"/>
      <w:lvlText w:val="%1."/>
      <w:lvlJc w:val="left"/>
      <w:pPr>
        <w:tabs>
          <w:tab w:val="num" w:pos="1064"/>
        </w:tabs>
        <w:ind w:left="1064" w:hanging="363"/>
      </w:pPr>
      <w:rPr>
        <w:rFonts w:hint="default"/>
      </w:rPr>
    </w:lvl>
    <w:lvl w:ilvl="1">
      <w:start w:val="1"/>
      <w:numFmt w:val="lowerRoman"/>
      <w:lvlText w:val="%2."/>
      <w:lvlJc w:val="left"/>
      <w:pPr>
        <w:tabs>
          <w:tab w:val="num" w:pos="1501"/>
        </w:tabs>
        <w:ind w:left="1501" w:hanging="363"/>
      </w:pPr>
      <w:rPr>
        <w:rFonts w:hint="default"/>
      </w:rPr>
    </w:lvl>
    <w:lvl w:ilvl="2">
      <w:start w:val="1"/>
      <w:numFmt w:val="decimal"/>
      <w:lvlText w:val="%3."/>
      <w:lvlJc w:val="left"/>
      <w:pPr>
        <w:tabs>
          <w:tab w:val="num" w:pos="1938"/>
        </w:tabs>
        <w:ind w:left="1938" w:hanging="363"/>
      </w:pPr>
      <w:rPr>
        <w:rFonts w:hint="default"/>
      </w:rPr>
    </w:lvl>
    <w:lvl w:ilvl="3">
      <w:start w:val="1"/>
      <w:numFmt w:val="lowerLetter"/>
      <w:lvlText w:val="(%4)"/>
      <w:lvlJc w:val="left"/>
      <w:pPr>
        <w:tabs>
          <w:tab w:val="num" w:pos="2375"/>
        </w:tabs>
        <w:ind w:left="2375" w:hanging="363"/>
      </w:pPr>
      <w:rPr>
        <w:rFonts w:hint="default"/>
      </w:rPr>
    </w:lvl>
    <w:lvl w:ilvl="4">
      <w:start w:val="1"/>
      <w:numFmt w:val="lowerRoman"/>
      <w:lvlText w:val="(%5)"/>
      <w:lvlJc w:val="left"/>
      <w:pPr>
        <w:tabs>
          <w:tab w:val="num" w:pos="2812"/>
        </w:tabs>
        <w:ind w:left="2812" w:hanging="363"/>
      </w:pPr>
      <w:rPr>
        <w:rFonts w:hint="default"/>
      </w:rPr>
    </w:lvl>
    <w:lvl w:ilvl="5">
      <w:start w:val="1"/>
      <w:numFmt w:val="decimal"/>
      <w:lvlText w:val="(%6)"/>
      <w:lvlJc w:val="left"/>
      <w:pPr>
        <w:tabs>
          <w:tab w:val="num" w:pos="3249"/>
        </w:tabs>
        <w:ind w:left="3249" w:hanging="363"/>
      </w:pPr>
      <w:rPr>
        <w:rFonts w:hint="default"/>
      </w:rPr>
    </w:lvl>
    <w:lvl w:ilvl="6">
      <w:start w:val="1"/>
      <w:numFmt w:val="bullet"/>
      <w:lvlText w:val="•"/>
      <w:lvlJc w:val="left"/>
      <w:pPr>
        <w:tabs>
          <w:tab w:val="num" w:pos="3686"/>
        </w:tabs>
        <w:ind w:left="3686" w:hanging="363"/>
      </w:pPr>
      <w:rPr>
        <w:rFonts w:ascii="Arial" w:hAnsi="Arial" w:hint="default"/>
      </w:rPr>
    </w:lvl>
    <w:lvl w:ilvl="7">
      <w:start w:val="1"/>
      <w:numFmt w:val="bullet"/>
      <w:lvlText w:val="•"/>
      <w:lvlJc w:val="left"/>
      <w:pPr>
        <w:tabs>
          <w:tab w:val="num" w:pos="4123"/>
        </w:tabs>
        <w:ind w:left="4123" w:hanging="363"/>
      </w:pPr>
      <w:rPr>
        <w:rFonts w:ascii="Arial" w:hAnsi="Arial" w:hint="default"/>
      </w:rPr>
    </w:lvl>
    <w:lvl w:ilvl="8">
      <w:start w:val="1"/>
      <w:numFmt w:val="bullet"/>
      <w:lvlText w:val="•"/>
      <w:lvlJc w:val="left"/>
      <w:pPr>
        <w:tabs>
          <w:tab w:val="num" w:pos="4560"/>
        </w:tabs>
        <w:ind w:left="4560" w:hanging="363"/>
      </w:pPr>
      <w:rPr>
        <w:rFonts w:ascii="Arial" w:hAnsi="Arial" w:hint="default"/>
      </w:rPr>
    </w:lvl>
  </w:abstractNum>
  <w:abstractNum w:abstractNumId="57" w15:restartNumberingAfterBreak="0">
    <w:nsid w:val="6B0E35DB"/>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58" w15:restartNumberingAfterBreak="0">
    <w:nsid w:val="6B502713"/>
    <w:multiLevelType w:val="multilevel"/>
    <w:tmpl w:val="F8C0684A"/>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59" w15:restartNumberingAfterBreak="0">
    <w:nsid w:val="6CB76BF9"/>
    <w:multiLevelType w:val="multilevel"/>
    <w:tmpl w:val="CF3A8320"/>
    <w:lvl w:ilvl="0">
      <w:start w:val="1"/>
      <w:numFmt w:val="lowerLetter"/>
      <w:lvlText w:val="%1."/>
      <w:lvlJc w:val="left"/>
      <w:pPr>
        <w:tabs>
          <w:tab w:val="num" w:pos="720"/>
        </w:tabs>
        <w:ind w:left="720" w:hanging="363"/>
      </w:pPr>
      <w:rPr>
        <w:rFonts w:hint="default"/>
        <w:sz w:val="24"/>
        <w:szCs w:val="24"/>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60" w15:restartNumberingAfterBreak="0">
    <w:nsid w:val="6CE84EBB"/>
    <w:multiLevelType w:val="multilevel"/>
    <w:tmpl w:val="F8C0684A"/>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61" w15:restartNumberingAfterBreak="0">
    <w:nsid w:val="6EDA67C6"/>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62" w15:restartNumberingAfterBreak="0">
    <w:nsid w:val="6F6E1FE8"/>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63" w15:restartNumberingAfterBreak="0">
    <w:nsid w:val="6FE9106B"/>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64" w15:restartNumberingAfterBreak="0">
    <w:nsid w:val="70F548B9"/>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65" w15:restartNumberingAfterBreak="0">
    <w:nsid w:val="7118765D"/>
    <w:multiLevelType w:val="multilevel"/>
    <w:tmpl w:val="F8C0684A"/>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66" w15:restartNumberingAfterBreak="0">
    <w:nsid w:val="71D96D2F"/>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67" w15:restartNumberingAfterBreak="0">
    <w:nsid w:val="72CE0F57"/>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68" w15:restartNumberingAfterBreak="0">
    <w:nsid w:val="7730381E"/>
    <w:multiLevelType w:val="multilevel"/>
    <w:tmpl w:val="F8C0684A"/>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69" w15:restartNumberingAfterBreak="0">
    <w:nsid w:val="7AAC5B5F"/>
    <w:multiLevelType w:val="multilevel"/>
    <w:tmpl w:val="DDB06138"/>
    <w:lvl w:ilvl="0">
      <w:start w:val="1"/>
      <w:numFmt w:val="lowerLetter"/>
      <w:lvlText w:val="%1."/>
      <w:lvlJc w:val="left"/>
      <w:pPr>
        <w:tabs>
          <w:tab w:val="num" w:pos="720"/>
        </w:tabs>
        <w:ind w:left="720" w:hanging="363"/>
      </w:pPr>
      <w:rPr>
        <w:rFonts w:ascii="Segoe UI" w:hAnsi="Segoe UI" w:cs="Segoe UI" w:hint="default"/>
        <w:sz w:val="24"/>
        <w:szCs w:val="24"/>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70" w15:restartNumberingAfterBreak="0">
    <w:nsid w:val="7AE867DD"/>
    <w:multiLevelType w:val="multilevel"/>
    <w:tmpl w:val="0688CCA6"/>
    <w:lvl w:ilvl="0">
      <w:start w:val="1"/>
      <w:numFmt w:val="lowerLetter"/>
      <w:lvlText w:val="%1."/>
      <w:lvlJc w:val="left"/>
      <w:pPr>
        <w:tabs>
          <w:tab w:val="num" w:pos="720"/>
        </w:tabs>
        <w:ind w:left="720" w:hanging="363"/>
      </w:pPr>
      <w:rPr>
        <w:rFonts w:hint="default"/>
        <w:i w:val="0"/>
        <w:iCs w:val="0"/>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71" w15:restartNumberingAfterBreak="0">
    <w:nsid w:val="7C047E98"/>
    <w:multiLevelType w:val="multilevel"/>
    <w:tmpl w:val="CF3A8320"/>
    <w:lvl w:ilvl="0">
      <w:start w:val="1"/>
      <w:numFmt w:val="lowerLetter"/>
      <w:lvlText w:val="%1."/>
      <w:lvlJc w:val="left"/>
      <w:pPr>
        <w:tabs>
          <w:tab w:val="num" w:pos="720"/>
        </w:tabs>
        <w:ind w:left="720" w:hanging="363"/>
      </w:pPr>
      <w:rPr>
        <w:rFonts w:hint="default"/>
        <w:sz w:val="24"/>
        <w:szCs w:val="24"/>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72" w15:restartNumberingAfterBreak="0">
    <w:nsid w:val="7D4B7D6F"/>
    <w:multiLevelType w:val="multilevel"/>
    <w:tmpl w:val="F8C0684A"/>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73" w15:restartNumberingAfterBreak="0">
    <w:nsid w:val="7EB132B7"/>
    <w:multiLevelType w:val="multilevel"/>
    <w:tmpl w:val="F8C0684A"/>
    <w:lvl w:ilvl="0">
      <w:start w:val="1"/>
      <w:numFmt w:val="lowerLetter"/>
      <w:lvlText w:val="%1."/>
      <w:lvlJc w:val="left"/>
      <w:pPr>
        <w:tabs>
          <w:tab w:val="num" w:pos="720"/>
        </w:tabs>
        <w:ind w:left="720" w:hanging="363"/>
      </w:pPr>
      <w:rPr>
        <w:rFonts w:hint="default"/>
      </w:rPr>
    </w:lvl>
    <w:lvl w:ilvl="1">
      <w:start w:val="1"/>
      <w:numFmt w:val="lowerRoman"/>
      <w:lvlText w:val="%2."/>
      <w:lvlJc w:val="left"/>
      <w:pPr>
        <w:tabs>
          <w:tab w:val="num" w:pos="1157"/>
        </w:tabs>
        <w:ind w:left="1157" w:hanging="363"/>
      </w:pPr>
      <w:rPr>
        <w:rFonts w:hint="default"/>
      </w:rPr>
    </w:lvl>
    <w:lvl w:ilvl="2">
      <w:start w:val="1"/>
      <w:numFmt w:val="decimal"/>
      <w:lvlText w:val="%3."/>
      <w:lvlJc w:val="left"/>
      <w:pPr>
        <w:tabs>
          <w:tab w:val="num" w:pos="1594"/>
        </w:tabs>
        <w:ind w:left="1594" w:hanging="363"/>
      </w:pPr>
      <w:rPr>
        <w:rFonts w:hint="default"/>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abstractNum w:abstractNumId="74" w15:restartNumberingAfterBreak="0">
    <w:nsid w:val="7EB9588B"/>
    <w:multiLevelType w:val="multilevel"/>
    <w:tmpl w:val="F8C0684A"/>
    <w:lvl w:ilvl="0">
      <w:start w:val="1"/>
      <w:numFmt w:val="lowerLetter"/>
      <w:lvlText w:val="%1."/>
      <w:lvlJc w:val="left"/>
      <w:pPr>
        <w:tabs>
          <w:tab w:val="num" w:pos="720"/>
        </w:tabs>
        <w:ind w:left="720" w:hanging="363"/>
      </w:pPr>
      <w:rPr>
        <w:rFonts w:hint="default"/>
        <w:sz w:val="24"/>
      </w:rPr>
    </w:lvl>
    <w:lvl w:ilvl="1">
      <w:start w:val="1"/>
      <w:numFmt w:val="lowerRoman"/>
      <w:lvlText w:val="%2."/>
      <w:lvlJc w:val="left"/>
      <w:pPr>
        <w:tabs>
          <w:tab w:val="num" w:pos="1157"/>
        </w:tabs>
        <w:ind w:left="1157" w:hanging="363"/>
      </w:pPr>
      <w:rPr>
        <w:rFonts w:hint="default"/>
        <w:sz w:val="24"/>
      </w:rPr>
    </w:lvl>
    <w:lvl w:ilvl="2">
      <w:start w:val="1"/>
      <w:numFmt w:val="decimal"/>
      <w:lvlText w:val="%3."/>
      <w:lvlJc w:val="left"/>
      <w:pPr>
        <w:tabs>
          <w:tab w:val="num" w:pos="1594"/>
        </w:tabs>
        <w:ind w:left="1594" w:hanging="363"/>
      </w:pPr>
      <w:rPr>
        <w:rFonts w:hint="default"/>
        <w:sz w:val="24"/>
      </w:rPr>
    </w:lvl>
    <w:lvl w:ilvl="3">
      <w:start w:val="1"/>
      <w:numFmt w:val="lowerLetter"/>
      <w:lvlText w:val="(%4)"/>
      <w:lvlJc w:val="left"/>
      <w:pPr>
        <w:tabs>
          <w:tab w:val="num" w:pos="2031"/>
        </w:tabs>
        <w:ind w:left="2031" w:hanging="363"/>
      </w:pPr>
      <w:rPr>
        <w:rFonts w:hint="default"/>
      </w:rPr>
    </w:lvl>
    <w:lvl w:ilvl="4">
      <w:start w:val="1"/>
      <w:numFmt w:val="lowerRoman"/>
      <w:lvlText w:val="(%5)"/>
      <w:lvlJc w:val="left"/>
      <w:pPr>
        <w:tabs>
          <w:tab w:val="num" w:pos="2468"/>
        </w:tabs>
        <w:ind w:left="2468" w:hanging="363"/>
      </w:pPr>
      <w:rPr>
        <w:rFonts w:hint="default"/>
      </w:rPr>
    </w:lvl>
    <w:lvl w:ilvl="5">
      <w:start w:val="1"/>
      <w:numFmt w:val="decimal"/>
      <w:lvlText w:val="(%6)"/>
      <w:lvlJc w:val="left"/>
      <w:pPr>
        <w:tabs>
          <w:tab w:val="num" w:pos="2905"/>
        </w:tabs>
        <w:ind w:left="2905" w:hanging="363"/>
      </w:pPr>
      <w:rPr>
        <w:rFonts w:hint="default"/>
      </w:rPr>
    </w:lvl>
    <w:lvl w:ilvl="6">
      <w:start w:val="1"/>
      <w:numFmt w:val="bullet"/>
      <w:lvlText w:val="•"/>
      <w:lvlJc w:val="left"/>
      <w:pPr>
        <w:tabs>
          <w:tab w:val="num" w:pos="3342"/>
        </w:tabs>
        <w:ind w:left="3342" w:hanging="363"/>
      </w:pPr>
      <w:rPr>
        <w:rFonts w:ascii="Arial" w:hAnsi="Arial" w:hint="default"/>
      </w:rPr>
    </w:lvl>
    <w:lvl w:ilvl="7">
      <w:start w:val="1"/>
      <w:numFmt w:val="bullet"/>
      <w:lvlText w:val="•"/>
      <w:lvlJc w:val="left"/>
      <w:pPr>
        <w:tabs>
          <w:tab w:val="num" w:pos="3779"/>
        </w:tabs>
        <w:ind w:left="3779" w:hanging="363"/>
      </w:pPr>
      <w:rPr>
        <w:rFonts w:ascii="Arial" w:hAnsi="Arial" w:hint="default"/>
      </w:rPr>
    </w:lvl>
    <w:lvl w:ilvl="8">
      <w:start w:val="1"/>
      <w:numFmt w:val="bullet"/>
      <w:lvlText w:val="•"/>
      <w:lvlJc w:val="left"/>
      <w:pPr>
        <w:tabs>
          <w:tab w:val="num" w:pos="4216"/>
        </w:tabs>
        <w:ind w:left="4216" w:hanging="363"/>
      </w:pPr>
      <w:rPr>
        <w:rFonts w:ascii="Arial" w:hAnsi="Arial" w:hint="default"/>
      </w:rPr>
    </w:lvl>
  </w:abstractNum>
  <w:num w:numId="1" w16cid:durableId="1502164543">
    <w:abstractNumId w:val="41"/>
  </w:num>
  <w:num w:numId="2" w16cid:durableId="1330019014">
    <w:abstractNumId w:val="2"/>
  </w:num>
  <w:num w:numId="3" w16cid:durableId="167795551">
    <w:abstractNumId w:val="13"/>
  </w:num>
  <w:num w:numId="4" w16cid:durableId="1154756289">
    <w:abstractNumId w:val="69"/>
  </w:num>
  <w:num w:numId="5" w16cid:durableId="1739866267">
    <w:abstractNumId w:val="39"/>
  </w:num>
  <w:num w:numId="6" w16cid:durableId="1141538060">
    <w:abstractNumId w:val="40"/>
  </w:num>
  <w:num w:numId="7" w16cid:durableId="11104875">
    <w:abstractNumId w:val="12"/>
  </w:num>
  <w:num w:numId="8" w16cid:durableId="919287181">
    <w:abstractNumId w:val="14"/>
  </w:num>
  <w:num w:numId="9" w16cid:durableId="1874927288">
    <w:abstractNumId w:val="21"/>
  </w:num>
  <w:num w:numId="10" w16cid:durableId="506790618">
    <w:abstractNumId w:val="42"/>
  </w:num>
  <w:num w:numId="11" w16cid:durableId="159080998">
    <w:abstractNumId w:val="29"/>
  </w:num>
  <w:num w:numId="12" w16cid:durableId="373850077">
    <w:abstractNumId w:val="32"/>
  </w:num>
  <w:num w:numId="13" w16cid:durableId="581794311">
    <w:abstractNumId w:val="36"/>
  </w:num>
  <w:num w:numId="14" w16cid:durableId="106045063">
    <w:abstractNumId w:val="44"/>
  </w:num>
  <w:num w:numId="15" w16cid:durableId="232276557">
    <w:abstractNumId w:val="24"/>
  </w:num>
  <w:num w:numId="16" w16cid:durableId="1975023509">
    <w:abstractNumId w:val="54"/>
  </w:num>
  <w:num w:numId="17" w16cid:durableId="1610744103">
    <w:abstractNumId w:val="53"/>
  </w:num>
  <w:num w:numId="18" w16cid:durableId="1448550617">
    <w:abstractNumId w:val="28"/>
  </w:num>
  <w:num w:numId="19" w16cid:durableId="79564138">
    <w:abstractNumId w:val="38"/>
  </w:num>
  <w:num w:numId="20" w16cid:durableId="1885827642">
    <w:abstractNumId w:val="56"/>
  </w:num>
  <w:num w:numId="21" w16cid:durableId="691103864">
    <w:abstractNumId w:val="67"/>
  </w:num>
  <w:num w:numId="22" w16cid:durableId="302545695">
    <w:abstractNumId w:val="51"/>
  </w:num>
  <w:num w:numId="23" w16cid:durableId="155729562">
    <w:abstractNumId w:val="5"/>
    <w:lvlOverride w:ilvl="0">
      <w:startOverride w:val="1"/>
    </w:lvlOverride>
  </w:num>
  <w:num w:numId="24" w16cid:durableId="1060901620">
    <w:abstractNumId w:val="35"/>
  </w:num>
  <w:num w:numId="25" w16cid:durableId="1380323783">
    <w:abstractNumId w:val="74"/>
  </w:num>
  <w:num w:numId="26" w16cid:durableId="2062358474">
    <w:abstractNumId w:val="49"/>
  </w:num>
  <w:num w:numId="27" w16cid:durableId="1618563594">
    <w:abstractNumId w:val="68"/>
  </w:num>
  <w:num w:numId="28" w16cid:durableId="1190023177">
    <w:abstractNumId w:val="17"/>
  </w:num>
  <w:num w:numId="29" w16cid:durableId="826676565">
    <w:abstractNumId w:val="52"/>
  </w:num>
  <w:num w:numId="30" w16cid:durableId="335616909">
    <w:abstractNumId w:val="45"/>
  </w:num>
  <w:num w:numId="31" w16cid:durableId="915289063">
    <w:abstractNumId w:val="4"/>
  </w:num>
  <w:num w:numId="32" w16cid:durableId="362554300">
    <w:abstractNumId w:val="3"/>
  </w:num>
  <w:num w:numId="33" w16cid:durableId="1822577305">
    <w:abstractNumId w:val="62"/>
  </w:num>
  <w:num w:numId="34" w16cid:durableId="1892233280">
    <w:abstractNumId w:val="50"/>
  </w:num>
  <w:num w:numId="35" w16cid:durableId="1378243673">
    <w:abstractNumId w:val="70"/>
  </w:num>
  <w:num w:numId="36" w16cid:durableId="415444192">
    <w:abstractNumId w:val="22"/>
  </w:num>
  <w:num w:numId="37" w16cid:durableId="309946922">
    <w:abstractNumId w:val="64"/>
  </w:num>
  <w:num w:numId="38" w16cid:durableId="566460221">
    <w:abstractNumId w:val="46"/>
  </w:num>
  <w:num w:numId="39" w16cid:durableId="778068975">
    <w:abstractNumId w:val="15"/>
  </w:num>
  <w:num w:numId="40" w16cid:durableId="789130725">
    <w:abstractNumId w:val="26"/>
  </w:num>
  <w:num w:numId="41" w16cid:durableId="1034623792">
    <w:abstractNumId w:val="47"/>
  </w:num>
  <w:num w:numId="42" w16cid:durableId="697201736">
    <w:abstractNumId w:val="30"/>
  </w:num>
  <w:num w:numId="43" w16cid:durableId="2100717440">
    <w:abstractNumId w:val="59"/>
  </w:num>
  <w:num w:numId="44" w16cid:durableId="2092387011">
    <w:abstractNumId w:val="55"/>
  </w:num>
  <w:num w:numId="45" w16cid:durableId="852039308">
    <w:abstractNumId w:val="37"/>
  </w:num>
  <w:num w:numId="46" w16cid:durableId="1825507267">
    <w:abstractNumId w:val="20"/>
  </w:num>
  <w:num w:numId="47" w16cid:durableId="838348110">
    <w:abstractNumId w:val="6"/>
  </w:num>
  <w:num w:numId="48" w16cid:durableId="1400127485">
    <w:abstractNumId w:val="71"/>
  </w:num>
  <w:num w:numId="49" w16cid:durableId="513962566">
    <w:abstractNumId w:val="23"/>
  </w:num>
  <w:num w:numId="50" w16cid:durableId="1334139833">
    <w:abstractNumId w:val="31"/>
  </w:num>
  <w:num w:numId="51" w16cid:durableId="1782528664">
    <w:abstractNumId w:val="34"/>
  </w:num>
  <w:num w:numId="52" w16cid:durableId="4594719">
    <w:abstractNumId w:val="19"/>
  </w:num>
  <w:num w:numId="53" w16cid:durableId="1132407737">
    <w:abstractNumId w:val="11"/>
  </w:num>
  <w:num w:numId="54" w16cid:durableId="153306014">
    <w:abstractNumId w:val="63"/>
  </w:num>
  <w:num w:numId="55" w16cid:durableId="505023656">
    <w:abstractNumId w:val="16"/>
  </w:num>
  <w:num w:numId="56" w16cid:durableId="1278372695">
    <w:abstractNumId w:val="73"/>
  </w:num>
  <w:num w:numId="57" w16cid:durableId="1084959367">
    <w:abstractNumId w:val="57"/>
  </w:num>
  <w:num w:numId="58" w16cid:durableId="1643583421">
    <w:abstractNumId w:val="61"/>
  </w:num>
  <w:num w:numId="59" w16cid:durableId="1534004685">
    <w:abstractNumId w:val="0"/>
  </w:num>
  <w:num w:numId="60" w16cid:durableId="797577172">
    <w:abstractNumId w:val="58"/>
  </w:num>
  <w:num w:numId="61" w16cid:durableId="1774284701">
    <w:abstractNumId w:val="72"/>
  </w:num>
  <w:num w:numId="62" w16cid:durableId="1911497896">
    <w:abstractNumId w:val="48"/>
  </w:num>
  <w:num w:numId="63" w16cid:durableId="913735234">
    <w:abstractNumId w:val="10"/>
  </w:num>
  <w:num w:numId="64" w16cid:durableId="37632145">
    <w:abstractNumId w:val="25"/>
  </w:num>
  <w:num w:numId="65" w16cid:durableId="782767260">
    <w:abstractNumId w:val="60"/>
  </w:num>
  <w:num w:numId="66" w16cid:durableId="660818393">
    <w:abstractNumId w:val="18"/>
  </w:num>
  <w:num w:numId="67" w16cid:durableId="1913586283">
    <w:abstractNumId w:val="43"/>
  </w:num>
  <w:num w:numId="68" w16cid:durableId="218170116">
    <w:abstractNumId w:val="9"/>
  </w:num>
  <w:num w:numId="69" w16cid:durableId="1777748489">
    <w:abstractNumId w:val="8"/>
  </w:num>
  <w:num w:numId="70" w16cid:durableId="722214290">
    <w:abstractNumId w:val="65"/>
  </w:num>
  <w:num w:numId="71" w16cid:durableId="1811440183">
    <w:abstractNumId w:val="33"/>
  </w:num>
  <w:num w:numId="72" w16cid:durableId="2126263388">
    <w:abstractNumId w:val="66"/>
  </w:num>
  <w:num w:numId="73" w16cid:durableId="1746104996">
    <w:abstractNumId w:val="5"/>
  </w:num>
  <w:num w:numId="74" w16cid:durableId="371735120">
    <w:abstractNumId w:val="27"/>
  </w:num>
  <w:num w:numId="75" w16cid:durableId="993994234">
    <w:abstractNumId w:val="1"/>
  </w:num>
  <w:num w:numId="76" w16cid:durableId="832641943">
    <w:abstractNumId w:val="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799108"/>
    <w:rsid w:val="00011261"/>
    <w:rsid w:val="00041630"/>
    <w:rsid w:val="0004739F"/>
    <w:rsid w:val="0005329F"/>
    <w:rsid w:val="00060966"/>
    <w:rsid w:val="0008551F"/>
    <w:rsid w:val="00095EA4"/>
    <w:rsid w:val="000B0BD7"/>
    <w:rsid w:val="000E07EA"/>
    <w:rsid w:val="000E70ED"/>
    <w:rsid w:val="000F6B93"/>
    <w:rsid w:val="000F71AC"/>
    <w:rsid w:val="001132B2"/>
    <w:rsid w:val="001317FB"/>
    <w:rsid w:val="00141937"/>
    <w:rsid w:val="00141E16"/>
    <w:rsid w:val="00146FB0"/>
    <w:rsid w:val="00152445"/>
    <w:rsid w:val="001874F6"/>
    <w:rsid w:val="001C1082"/>
    <w:rsid w:val="001E49AE"/>
    <w:rsid w:val="002241AD"/>
    <w:rsid w:val="002366F9"/>
    <w:rsid w:val="002407F1"/>
    <w:rsid w:val="002453D7"/>
    <w:rsid w:val="002828A6"/>
    <w:rsid w:val="002C5A83"/>
    <w:rsid w:val="002C5ED3"/>
    <w:rsid w:val="002E0F9A"/>
    <w:rsid w:val="002E6023"/>
    <w:rsid w:val="002F06FE"/>
    <w:rsid w:val="00304F0B"/>
    <w:rsid w:val="00340F3B"/>
    <w:rsid w:val="00344FE7"/>
    <w:rsid w:val="00352050"/>
    <w:rsid w:val="003526C8"/>
    <w:rsid w:val="0036179A"/>
    <w:rsid w:val="003649B8"/>
    <w:rsid w:val="003772F7"/>
    <w:rsid w:val="003B676C"/>
    <w:rsid w:val="003F362B"/>
    <w:rsid w:val="003F461F"/>
    <w:rsid w:val="00410529"/>
    <w:rsid w:val="00415415"/>
    <w:rsid w:val="004237B1"/>
    <w:rsid w:val="004512BD"/>
    <w:rsid w:val="004544C2"/>
    <w:rsid w:val="0047164F"/>
    <w:rsid w:val="00471959"/>
    <w:rsid w:val="00484B58"/>
    <w:rsid w:val="00492A7E"/>
    <w:rsid w:val="00496F82"/>
    <w:rsid w:val="004B0DBD"/>
    <w:rsid w:val="004E6765"/>
    <w:rsid w:val="004F3328"/>
    <w:rsid w:val="004F510B"/>
    <w:rsid w:val="00500A23"/>
    <w:rsid w:val="00524DAB"/>
    <w:rsid w:val="00527BD9"/>
    <w:rsid w:val="00561593"/>
    <w:rsid w:val="0057796B"/>
    <w:rsid w:val="005861A9"/>
    <w:rsid w:val="005A0943"/>
    <w:rsid w:val="005A51F4"/>
    <w:rsid w:val="005B78F7"/>
    <w:rsid w:val="005D11DD"/>
    <w:rsid w:val="005D7C06"/>
    <w:rsid w:val="005E3E55"/>
    <w:rsid w:val="005F4F53"/>
    <w:rsid w:val="0061587F"/>
    <w:rsid w:val="00625CFE"/>
    <w:rsid w:val="006362A0"/>
    <w:rsid w:val="0064055E"/>
    <w:rsid w:val="00644D64"/>
    <w:rsid w:val="00655450"/>
    <w:rsid w:val="00660211"/>
    <w:rsid w:val="006918EB"/>
    <w:rsid w:val="00691ECE"/>
    <w:rsid w:val="006920BA"/>
    <w:rsid w:val="00697EFF"/>
    <w:rsid w:val="006C161F"/>
    <w:rsid w:val="006D1649"/>
    <w:rsid w:val="006E3C85"/>
    <w:rsid w:val="006F1FF7"/>
    <w:rsid w:val="006F419F"/>
    <w:rsid w:val="006F7060"/>
    <w:rsid w:val="0071637D"/>
    <w:rsid w:val="007213B4"/>
    <w:rsid w:val="00744A5F"/>
    <w:rsid w:val="0076760A"/>
    <w:rsid w:val="00770F12"/>
    <w:rsid w:val="00796D12"/>
    <w:rsid w:val="007C4D18"/>
    <w:rsid w:val="007D08C9"/>
    <w:rsid w:val="007D15AA"/>
    <w:rsid w:val="007D5079"/>
    <w:rsid w:val="00803173"/>
    <w:rsid w:val="00804A95"/>
    <w:rsid w:val="008167C8"/>
    <w:rsid w:val="0084782E"/>
    <w:rsid w:val="008A5AEB"/>
    <w:rsid w:val="008D39A2"/>
    <w:rsid w:val="008D65A1"/>
    <w:rsid w:val="008E6A71"/>
    <w:rsid w:val="008F16BB"/>
    <w:rsid w:val="0091080B"/>
    <w:rsid w:val="009216D3"/>
    <w:rsid w:val="00926763"/>
    <w:rsid w:val="009357AC"/>
    <w:rsid w:val="00943763"/>
    <w:rsid w:val="00950DAC"/>
    <w:rsid w:val="00977BF1"/>
    <w:rsid w:val="00985AA3"/>
    <w:rsid w:val="0098756B"/>
    <w:rsid w:val="009B18F6"/>
    <w:rsid w:val="009D3081"/>
    <w:rsid w:val="009E5865"/>
    <w:rsid w:val="009F1606"/>
    <w:rsid w:val="00A05F35"/>
    <w:rsid w:val="00A301D8"/>
    <w:rsid w:val="00A348EA"/>
    <w:rsid w:val="00A60020"/>
    <w:rsid w:val="00A62505"/>
    <w:rsid w:val="00A65531"/>
    <w:rsid w:val="00A7241E"/>
    <w:rsid w:val="00A73F05"/>
    <w:rsid w:val="00A86B66"/>
    <w:rsid w:val="00A87278"/>
    <w:rsid w:val="00A90495"/>
    <w:rsid w:val="00A908D8"/>
    <w:rsid w:val="00AD6F9F"/>
    <w:rsid w:val="00AF1519"/>
    <w:rsid w:val="00AF3EB8"/>
    <w:rsid w:val="00AF68C6"/>
    <w:rsid w:val="00B01414"/>
    <w:rsid w:val="00B03CC5"/>
    <w:rsid w:val="00B72A6F"/>
    <w:rsid w:val="00B840AF"/>
    <w:rsid w:val="00B87EC9"/>
    <w:rsid w:val="00B93141"/>
    <w:rsid w:val="00BB4DA2"/>
    <w:rsid w:val="00BC1ACE"/>
    <w:rsid w:val="00BD4B2C"/>
    <w:rsid w:val="00BE2414"/>
    <w:rsid w:val="00BE390B"/>
    <w:rsid w:val="00BF0074"/>
    <w:rsid w:val="00BF0A46"/>
    <w:rsid w:val="00BF7887"/>
    <w:rsid w:val="00C36DEA"/>
    <w:rsid w:val="00C37589"/>
    <w:rsid w:val="00C70C8F"/>
    <w:rsid w:val="00C9240D"/>
    <w:rsid w:val="00CB6E86"/>
    <w:rsid w:val="00CC5B81"/>
    <w:rsid w:val="00CE4D4B"/>
    <w:rsid w:val="00CF5066"/>
    <w:rsid w:val="00D022CB"/>
    <w:rsid w:val="00D22E41"/>
    <w:rsid w:val="00D22EE0"/>
    <w:rsid w:val="00D30452"/>
    <w:rsid w:val="00D33473"/>
    <w:rsid w:val="00D43298"/>
    <w:rsid w:val="00D61E09"/>
    <w:rsid w:val="00DA255D"/>
    <w:rsid w:val="00DB3653"/>
    <w:rsid w:val="00DB56E7"/>
    <w:rsid w:val="00DE14E2"/>
    <w:rsid w:val="00DE3747"/>
    <w:rsid w:val="00DF5559"/>
    <w:rsid w:val="00DF7D2D"/>
    <w:rsid w:val="00E11936"/>
    <w:rsid w:val="00E32250"/>
    <w:rsid w:val="00E47913"/>
    <w:rsid w:val="00E74124"/>
    <w:rsid w:val="00E77F8D"/>
    <w:rsid w:val="00E8683E"/>
    <w:rsid w:val="00E97E5D"/>
    <w:rsid w:val="00EB3644"/>
    <w:rsid w:val="00EC41B5"/>
    <w:rsid w:val="00EE3FBF"/>
    <w:rsid w:val="00EE4C33"/>
    <w:rsid w:val="00EF05EA"/>
    <w:rsid w:val="00F013F7"/>
    <w:rsid w:val="00F05F85"/>
    <w:rsid w:val="00F1078F"/>
    <w:rsid w:val="00F124F2"/>
    <w:rsid w:val="00F20014"/>
    <w:rsid w:val="00F307F7"/>
    <w:rsid w:val="00F46B0D"/>
    <w:rsid w:val="00F74D4A"/>
    <w:rsid w:val="00F900A8"/>
    <w:rsid w:val="00F93D3D"/>
    <w:rsid w:val="00FC3244"/>
    <w:rsid w:val="00FE3FAC"/>
    <w:rsid w:val="00FF6E3F"/>
    <w:rsid w:val="00FF7059"/>
    <w:rsid w:val="25DEF82A"/>
    <w:rsid w:val="309625EC"/>
    <w:rsid w:val="31799108"/>
    <w:rsid w:val="64268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99108"/>
  <w15:chartTrackingRefBased/>
  <w15:docId w15:val="{35CE6512-430E-48A7-BCDA-0F18FBCA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4B"/>
    <w:pPr>
      <w:spacing w:before="120" w:after="120"/>
      <w:contextualSpacing/>
      <w:jc w:val="both"/>
    </w:pPr>
    <w:rPr>
      <w:rFonts w:ascii="Segoe UI" w:hAnsi="Segoe UI" w:cs="Segoe UI"/>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paragraph" w:styleId="Header">
    <w:name w:val="header"/>
    <w:basedOn w:val="Normal"/>
    <w:link w:val="HeaderChar"/>
    <w:uiPriority w:val="99"/>
    <w:unhideWhenUsed/>
    <w:rsid w:val="00A7241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7241E"/>
    <w:rPr>
      <w:rFonts w:ascii="Segoe UI" w:hAnsi="Segoe UI" w:cs="Segoe UI"/>
    </w:rPr>
  </w:style>
  <w:style w:type="paragraph" w:styleId="Footer">
    <w:name w:val="footer"/>
    <w:basedOn w:val="Normal"/>
    <w:link w:val="FooterChar"/>
    <w:uiPriority w:val="99"/>
    <w:unhideWhenUsed/>
    <w:rsid w:val="00A7241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7241E"/>
    <w:rPr>
      <w:rFonts w:ascii="Segoe UI" w:hAnsi="Segoe UI" w:cs="Segoe UI"/>
    </w:rPr>
  </w:style>
  <w:style w:type="character" w:styleId="IntenseEmphasis">
    <w:name w:val="Intense Emphasis"/>
    <w:basedOn w:val="DefaultParagraphFont"/>
    <w:uiPriority w:val="21"/>
    <w:qFormat/>
    <w:rPr>
      <w:i/>
      <w:iCs/>
      <w:color w:val="0F4761" w:themeColor="accent1" w:themeShade="BF"/>
    </w:rPr>
  </w:style>
  <w:style w:type="character" w:styleId="Emphasis">
    <w:name w:val="Emphasis"/>
    <w:basedOn w:val="DefaultParagraphFont"/>
    <w:uiPriority w:val="20"/>
    <w:qFormat/>
    <w:rsid w:val="00344FE7"/>
    <w:rPr>
      <w:i/>
      <w:iCs/>
    </w:rPr>
  </w:style>
  <w:style w:type="character" w:styleId="IntenseReference">
    <w:name w:val="Intense Reference"/>
    <w:basedOn w:val="DefaultParagraphFont"/>
    <w:uiPriority w:val="32"/>
    <w:rPr>
      <w:b/>
      <w:bCs/>
      <w:smallCaps/>
      <w:color w:val="0F4761" w:themeColor="accent1" w:themeShade="BF"/>
      <w:spacing w:val="5"/>
    </w:rPr>
  </w:style>
  <w:style w:type="character" w:styleId="Hyperlink">
    <w:name w:val="Hyperlink"/>
    <w:basedOn w:val="DefaultParagraphFont"/>
    <w:uiPriority w:val="99"/>
    <w:unhideWhenUsed/>
    <w:qFormat/>
    <w:rsid w:val="005E3E55"/>
    <w:rPr>
      <w:color w:val="467886" w:themeColor="hyperlink"/>
      <w:u w:val="single"/>
    </w:rPr>
  </w:style>
  <w:style w:type="paragraph" w:styleId="ListParagraph">
    <w:name w:val="List Paragraph"/>
    <w:aliases w:val="OBC Bullet,F5 List Paragraph,Colorful List - Accent 11,Normal numbered,Bullet 1,Bullet Style,Dot pt,No Spacing1,Indicator Text,Numbered Para 1,List Paragraph1,Bullet Points,MAIN CONTENT,List Paragraph12,L,Recommendation,#List Paragraph,列"/>
    <w:basedOn w:val="Normal"/>
    <w:link w:val="ListParagraphChar"/>
    <w:uiPriority w:val="34"/>
    <w:qFormat/>
    <w:rsid w:val="005E3E55"/>
    <w:pPr>
      <w:spacing w:line="259" w:lineRule="auto"/>
      <w:ind w:left="720"/>
    </w:pPr>
    <w:rPr>
      <w:rFonts w:eastAsiaTheme="minorHAnsi" w:cs="Times New Roman"/>
      <w:lang w:val="en-AU" w:eastAsia="en-US"/>
    </w:rPr>
  </w:style>
  <w:style w:type="character" w:customStyle="1" w:styleId="ListParagraphChar">
    <w:name w:val="List Paragraph Char"/>
    <w:aliases w:val="OBC Bullet Char,F5 List Paragraph Char,Colorful List - Accent 11 Char,Normal numbered Char,Bullet 1 Char,Bullet Style Char,Dot pt Char,No Spacing1 Char,Indicator Text Char,Numbered Para 1 Char,List Paragraph1 Char,Bullet Points Char"/>
    <w:basedOn w:val="DefaultParagraphFont"/>
    <w:link w:val="ListParagraph"/>
    <w:uiPriority w:val="34"/>
    <w:qFormat/>
    <w:locked/>
    <w:rsid w:val="005E3E55"/>
    <w:rPr>
      <w:rFonts w:ascii="Segoe UI" w:eastAsiaTheme="minorHAnsi" w:hAnsi="Segoe UI" w:cs="Times New Roman"/>
      <w:lang w:val="en-AU" w:eastAsia="en-US"/>
    </w:rPr>
  </w:style>
  <w:style w:type="paragraph" w:customStyle="1" w:styleId="Recommendation1">
    <w:name w:val="Recommendation#1"/>
    <w:basedOn w:val="Heading2"/>
    <w:link w:val="Recommendation1Char"/>
    <w:autoRedefine/>
    <w:qFormat/>
    <w:rsid w:val="00484B58"/>
    <w:pPr>
      <w:numPr>
        <w:numId w:val="1"/>
      </w:numPr>
      <w:spacing w:before="120" w:after="120" w:line="259" w:lineRule="auto"/>
      <w:ind w:left="0" w:firstLine="0"/>
    </w:pPr>
    <w:rPr>
      <w:rFonts w:ascii="Segoe UI" w:hAnsi="Segoe UI" w:cs="Segoe UI"/>
      <w:iCs/>
      <w:color w:val="00717A"/>
      <w:sz w:val="28"/>
      <w:lang w:eastAsia="en-US"/>
    </w:rPr>
  </w:style>
  <w:style w:type="character" w:customStyle="1" w:styleId="Recommendation1Char">
    <w:name w:val="Recommendation#1 Char"/>
    <w:basedOn w:val="Heading4Char"/>
    <w:link w:val="Recommendation1"/>
    <w:rsid w:val="00484B58"/>
    <w:rPr>
      <w:rFonts w:ascii="Segoe UI" w:eastAsiaTheme="majorEastAsia" w:hAnsi="Segoe UI" w:cs="Segoe UI"/>
      <w:i w:val="0"/>
      <w:iCs/>
      <w:color w:val="00717A"/>
      <w:sz w:val="28"/>
      <w:szCs w:val="32"/>
      <w:lang w:eastAsia="en-US"/>
    </w:rPr>
  </w:style>
  <w:style w:type="paragraph" w:styleId="CommentText">
    <w:name w:val="annotation text"/>
    <w:basedOn w:val="Normal"/>
    <w:link w:val="CommentTextChar"/>
    <w:uiPriority w:val="99"/>
    <w:unhideWhenUsed/>
    <w:rsid w:val="00EC41B5"/>
    <w:pPr>
      <w:spacing w:before="0" w:after="160" w:line="240" w:lineRule="auto"/>
      <w:contextualSpacing w:val="0"/>
    </w:pPr>
    <w:rPr>
      <w:rFonts w:eastAsiaTheme="minorHAnsi" w:cs="Times New Roman"/>
      <w:sz w:val="20"/>
      <w:szCs w:val="20"/>
      <w:lang w:val="en-AU" w:eastAsia="en-US"/>
    </w:rPr>
  </w:style>
  <w:style w:type="character" w:customStyle="1" w:styleId="CommentTextChar">
    <w:name w:val="Comment Text Char"/>
    <w:basedOn w:val="DefaultParagraphFont"/>
    <w:link w:val="CommentText"/>
    <w:uiPriority w:val="99"/>
    <w:rsid w:val="00EC41B5"/>
    <w:rPr>
      <w:rFonts w:ascii="Segoe UI" w:eastAsiaTheme="minorHAnsi" w:hAnsi="Segoe UI" w:cs="Times New Roman"/>
      <w:sz w:val="20"/>
      <w:szCs w:val="20"/>
      <w:lang w:val="en-AU" w:eastAsia="en-US"/>
    </w:rPr>
  </w:style>
  <w:style w:type="paragraph" w:styleId="ListNumber">
    <w:name w:val="List Number"/>
    <w:basedOn w:val="Normal"/>
    <w:uiPriority w:val="99"/>
    <w:unhideWhenUsed/>
    <w:rsid w:val="00EC41B5"/>
    <w:pPr>
      <w:numPr>
        <w:numId w:val="23"/>
      </w:numPr>
      <w:spacing w:before="0" w:after="160" w:line="259" w:lineRule="auto"/>
    </w:pPr>
    <w:rPr>
      <w:rFonts w:eastAsiaTheme="minorHAnsi" w:cs="Times New Roman"/>
      <w:lang w:val="en-AU" w:eastAsia="en-US"/>
    </w:rPr>
  </w:style>
  <w:style w:type="character" w:customStyle="1" w:styleId="eop">
    <w:name w:val="eop"/>
    <w:basedOn w:val="DefaultParagraphFont"/>
    <w:rsid w:val="00DE14E2"/>
  </w:style>
  <w:style w:type="character" w:customStyle="1" w:styleId="normaltextrun">
    <w:name w:val="normaltextrun"/>
    <w:basedOn w:val="DefaultParagraphFont"/>
    <w:rsid w:val="00DE14E2"/>
  </w:style>
  <w:style w:type="paragraph" w:styleId="Revision">
    <w:name w:val="Revision"/>
    <w:hidden/>
    <w:uiPriority w:val="99"/>
    <w:semiHidden/>
    <w:rsid w:val="00E77F8D"/>
    <w:pPr>
      <w:spacing w:after="0" w:line="240" w:lineRule="auto"/>
    </w:pPr>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atagi-pre-submission-advice-for-industry-sponsors-wishing-to-make-a-pbac-submission?language=un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losingthegap.gov.au/national-agreement/national-agreement-closing-the-ga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osingthegap.gov.au/national-agree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osingthegap.gov.au/national-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6" ma:contentTypeDescription="Create a new document." ma:contentTypeScope="" ma:versionID="3b368dc8a2b8b31f5f834a0327a44a56">
  <xsd:schema xmlns:xsd="http://www.w3.org/2001/XMLSchema" xmlns:xs="http://www.w3.org/2001/XMLSchema" xmlns:p="http://schemas.microsoft.com/office/2006/metadata/properties" xmlns:ns2="c4876c76-5897-4d5d-ac80-954d0599e137" xmlns:ns3="01920aa1-7832-453e-a147-98c77996387c" targetNamespace="http://schemas.microsoft.com/office/2006/metadata/properties" ma:root="true" ma:fieldsID="e67780a3b9c0d6ec2d453ca394bc367e" ns2:_="" ns3:_="">
    <xsd:import namespace="c4876c76-5897-4d5d-ac80-954d0599e137"/>
    <xsd:import namespace="01920aa1-7832-453e-a147-98c7799638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74fb71-3d31-424b-8837-24a0ba3e9c61}"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920aa1-7832-453e-a147-98c77996387c">
      <Terms xmlns="http://schemas.microsoft.com/office/infopath/2007/PartnerControls"/>
    </lcf76f155ced4ddcb4097134ff3c332f>
    <TaxCatchAll xmlns="c4876c76-5897-4d5d-ac80-954d0599e13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5513C-2516-4F57-B44F-7F6B49421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76c76-5897-4d5d-ac80-954d0599e137"/>
    <ds:schemaRef ds:uri="01920aa1-7832-453e-a147-98c779963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48826-B3F5-46E3-BDAE-AC088D3D915C}">
  <ds:schemaRefs>
    <ds:schemaRef ds:uri="http://schemas.microsoft.com/office/infopath/2007/PartnerControls"/>
    <ds:schemaRef ds:uri="http://purl.org/dc/elements/1.1/"/>
    <ds:schemaRef ds:uri="http://schemas.microsoft.com/office/2006/metadata/properties"/>
    <ds:schemaRef ds:uri="c4876c76-5897-4d5d-ac80-954d0599e137"/>
    <ds:schemaRef ds:uri="http://purl.org/dc/terms/"/>
    <ds:schemaRef ds:uri="http://schemas.openxmlformats.org/package/2006/metadata/core-properties"/>
    <ds:schemaRef ds:uri="http://schemas.microsoft.com/office/2006/documentManagement/types"/>
    <ds:schemaRef ds:uri="01920aa1-7832-453e-a147-98c77996387c"/>
    <ds:schemaRef ds:uri="http://www.w3.org/XML/1998/namespace"/>
    <ds:schemaRef ds:uri="http://purl.org/dc/dcmitype/"/>
  </ds:schemaRefs>
</ds:datastoreItem>
</file>

<file path=customXml/itemProps3.xml><?xml version="1.0" encoding="utf-8"?>
<ds:datastoreItem xmlns:ds="http://schemas.openxmlformats.org/officeDocument/2006/customXml" ds:itemID="{0E288BD8-23D5-4881-8101-25F0E6864711}">
  <ds:schemaRefs>
    <ds:schemaRef ds:uri="http://schemas.openxmlformats.org/officeDocument/2006/bibliography"/>
  </ds:schemaRefs>
</ds:datastoreItem>
</file>

<file path=customXml/itemProps4.xml><?xml version="1.0" encoding="utf-8"?>
<ds:datastoreItem xmlns:ds="http://schemas.openxmlformats.org/officeDocument/2006/customXml" ds:itemID="{E739522E-6AC6-4518-ABF2-4F300F4C2E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11850</Words>
  <Characters>73107</Characters>
  <Application>Microsoft Office Word</Application>
  <DocSecurity>0</DocSecurity>
  <Lines>1324</Lines>
  <Paragraphs>498</Paragraphs>
  <ScaleCrop>false</ScaleCrop>
  <HeadingPairs>
    <vt:vector size="2" baseType="variant">
      <vt:variant>
        <vt:lpstr>Title</vt:lpstr>
      </vt:variant>
      <vt:variant>
        <vt:i4>1</vt:i4>
      </vt:variant>
    </vt:vector>
  </HeadingPairs>
  <TitlesOfParts>
    <vt:vector size="1" baseType="lpstr">
      <vt:lpstr>Health Technology Assessment Policy and Methods Review – Full recommendations</vt:lpstr>
    </vt:vector>
  </TitlesOfParts>
  <Company/>
  <LinksUpToDate>false</LinksUpToDate>
  <CharactersWithSpaces>84601</CharactersWithSpaces>
  <SharedDoc>false</SharedDoc>
  <HLinks>
    <vt:vector size="24" baseType="variant">
      <vt:variant>
        <vt:i4>7012475</vt:i4>
      </vt:variant>
      <vt:variant>
        <vt:i4>48</vt:i4>
      </vt:variant>
      <vt:variant>
        <vt:i4>0</vt:i4>
      </vt:variant>
      <vt:variant>
        <vt:i4>5</vt:i4>
      </vt:variant>
      <vt:variant>
        <vt:lpwstr>https://www.closingthegap.gov.au/national-agreement</vt:lpwstr>
      </vt:variant>
      <vt:variant>
        <vt:lpwstr/>
      </vt:variant>
      <vt:variant>
        <vt:i4>1638471</vt:i4>
      </vt:variant>
      <vt:variant>
        <vt:i4>21</vt:i4>
      </vt:variant>
      <vt:variant>
        <vt:i4>0</vt:i4>
      </vt:variant>
      <vt:variant>
        <vt:i4>5</vt:i4>
      </vt:variant>
      <vt:variant>
        <vt:lpwstr>https://www.health.gov.au/resources/publications/atagi-pre-submission-advice-for-industry-sponsors-wishing-to-make-a-pbac-submission?language=und</vt:lpwstr>
      </vt:variant>
      <vt:variant>
        <vt:lpwstr/>
      </vt:variant>
      <vt:variant>
        <vt:i4>2949218</vt:i4>
      </vt:variant>
      <vt:variant>
        <vt:i4>3</vt:i4>
      </vt:variant>
      <vt:variant>
        <vt:i4>0</vt:i4>
      </vt:variant>
      <vt:variant>
        <vt:i4>5</vt:i4>
      </vt:variant>
      <vt:variant>
        <vt:lpwstr>https://www.closingthegap.gov.au/national-agreement/national-agreement-closing-the-gap</vt:lpwstr>
      </vt:variant>
      <vt:variant>
        <vt:lpwstr/>
      </vt:variant>
      <vt:variant>
        <vt:i4>7012475</vt:i4>
      </vt:variant>
      <vt:variant>
        <vt:i4>0</vt:i4>
      </vt:variant>
      <vt:variant>
        <vt:i4>0</vt:i4>
      </vt:variant>
      <vt:variant>
        <vt:i4>5</vt:i4>
      </vt:variant>
      <vt:variant>
        <vt:lpwstr>https://www.closingthegap.gov.au/national-agreement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 Full recommendations</dc:title>
  <dc:subject>Health Technology Assessment Policy and Methods Review</dc:subject>
  <dc:creator>Australian Government Department of Health and Aged Care</dc:creator>
  <cp:keywords>Health technologies and digital health; Medicines; HTA Review Reference Committee; Health Technology Assessment</cp:keywords>
  <dc:description/>
  <cp:revision>3</cp:revision>
  <dcterms:created xsi:type="dcterms:W3CDTF">2024-09-02T05:59:00Z</dcterms:created>
  <dcterms:modified xsi:type="dcterms:W3CDTF">2024-09-10T03:40:00Z</dcterms:modified>
  <cp:contentStatus/>
</cp:coreProperties>
</file>